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黑体" w:hAnsi="Calibri" w:eastAsia="黑体" w:cs="黑体"/>
          <w:sz w:val="28"/>
          <w:szCs w:val="28"/>
        </w:rPr>
      </w:pPr>
      <w:r>
        <w:rPr>
          <w:rFonts w:hint="eastAsia" w:ascii="黑体" w:hAnsi="Calibri" w:eastAsia="黑体" w:cs="黑体"/>
          <w:sz w:val="28"/>
          <w:szCs w:val="28"/>
          <w:lang w:bidi="ar"/>
        </w:rPr>
        <w:t xml:space="preserve">             </w:t>
      </w:r>
    </w:p>
    <w:p>
      <w:pPr>
        <w:pStyle w:val="19"/>
        <w:widowControl/>
        <w:ind w:firstLine="0" w:firstLineChars="0"/>
        <w:jc w:val="center"/>
      </w:pPr>
    </w:p>
    <w:p>
      <w:pPr>
        <w:pStyle w:val="19"/>
        <w:widowControl/>
        <w:ind w:firstLine="0" w:firstLineChars="0"/>
        <w:jc w:val="center"/>
        <w:rPr>
          <w:b/>
          <w:sz w:val="32"/>
          <w:szCs w:val="32"/>
        </w:rPr>
      </w:pPr>
      <w:r>
        <w:drawing>
          <wp:inline distT="0" distB="0" distL="114300" distR="114300">
            <wp:extent cx="3476625" cy="1209675"/>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76625" cy="1209675"/>
                    </a:xfrm>
                    <a:prstGeom prst="rect">
                      <a:avLst/>
                    </a:prstGeom>
                    <a:noFill/>
                    <a:ln>
                      <a:noFill/>
                    </a:ln>
                  </pic:spPr>
                </pic:pic>
              </a:graphicData>
            </a:graphic>
          </wp:inline>
        </w:drawing>
      </w:r>
    </w:p>
    <w:p>
      <w:pPr>
        <w:spacing w:before="156" w:beforeLines="50" w:after="156" w:afterLines="50"/>
        <w:jc w:val="center"/>
        <w:rPr>
          <w:rFonts w:ascii="宋体" w:hAnsi="宋体" w:eastAsia="宋体" w:cs="宋体"/>
          <w:b/>
          <w:sz w:val="48"/>
          <w:szCs w:val="48"/>
        </w:rPr>
      </w:pPr>
      <w:bookmarkStart w:id="0" w:name="_Toc262475853"/>
      <w:bookmarkStart w:id="1" w:name="_Toc262477091"/>
      <w:bookmarkStart w:id="2" w:name="_Toc262474472"/>
    </w:p>
    <w:p>
      <w:pPr>
        <w:spacing w:before="156" w:beforeLines="50" w:after="156" w:afterLines="50"/>
        <w:jc w:val="center"/>
        <w:rPr>
          <w:rFonts w:ascii="宋体" w:hAnsi="宋体" w:eastAsia="宋体" w:cs="宋体"/>
          <w:b/>
          <w:sz w:val="48"/>
          <w:szCs w:val="48"/>
        </w:rPr>
      </w:pPr>
      <w:r>
        <w:rPr>
          <w:rFonts w:hint="eastAsia" w:ascii="宋体" w:hAnsi="宋体" w:eastAsia="宋体" w:cs="宋体"/>
          <w:b/>
          <w:sz w:val="48"/>
          <w:szCs w:val="48"/>
          <w:lang w:bidi="ar"/>
        </w:rPr>
        <w:t>中国重汽集团</w:t>
      </w:r>
      <w:bookmarkEnd w:id="0"/>
      <w:bookmarkEnd w:id="1"/>
      <w:bookmarkEnd w:id="2"/>
    </w:p>
    <w:p>
      <w:pPr>
        <w:jc w:val="center"/>
        <w:rPr>
          <w:rFonts w:ascii="宋体" w:hAnsi="宋体" w:eastAsia="宋体" w:cs="宋体"/>
          <w:b/>
          <w:sz w:val="48"/>
          <w:szCs w:val="48"/>
          <w:lang w:bidi="ar"/>
        </w:rPr>
      </w:pPr>
      <w:r>
        <w:rPr>
          <w:rFonts w:hint="eastAsia" w:ascii="宋体" w:hAnsi="宋体" w:eastAsia="宋体" w:cs="宋体"/>
          <w:b/>
          <w:sz w:val="48"/>
          <w:szCs w:val="48"/>
          <w:lang w:bidi="ar"/>
        </w:rPr>
        <w:t>信息系统合作开发及运维支持项目</w:t>
      </w:r>
    </w:p>
    <w:p>
      <w:pPr>
        <w:jc w:val="center"/>
        <w:rPr>
          <w:rFonts w:ascii="黑体" w:hAnsi="宋体" w:eastAsia="黑体" w:cs="黑体"/>
          <w:b/>
          <w:sz w:val="52"/>
          <w:szCs w:val="52"/>
        </w:rPr>
      </w:pPr>
      <w:r>
        <w:rPr>
          <w:rFonts w:hint="eastAsia" w:ascii="黑体" w:hAnsi="宋体" w:eastAsia="黑体" w:cs="黑体"/>
          <w:b/>
          <w:sz w:val="52"/>
          <w:szCs w:val="52"/>
          <w:lang w:bidi="ar"/>
        </w:rPr>
        <w:t>招</w:t>
      </w:r>
    </w:p>
    <w:p>
      <w:pPr>
        <w:jc w:val="center"/>
        <w:rPr>
          <w:rFonts w:ascii="黑体" w:hAnsi="宋体" w:eastAsia="黑体" w:cs="黑体"/>
          <w:b/>
          <w:sz w:val="52"/>
          <w:szCs w:val="52"/>
        </w:rPr>
      </w:pPr>
      <w:r>
        <w:rPr>
          <w:rFonts w:hint="eastAsia" w:ascii="黑体" w:hAnsi="宋体" w:eastAsia="黑体" w:cs="黑体"/>
          <w:b/>
          <w:sz w:val="52"/>
          <w:szCs w:val="52"/>
          <w:lang w:bidi="ar"/>
        </w:rPr>
        <w:t>标</w:t>
      </w:r>
    </w:p>
    <w:p>
      <w:pPr>
        <w:jc w:val="center"/>
        <w:rPr>
          <w:rFonts w:ascii="黑体" w:hAnsi="宋体" w:eastAsia="黑体" w:cs="黑体"/>
          <w:b/>
          <w:sz w:val="52"/>
          <w:szCs w:val="52"/>
        </w:rPr>
      </w:pPr>
      <w:r>
        <w:rPr>
          <w:rFonts w:hint="eastAsia" w:ascii="黑体" w:hAnsi="宋体" w:eastAsia="黑体" w:cs="黑体"/>
          <w:b/>
          <w:sz w:val="52"/>
          <w:szCs w:val="52"/>
          <w:lang w:bidi="ar"/>
        </w:rPr>
        <w:t>文</w:t>
      </w:r>
    </w:p>
    <w:p>
      <w:pPr>
        <w:jc w:val="center"/>
        <w:rPr>
          <w:rFonts w:ascii="黑体" w:hAnsi="Calibri" w:eastAsia="黑体" w:cs="黑体"/>
          <w:b/>
          <w:sz w:val="52"/>
          <w:szCs w:val="52"/>
        </w:rPr>
      </w:pPr>
      <w:r>
        <w:rPr>
          <w:rFonts w:hint="eastAsia" w:ascii="黑体" w:hAnsi="宋体" w:eastAsia="黑体" w:cs="黑体"/>
          <w:b/>
          <w:sz w:val="52"/>
          <w:szCs w:val="52"/>
          <w:lang w:bidi="ar"/>
        </w:rPr>
        <w:t>件</w:t>
      </w:r>
    </w:p>
    <w:p>
      <w:pPr>
        <w:pStyle w:val="19"/>
        <w:widowControl/>
        <w:ind w:firstLine="0" w:firstLineChars="0"/>
        <w:jc w:val="center"/>
        <w:rPr>
          <w:b/>
          <w:sz w:val="32"/>
          <w:szCs w:val="32"/>
        </w:rPr>
      </w:pPr>
    </w:p>
    <w:p>
      <w:pPr>
        <w:jc w:val="center"/>
        <w:rPr>
          <w:rFonts w:ascii="黑体" w:hAnsi="Calibri" w:eastAsia="黑体" w:cs="黑体"/>
          <w:sz w:val="44"/>
          <w:szCs w:val="44"/>
        </w:rPr>
      </w:pPr>
      <w:r>
        <w:rPr>
          <w:rFonts w:hint="eastAsia" w:ascii="黑体" w:hAnsi="Calibri" w:eastAsia="黑体" w:cs="黑体"/>
          <w:sz w:val="44"/>
          <w:szCs w:val="44"/>
          <w:lang w:bidi="ar"/>
        </w:rPr>
        <w:t>中国重汽集团济南动力有限公司</w:t>
      </w:r>
    </w:p>
    <w:p>
      <w:pPr>
        <w:spacing w:line="380" w:lineRule="exact"/>
        <w:jc w:val="center"/>
        <w:rPr>
          <w:rFonts w:ascii="黑体" w:hAnsi="Calibri" w:eastAsia="黑体" w:cs="黑体"/>
          <w:sz w:val="44"/>
          <w:szCs w:val="44"/>
        </w:rPr>
      </w:pPr>
    </w:p>
    <w:p>
      <w:pPr>
        <w:spacing w:before="156" w:beforeLines="50" w:line="380" w:lineRule="exact"/>
        <w:jc w:val="center"/>
        <w:rPr>
          <w:rFonts w:ascii="黑体" w:hAnsi="Calibri" w:eastAsia="黑体" w:cs="黑体"/>
          <w:sz w:val="44"/>
          <w:szCs w:val="44"/>
        </w:rPr>
      </w:pPr>
      <w:r>
        <w:rPr>
          <w:rFonts w:hint="eastAsia" w:ascii="黑体" w:hAnsi="Calibri" w:eastAsia="黑体" w:cs="黑体"/>
          <w:sz w:val="44"/>
          <w:szCs w:val="44"/>
          <w:lang w:bidi="ar"/>
        </w:rPr>
        <w:t>二〇二一年</w:t>
      </w:r>
      <w:r>
        <w:rPr>
          <w:rFonts w:hint="eastAsia" w:ascii="黑体" w:hAnsi="Calibri" w:eastAsia="黑体" w:cs="黑体"/>
          <w:sz w:val="44"/>
          <w:szCs w:val="44"/>
          <w:lang w:val="en-US" w:eastAsia="zh-CN" w:bidi="ar"/>
        </w:rPr>
        <w:t>四</w:t>
      </w:r>
      <w:r>
        <w:rPr>
          <w:rFonts w:hint="eastAsia" w:ascii="黑体" w:hAnsi="Calibri" w:eastAsia="黑体" w:cs="黑体"/>
          <w:sz w:val="44"/>
          <w:szCs w:val="44"/>
          <w:lang w:bidi="ar"/>
        </w:rPr>
        <w:t>月</w:t>
      </w:r>
    </w:p>
    <w:p>
      <w:pPr>
        <w:pStyle w:val="11"/>
        <w:widowControl/>
        <w:tabs>
          <w:tab w:val="right" w:leader="dot" w:pos="8705"/>
        </w:tabs>
        <w:jc w:val="center"/>
        <w:rPr>
          <w:b w:val="0"/>
          <w:bCs/>
          <w:sz w:val="36"/>
          <w:szCs w:val="36"/>
        </w:rPr>
      </w:pPr>
      <w:r>
        <w:rPr>
          <w:color w:val="FF0000"/>
          <w:lang w:bidi="ar"/>
        </w:rPr>
        <w:br w:type="page"/>
      </w:r>
      <w:r>
        <w:rPr>
          <w:rFonts w:hint="eastAsia" w:cs="宋体"/>
          <w:b w:val="0"/>
          <w:bCs/>
          <w:sz w:val="36"/>
          <w:szCs w:val="36"/>
        </w:rPr>
        <w:t>目</w:t>
      </w:r>
      <w:r>
        <w:rPr>
          <w:b w:val="0"/>
          <w:bCs/>
          <w:sz w:val="36"/>
          <w:szCs w:val="36"/>
        </w:rPr>
        <w:t xml:space="preserve">  </w:t>
      </w:r>
      <w:r>
        <w:rPr>
          <w:rFonts w:hint="eastAsia" w:cs="宋体"/>
          <w:b w:val="0"/>
          <w:bCs/>
          <w:sz w:val="36"/>
          <w:szCs w:val="36"/>
        </w:rPr>
        <w:t>录</w:t>
      </w:r>
    </w:p>
    <w:p>
      <w:pPr>
        <w:pStyle w:val="11"/>
        <w:tabs>
          <w:tab w:val="right" w:leader="dot" w:pos="8715"/>
        </w:tabs>
      </w:pPr>
      <w:r>
        <w:rPr>
          <w:b w:val="0"/>
          <w:bCs/>
          <w:sz w:val="36"/>
          <w:szCs w:val="36"/>
        </w:rPr>
        <w:fldChar w:fldCharType="begin"/>
      </w:r>
      <w:r>
        <w:rPr>
          <w:b w:val="0"/>
          <w:bCs/>
          <w:sz w:val="36"/>
          <w:szCs w:val="36"/>
        </w:rPr>
        <w:instrText xml:space="preserve"> TOC \o "1-3" \h \z \u </w:instrText>
      </w:r>
      <w:r>
        <w:rPr>
          <w:b w:val="0"/>
          <w:bCs/>
          <w:sz w:val="36"/>
          <w:szCs w:val="36"/>
        </w:rPr>
        <w:fldChar w:fldCharType="separate"/>
      </w:r>
      <w:r>
        <w:fldChar w:fldCharType="begin"/>
      </w:r>
      <w:r>
        <w:instrText xml:space="preserve"> HYPERLINK \l "_Toc4004" </w:instrText>
      </w:r>
      <w:r>
        <w:fldChar w:fldCharType="separate"/>
      </w:r>
      <w:r>
        <w:t xml:space="preserve">1 </w:t>
      </w:r>
      <w:r>
        <w:rPr>
          <w:rFonts w:hint="eastAsia" w:cs="宋体"/>
        </w:rPr>
        <w:t>项目名称</w:t>
      </w:r>
      <w:r>
        <w:tab/>
      </w:r>
      <w:r>
        <w:fldChar w:fldCharType="end"/>
      </w:r>
    </w:p>
    <w:p>
      <w:pPr>
        <w:pStyle w:val="11"/>
        <w:tabs>
          <w:tab w:val="right" w:leader="dot" w:pos="8715"/>
        </w:tabs>
      </w:pPr>
      <w:r>
        <w:fldChar w:fldCharType="begin"/>
      </w:r>
      <w:r>
        <w:instrText xml:space="preserve"> HYPERLINK \l "_Toc17573" </w:instrText>
      </w:r>
      <w:r>
        <w:fldChar w:fldCharType="separate"/>
      </w:r>
      <w:r>
        <w:rPr>
          <w:rFonts w:cs="宋体"/>
        </w:rPr>
        <w:t xml:space="preserve">2 </w:t>
      </w:r>
      <w:r>
        <w:rPr>
          <w:rFonts w:hint="eastAsia" w:cs="宋体"/>
        </w:rPr>
        <w:t>招标内容及形式</w:t>
      </w:r>
      <w:r>
        <w:tab/>
      </w:r>
      <w:r>
        <w:fldChar w:fldCharType="end"/>
      </w:r>
    </w:p>
    <w:p>
      <w:pPr>
        <w:pStyle w:val="12"/>
        <w:tabs>
          <w:tab w:val="right" w:leader="dot" w:pos="8715"/>
        </w:tabs>
      </w:pPr>
      <w:r>
        <w:fldChar w:fldCharType="begin"/>
      </w:r>
      <w:r>
        <w:instrText xml:space="preserve"> HYPERLINK \l "_Toc14504" </w:instrText>
      </w:r>
      <w:r>
        <w:fldChar w:fldCharType="separate"/>
      </w:r>
      <w:r>
        <w:rPr>
          <w:rFonts w:hint="eastAsia"/>
        </w:rPr>
        <w:t>2.1招标形式与内容</w:t>
      </w:r>
      <w:r>
        <w:tab/>
      </w:r>
      <w:r>
        <w:fldChar w:fldCharType="end"/>
      </w:r>
    </w:p>
    <w:p>
      <w:pPr>
        <w:pStyle w:val="12"/>
        <w:tabs>
          <w:tab w:val="right" w:leader="dot" w:pos="8715"/>
        </w:tabs>
      </w:pPr>
      <w:r>
        <w:fldChar w:fldCharType="begin"/>
      </w:r>
      <w:r>
        <w:instrText xml:space="preserve"> HYPERLINK \l "_Toc1211" </w:instrText>
      </w:r>
      <w:r>
        <w:fldChar w:fldCharType="separate"/>
      </w:r>
      <w:r>
        <w:t>2.</w:t>
      </w:r>
      <w:r>
        <w:rPr>
          <w:rFonts w:hint="eastAsia"/>
        </w:rPr>
        <w:t>2</w:t>
      </w:r>
      <w:r>
        <w:rPr>
          <w:rFonts w:hint="eastAsia" w:cs="宋体"/>
        </w:rPr>
        <w:t>议程安排</w:t>
      </w:r>
      <w:r>
        <w:tab/>
      </w:r>
      <w:r>
        <w:fldChar w:fldCharType="end"/>
      </w:r>
    </w:p>
    <w:p>
      <w:pPr>
        <w:pStyle w:val="11"/>
        <w:tabs>
          <w:tab w:val="right" w:leader="dot" w:pos="8715"/>
        </w:tabs>
      </w:pPr>
      <w:r>
        <w:fldChar w:fldCharType="begin"/>
      </w:r>
      <w:r>
        <w:instrText xml:space="preserve"> HYPERLINK \l "_Toc17566" </w:instrText>
      </w:r>
      <w:r>
        <w:fldChar w:fldCharType="separate"/>
      </w:r>
      <w:r>
        <w:t xml:space="preserve">3 </w:t>
      </w:r>
      <w:r>
        <w:rPr>
          <w:rFonts w:hint="eastAsia" w:cs="宋体"/>
        </w:rPr>
        <w:t>有关说明</w:t>
      </w:r>
      <w:r>
        <w:tab/>
      </w:r>
      <w:r>
        <w:fldChar w:fldCharType="end"/>
      </w:r>
    </w:p>
    <w:p>
      <w:pPr>
        <w:pStyle w:val="12"/>
        <w:tabs>
          <w:tab w:val="right" w:leader="dot" w:pos="8715"/>
        </w:tabs>
      </w:pPr>
      <w:r>
        <w:fldChar w:fldCharType="begin"/>
      </w:r>
      <w:r>
        <w:instrText xml:space="preserve"> HYPERLINK \l "_Toc852" </w:instrText>
      </w:r>
      <w:r>
        <w:fldChar w:fldCharType="separate"/>
      </w:r>
      <w:r>
        <w:rPr>
          <w:rFonts w:hint="eastAsia" w:cs="宋体"/>
        </w:rPr>
        <w:t>3.1总则</w:t>
      </w:r>
      <w:r>
        <w:tab/>
      </w:r>
      <w:r>
        <w:fldChar w:fldCharType="end"/>
      </w:r>
    </w:p>
    <w:p>
      <w:pPr>
        <w:pStyle w:val="12"/>
        <w:tabs>
          <w:tab w:val="right" w:leader="dot" w:pos="8715"/>
        </w:tabs>
      </w:pPr>
      <w:r>
        <w:fldChar w:fldCharType="begin"/>
      </w:r>
      <w:r>
        <w:instrText xml:space="preserve"> HYPERLINK \l "_Toc19461" </w:instrText>
      </w:r>
      <w:r>
        <w:fldChar w:fldCharType="separate"/>
      </w:r>
      <w:r>
        <w:rPr>
          <w:rFonts w:hint="eastAsia" w:cs="宋体"/>
        </w:rPr>
        <w:t>3.2定义</w:t>
      </w:r>
      <w:r>
        <w:tab/>
      </w:r>
      <w:r>
        <w:fldChar w:fldCharType="end"/>
      </w:r>
    </w:p>
    <w:p>
      <w:pPr>
        <w:pStyle w:val="12"/>
        <w:tabs>
          <w:tab w:val="right" w:leader="dot" w:pos="8715"/>
        </w:tabs>
      </w:pPr>
      <w:r>
        <w:fldChar w:fldCharType="begin"/>
      </w:r>
      <w:r>
        <w:instrText xml:space="preserve"> HYPERLINK \l "_Toc9130" </w:instrText>
      </w:r>
      <w:r>
        <w:fldChar w:fldCharType="separate"/>
      </w:r>
      <w:r>
        <w:rPr>
          <w:rFonts w:hint="eastAsia" w:cs="宋体"/>
          <w:szCs w:val="24"/>
        </w:rPr>
        <w:t>3.3项目实施方</w:t>
      </w:r>
      <w:r>
        <w:rPr>
          <w:rFonts w:hint="eastAsia" w:cs="宋体"/>
        </w:rPr>
        <w:t>式</w:t>
      </w:r>
      <w:r>
        <w:tab/>
      </w:r>
      <w:r>
        <w:fldChar w:fldCharType="end"/>
      </w:r>
    </w:p>
    <w:p>
      <w:pPr>
        <w:pStyle w:val="12"/>
        <w:tabs>
          <w:tab w:val="right" w:leader="dot" w:pos="8715"/>
        </w:tabs>
      </w:pPr>
      <w:r>
        <w:fldChar w:fldCharType="begin"/>
      </w:r>
      <w:r>
        <w:instrText xml:space="preserve"> HYPERLINK \l "_Toc1793" </w:instrText>
      </w:r>
      <w:r>
        <w:fldChar w:fldCharType="separate"/>
      </w:r>
      <w:r>
        <w:rPr>
          <w:rFonts w:hint="eastAsia" w:cs="宋体"/>
        </w:rPr>
        <w:t>3.4投标人须知</w:t>
      </w:r>
      <w:r>
        <w:tab/>
      </w:r>
      <w:r>
        <w:fldChar w:fldCharType="end"/>
      </w:r>
    </w:p>
    <w:p>
      <w:pPr>
        <w:pStyle w:val="11"/>
        <w:tabs>
          <w:tab w:val="right" w:leader="dot" w:pos="8715"/>
        </w:tabs>
      </w:pPr>
      <w:r>
        <w:fldChar w:fldCharType="begin"/>
      </w:r>
      <w:r>
        <w:instrText xml:space="preserve"> HYPERLINK \l "_Toc24542" </w:instrText>
      </w:r>
      <w:r>
        <w:fldChar w:fldCharType="separate"/>
      </w:r>
      <w:r>
        <w:rPr>
          <w:rFonts w:cs="宋体"/>
        </w:rPr>
        <w:t xml:space="preserve">4 </w:t>
      </w:r>
      <w:r>
        <w:rPr>
          <w:rFonts w:hint="eastAsia" w:cs="宋体"/>
        </w:rPr>
        <w:t>交货及付款</w:t>
      </w:r>
      <w:r>
        <w:tab/>
      </w:r>
      <w:r>
        <w:fldChar w:fldCharType="end"/>
      </w:r>
    </w:p>
    <w:p>
      <w:pPr>
        <w:pStyle w:val="11"/>
        <w:tabs>
          <w:tab w:val="right" w:leader="dot" w:pos="8715"/>
        </w:tabs>
      </w:pPr>
      <w:r>
        <w:fldChar w:fldCharType="begin"/>
      </w:r>
      <w:r>
        <w:instrText xml:space="preserve"> HYPERLINK \l "_Toc18320" </w:instrText>
      </w:r>
      <w:r>
        <w:fldChar w:fldCharType="separate"/>
      </w:r>
      <w:r>
        <w:rPr>
          <w:rFonts w:hint="eastAsia"/>
        </w:rPr>
        <w:t>5投标说明</w:t>
      </w:r>
      <w:r>
        <w:tab/>
      </w:r>
      <w:r>
        <w:fldChar w:fldCharType="end"/>
      </w:r>
    </w:p>
    <w:p>
      <w:pPr>
        <w:pStyle w:val="12"/>
        <w:tabs>
          <w:tab w:val="right" w:leader="dot" w:pos="8715"/>
        </w:tabs>
      </w:pPr>
      <w:r>
        <w:fldChar w:fldCharType="begin"/>
      </w:r>
      <w:r>
        <w:instrText xml:space="preserve"> HYPERLINK \l "_Toc2250" </w:instrText>
      </w:r>
      <w:r>
        <w:fldChar w:fldCharType="separate"/>
      </w:r>
      <w:r>
        <w:rPr>
          <w:rFonts w:hint="eastAsia" w:cs="宋体"/>
        </w:rPr>
        <w:t>5.1招标要求</w:t>
      </w:r>
      <w:r>
        <w:tab/>
      </w:r>
      <w:r>
        <w:fldChar w:fldCharType="end"/>
      </w:r>
    </w:p>
    <w:p>
      <w:pPr>
        <w:pStyle w:val="12"/>
        <w:tabs>
          <w:tab w:val="right" w:leader="dot" w:pos="8715"/>
        </w:tabs>
      </w:pPr>
      <w:r>
        <w:fldChar w:fldCharType="begin"/>
      </w:r>
      <w:r>
        <w:instrText xml:space="preserve"> HYPERLINK \l "_Toc11928" </w:instrText>
      </w:r>
      <w:r>
        <w:fldChar w:fldCharType="separate"/>
      </w:r>
      <w:r>
        <w:rPr>
          <w:rFonts w:hint="eastAsia" w:cs="黑体"/>
          <w:bCs/>
          <w:szCs w:val="21"/>
        </w:rPr>
        <w:t>中国重汽集团济南动力有限公司</w:t>
      </w:r>
      <w:r>
        <w:tab/>
      </w:r>
      <w:r>
        <w:fldChar w:fldCharType="end"/>
      </w:r>
    </w:p>
    <w:p>
      <w:pPr>
        <w:pStyle w:val="12"/>
        <w:tabs>
          <w:tab w:val="right" w:leader="dot" w:pos="8715"/>
        </w:tabs>
      </w:pPr>
      <w:r>
        <w:fldChar w:fldCharType="begin"/>
      </w:r>
      <w:r>
        <w:instrText xml:space="preserve"> HYPERLINK \l "_Toc18798" </w:instrText>
      </w:r>
      <w:r>
        <w:fldChar w:fldCharType="separate"/>
      </w:r>
      <w:r>
        <w:rPr>
          <w:rFonts w:hint="eastAsia" w:cs="宋体"/>
        </w:rPr>
        <w:t>5.2投标报价</w:t>
      </w:r>
      <w:r>
        <w:tab/>
      </w:r>
      <w:r>
        <w:fldChar w:fldCharType="end"/>
      </w:r>
    </w:p>
    <w:p>
      <w:pPr>
        <w:pStyle w:val="12"/>
        <w:tabs>
          <w:tab w:val="right" w:leader="dot" w:pos="8715"/>
        </w:tabs>
      </w:pPr>
      <w:r>
        <w:fldChar w:fldCharType="begin"/>
      </w:r>
      <w:r>
        <w:instrText xml:space="preserve"> HYPERLINK \l "_Toc14874" </w:instrText>
      </w:r>
      <w:r>
        <w:fldChar w:fldCharType="separate"/>
      </w:r>
      <w:r>
        <w:rPr>
          <w:rFonts w:hint="eastAsia" w:cs="宋体"/>
        </w:rPr>
        <w:t>5.3招标文件的组成</w:t>
      </w:r>
      <w:r>
        <w:tab/>
      </w:r>
      <w:r>
        <w:fldChar w:fldCharType="end"/>
      </w:r>
    </w:p>
    <w:p>
      <w:pPr>
        <w:pStyle w:val="12"/>
        <w:tabs>
          <w:tab w:val="right" w:leader="dot" w:pos="8715"/>
        </w:tabs>
      </w:pPr>
      <w:r>
        <w:fldChar w:fldCharType="begin"/>
      </w:r>
      <w:r>
        <w:instrText xml:space="preserve"> HYPERLINK \l "_Toc12989" </w:instrText>
      </w:r>
      <w:r>
        <w:fldChar w:fldCharType="separate"/>
      </w:r>
      <w:r>
        <w:rPr>
          <w:rFonts w:hint="eastAsia" w:cs="宋体"/>
        </w:rPr>
        <w:t>5.4招标文件的澄清</w:t>
      </w:r>
      <w:r>
        <w:tab/>
      </w:r>
      <w:r>
        <w:fldChar w:fldCharType="end"/>
      </w:r>
    </w:p>
    <w:p>
      <w:pPr>
        <w:pStyle w:val="12"/>
        <w:tabs>
          <w:tab w:val="right" w:leader="dot" w:pos="8715"/>
        </w:tabs>
      </w:pPr>
      <w:r>
        <w:fldChar w:fldCharType="begin"/>
      </w:r>
      <w:r>
        <w:instrText xml:space="preserve"> HYPERLINK \l "_Toc32336" </w:instrText>
      </w:r>
      <w:r>
        <w:fldChar w:fldCharType="separate"/>
      </w:r>
      <w:r>
        <w:rPr>
          <w:rFonts w:hint="eastAsia" w:cs="宋体"/>
        </w:rPr>
        <w:t>5.5招标文件的修改</w:t>
      </w:r>
      <w:r>
        <w:tab/>
      </w:r>
      <w:r>
        <w:fldChar w:fldCharType="end"/>
      </w:r>
    </w:p>
    <w:p>
      <w:pPr>
        <w:pStyle w:val="11"/>
        <w:tabs>
          <w:tab w:val="right" w:leader="dot" w:pos="8715"/>
        </w:tabs>
      </w:pPr>
      <w:r>
        <w:fldChar w:fldCharType="begin"/>
      </w:r>
      <w:r>
        <w:instrText xml:space="preserve"> HYPERLINK \l "_Toc31442" </w:instrText>
      </w:r>
      <w:r>
        <w:fldChar w:fldCharType="separate"/>
      </w:r>
      <w:r>
        <w:rPr>
          <w:rFonts w:hint="eastAsia" w:cs="宋体"/>
        </w:rPr>
        <w:t>6投标文件的内容和要求</w:t>
      </w:r>
      <w:r>
        <w:tab/>
      </w:r>
      <w:r>
        <w:fldChar w:fldCharType="end"/>
      </w:r>
    </w:p>
    <w:p>
      <w:pPr>
        <w:pStyle w:val="12"/>
        <w:tabs>
          <w:tab w:val="right" w:leader="dot" w:pos="8715"/>
        </w:tabs>
      </w:pPr>
      <w:r>
        <w:fldChar w:fldCharType="begin"/>
      </w:r>
      <w:r>
        <w:instrText xml:space="preserve"> HYPERLINK \l "_Toc10378" </w:instrText>
      </w:r>
      <w:r>
        <w:fldChar w:fldCharType="separate"/>
      </w:r>
      <w:r>
        <w:rPr>
          <w:rFonts w:hint="eastAsia" w:cs="宋体"/>
        </w:rPr>
        <w:t>6.1投标文件计量单位</w:t>
      </w:r>
      <w:r>
        <w:tab/>
      </w:r>
      <w:r>
        <w:fldChar w:fldCharType="end"/>
      </w:r>
    </w:p>
    <w:p>
      <w:pPr>
        <w:pStyle w:val="12"/>
        <w:tabs>
          <w:tab w:val="right" w:leader="dot" w:pos="8715"/>
        </w:tabs>
      </w:pPr>
      <w:r>
        <w:fldChar w:fldCharType="begin"/>
      </w:r>
      <w:r>
        <w:instrText xml:space="preserve"> HYPERLINK \l "_Toc13017" </w:instrText>
      </w:r>
      <w:r>
        <w:fldChar w:fldCharType="separate"/>
      </w:r>
      <w:r>
        <w:rPr>
          <w:rFonts w:hint="eastAsia" w:cs="宋体"/>
        </w:rPr>
        <w:t>6.2投标文件组成</w:t>
      </w:r>
      <w:r>
        <w:tab/>
      </w:r>
      <w:r>
        <w:fldChar w:fldCharType="end"/>
      </w:r>
    </w:p>
    <w:p>
      <w:pPr>
        <w:pStyle w:val="12"/>
        <w:tabs>
          <w:tab w:val="right" w:leader="dot" w:pos="8715"/>
        </w:tabs>
      </w:pPr>
      <w:r>
        <w:fldChar w:fldCharType="begin"/>
      </w:r>
      <w:r>
        <w:instrText xml:space="preserve"> HYPERLINK \l "_Toc8696" </w:instrText>
      </w:r>
      <w:r>
        <w:fldChar w:fldCharType="separate"/>
      </w:r>
      <w:r>
        <w:rPr>
          <w:rFonts w:hint="eastAsia" w:cs="宋体"/>
        </w:rPr>
        <w:t>6.3有效期</w:t>
      </w:r>
      <w:r>
        <w:tab/>
      </w:r>
      <w:r>
        <w:fldChar w:fldCharType="end"/>
      </w:r>
    </w:p>
    <w:p>
      <w:pPr>
        <w:pStyle w:val="12"/>
        <w:tabs>
          <w:tab w:val="right" w:leader="dot" w:pos="8715"/>
        </w:tabs>
      </w:pPr>
      <w:r>
        <w:fldChar w:fldCharType="begin"/>
      </w:r>
      <w:r>
        <w:instrText xml:space="preserve"> HYPERLINK \l "_Toc4396" </w:instrText>
      </w:r>
      <w:r>
        <w:fldChar w:fldCharType="separate"/>
      </w:r>
      <w:r>
        <w:rPr>
          <w:rFonts w:hint="eastAsia" w:cs="宋体"/>
        </w:rPr>
        <w:t>6.4投标文件格式</w:t>
      </w:r>
      <w:r>
        <w:tab/>
      </w:r>
      <w:r>
        <w:fldChar w:fldCharType="end"/>
      </w:r>
    </w:p>
    <w:p>
      <w:pPr>
        <w:pStyle w:val="12"/>
        <w:tabs>
          <w:tab w:val="right" w:leader="dot" w:pos="8715"/>
        </w:tabs>
      </w:pPr>
      <w:r>
        <w:fldChar w:fldCharType="begin"/>
      </w:r>
      <w:r>
        <w:instrText xml:space="preserve"> HYPERLINK \l "_Toc6599" </w:instrText>
      </w:r>
      <w:r>
        <w:fldChar w:fldCharType="separate"/>
      </w:r>
      <w:r>
        <w:rPr>
          <w:rFonts w:hint="eastAsia" w:cs="宋体"/>
        </w:rPr>
        <w:t>6.5投标文件的装袋、密封和递交</w:t>
      </w:r>
      <w:r>
        <w:tab/>
      </w:r>
      <w:r>
        <w:fldChar w:fldCharType="end"/>
      </w:r>
    </w:p>
    <w:p>
      <w:pPr>
        <w:pStyle w:val="12"/>
        <w:tabs>
          <w:tab w:val="right" w:leader="dot" w:pos="8715"/>
        </w:tabs>
      </w:pPr>
      <w:r>
        <w:fldChar w:fldCharType="begin"/>
      </w:r>
      <w:r>
        <w:instrText xml:space="preserve"> HYPERLINK \l "_Toc6523" </w:instrText>
      </w:r>
      <w:r>
        <w:fldChar w:fldCharType="separate"/>
      </w:r>
      <w:r>
        <w:rPr>
          <w:rFonts w:hint="eastAsia" w:cs="宋体"/>
        </w:rPr>
        <w:t>6.6投标文件的澄清</w:t>
      </w:r>
      <w:r>
        <w:tab/>
      </w:r>
      <w:r>
        <w:fldChar w:fldCharType="end"/>
      </w:r>
    </w:p>
    <w:p>
      <w:pPr>
        <w:pStyle w:val="11"/>
        <w:tabs>
          <w:tab w:val="right" w:leader="dot" w:pos="8715"/>
        </w:tabs>
      </w:pPr>
      <w:r>
        <w:fldChar w:fldCharType="begin"/>
      </w:r>
      <w:r>
        <w:instrText xml:space="preserve"> HYPERLINK \l "_Toc14661" </w:instrText>
      </w:r>
      <w:r>
        <w:fldChar w:fldCharType="separate"/>
      </w:r>
      <w:r>
        <w:rPr>
          <w:rFonts w:hint="eastAsia" w:ascii="Times New Roman" w:hAnsi="Times New Roman" w:cs="宋体"/>
        </w:rPr>
        <w:t>7开标</w:t>
      </w:r>
      <w:r>
        <w:tab/>
      </w:r>
      <w:r>
        <w:fldChar w:fldCharType="end"/>
      </w:r>
    </w:p>
    <w:p>
      <w:pPr>
        <w:pStyle w:val="11"/>
        <w:tabs>
          <w:tab w:val="right" w:leader="dot" w:pos="8715"/>
        </w:tabs>
      </w:pPr>
      <w:r>
        <w:fldChar w:fldCharType="begin"/>
      </w:r>
      <w:r>
        <w:instrText xml:space="preserve"> HYPERLINK \l "_Toc31467" </w:instrText>
      </w:r>
      <w:r>
        <w:fldChar w:fldCharType="separate"/>
      </w:r>
      <w:r>
        <w:rPr>
          <w:rFonts w:hint="eastAsia" w:cs="宋体"/>
        </w:rPr>
        <w:t>8讲标及评标</w:t>
      </w:r>
      <w:r>
        <w:tab/>
      </w:r>
      <w:r>
        <w:fldChar w:fldCharType="end"/>
      </w:r>
    </w:p>
    <w:p>
      <w:pPr>
        <w:pStyle w:val="12"/>
        <w:tabs>
          <w:tab w:val="right" w:leader="dot" w:pos="8715"/>
        </w:tabs>
      </w:pPr>
      <w:r>
        <w:fldChar w:fldCharType="begin"/>
      </w:r>
      <w:r>
        <w:instrText xml:space="preserve"> HYPERLINK \l "_Toc6617" </w:instrText>
      </w:r>
      <w:r>
        <w:fldChar w:fldCharType="separate"/>
      </w:r>
      <w:r>
        <w:rPr>
          <w:rFonts w:hint="eastAsia" w:cs="宋体"/>
        </w:rPr>
        <w:t>8.1中标及合同签订</w:t>
      </w:r>
      <w:r>
        <w:tab/>
      </w:r>
      <w:r>
        <w:fldChar w:fldCharType="end"/>
      </w:r>
    </w:p>
    <w:p>
      <w:pPr>
        <w:pStyle w:val="12"/>
        <w:tabs>
          <w:tab w:val="right" w:leader="dot" w:pos="8715"/>
        </w:tabs>
      </w:pPr>
      <w:r>
        <w:fldChar w:fldCharType="begin"/>
      </w:r>
      <w:r>
        <w:instrText xml:space="preserve"> HYPERLINK \l "_Toc31901" </w:instrText>
      </w:r>
      <w:r>
        <w:fldChar w:fldCharType="separate"/>
      </w:r>
      <w:r>
        <w:rPr>
          <w:rFonts w:hint="eastAsia" w:cs="宋体"/>
        </w:rPr>
        <w:t>8.2废标</w:t>
      </w:r>
      <w:r>
        <w:tab/>
      </w:r>
      <w:r>
        <w:fldChar w:fldCharType="end"/>
      </w:r>
    </w:p>
    <w:p>
      <w:pPr>
        <w:pStyle w:val="12"/>
        <w:tabs>
          <w:tab w:val="right" w:leader="dot" w:pos="8715"/>
        </w:tabs>
      </w:pPr>
      <w:r>
        <w:fldChar w:fldCharType="begin"/>
      </w:r>
      <w:r>
        <w:instrText xml:space="preserve"> HYPERLINK \l "_Toc5145" </w:instrText>
      </w:r>
      <w:r>
        <w:fldChar w:fldCharType="separate"/>
      </w:r>
      <w:r>
        <w:rPr>
          <w:rFonts w:hint="eastAsia" w:cs="宋体"/>
        </w:rPr>
        <w:t>8.3瑕疵滞后发现的处理</w:t>
      </w:r>
      <w:r>
        <w:tab/>
      </w:r>
      <w:r>
        <w:fldChar w:fldCharType="end"/>
      </w:r>
    </w:p>
    <w:p>
      <w:pPr>
        <w:pStyle w:val="12"/>
        <w:tabs>
          <w:tab w:val="right" w:leader="dot" w:pos="8715"/>
        </w:tabs>
      </w:pPr>
      <w:r>
        <w:fldChar w:fldCharType="begin"/>
      </w:r>
      <w:r>
        <w:instrText xml:space="preserve"> HYPERLINK \l "_Toc21242" </w:instrText>
      </w:r>
      <w:r>
        <w:fldChar w:fldCharType="separate"/>
      </w:r>
      <w:r>
        <w:rPr>
          <w:rFonts w:hint="eastAsia"/>
        </w:rPr>
        <w:t>8.4合同以双方最终签署的版本为准</w:t>
      </w:r>
      <w:r>
        <w:tab/>
      </w:r>
      <w:r>
        <w:fldChar w:fldCharType="end"/>
      </w:r>
    </w:p>
    <w:p>
      <w:pPr>
        <w:pStyle w:val="12"/>
        <w:tabs>
          <w:tab w:val="right" w:leader="dot" w:pos="8715"/>
        </w:tabs>
      </w:pPr>
      <w:r>
        <w:fldChar w:fldCharType="begin"/>
      </w:r>
      <w:r>
        <w:instrText xml:space="preserve"> HYPERLINK \l "_Toc30795" </w:instrText>
      </w:r>
      <w:r>
        <w:fldChar w:fldCharType="separate"/>
      </w:r>
      <w:r>
        <w:rPr>
          <w:rFonts w:hint="eastAsia" w:cs="宋体"/>
        </w:rPr>
        <w:t>8.5解释权</w:t>
      </w:r>
      <w:r>
        <w:tab/>
      </w:r>
      <w:r>
        <w:fldChar w:fldCharType="end"/>
      </w:r>
    </w:p>
    <w:p>
      <w:pPr>
        <w:pStyle w:val="19"/>
        <w:widowControl/>
        <w:ind w:firstLine="480"/>
        <w:rPr>
          <w:lang w:bidi="ar"/>
        </w:rPr>
        <w:sectPr>
          <w:pgSz w:w="12242" w:h="15842"/>
          <w:pgMar w:top="1418" w:right="1752" w:bottom="1135" w:left="1418" w:header="737" w:footer="431" w:gutter="357"/>
          <w:pgNumType w:fmt="upperRoman" w:start="1"/>
          <w:cols w:space="425" w:num="1"/>
          <w:docGrid w:type="lines" w:linePitch="312" w:charSpace="0"/>
        </w:sectPr>
      </w:pPr>
      <w:r>
        <w:fldChar w:fldCharType="end"/>
      </w:r>
    </w:p>
    <w:p>
      <w:pPr>
        <w:pStyle w:val="20"/>
        <w:keepNext w:val="0"/>
        <w:widowControl/>
      </w:pPr>
      <w:bookmarkStart w:id="3" w:name="_Toc4004"/>
      <w:r>
        <w:rPr>
          <w:rFonts w:hint="eastAsia" w:cs="宋体"/>
        </w:rPr>
        <w:t>项目名称</w:t>
      </w:r>
      <w:bookmarkEnd w:id="3"/>
    </w:p>
    <w:p>
      <w:pPr>
        <w:pStyle w:val="19"/>
        <w:widowControl/>
        <w:ind w:firstLine="480"/>
        <w:rPr>
          <w:rFonts w:cs="宋体"/>
        </w:rPr>
      </w:pPr>
      <w:r>
        <w:rPr>
          <w:rFonts w:hint="eastAsia" w:cs="宋体"/>
        </w:rPr>
        <w:t>项目名称：</w:t>
      </w:r>
      <w:r>
        <w:rPr>
          <w:rFonts w:hint="eastAsia" w:cs="宋体"/>
          <w:b/>
        </w:rPr>
        <w:t>信息系统合作开发及运维支持项目</w:t>
      </w:r>
      <w:r>
        <w:rPr>
          <w:rFonts w:hint="eastAsia" w:cs="宋体"/>
        </w:rPr>
        <w:t>。</w:t>
      </w:r>
    </w:p>
    <w:p>
      <w:pPr>
        <w:pStyle w:val="19"/>
        <w:widowControl/>
        <w:ind w:firstLine="480"/>
        <w:rPr>
          <w:rFonts w:cs="宋体"/>
        </w:rPr>
      </w:pPr>
      <w:r>
        <w:rPr>
          <w:rFonts w:hint="eastAsia" w:cs="宋体"/>
        </w:rPr>
        <w:t>中国重汽集团济南动力有限公司（以下简称招标人）就中国重汽集团企业管理与信息化部第三方运维服务进行招标，特邀请具有项目资质及承担能力的供应商进行投标。</w:t>
      </w:r>
    </w:p>
    <w:p>
      <w:pPr>
        <w:pStyle w:val="20"/>
        <w:keepNext w:val="0"/>
        <w:widowControl/>
        <w:pBdr>
          <w:top w:val="single" w:color="auto" w:sz="48" w:space="0"/>
        </w:pBdr>
        <w:rPr>
          <w:rFonts w:cs="宋体"/>
        </w:rPr>
      </w:pPr>
      <w:bookmarkStart w:id="4" w:name="_Toc17573"/>
      <w:r>
        <w:rPr>
          <w:rFonts w:hint="eastAsia" w:cs="宋体"/>
        </w:rPr>
        <w:t>招标内容及形式</w:t>
      </w:r>
      <w:bookmarkEnd w:id="4"/>
    </w:p>
    <w:p>
      <w:pPr>
        <w:pStyle w:val="22"/>
        <w:keepNext w:val="0"/>
        <w:widowControl/>
        <w:numPr>
          <w:ilvl w:val="1"/>
          <w:numId w:val="0"/>
        </w:numPr>
        <w:ind w:firstLine="562" w:firstLineChars="200"/>
      </w:pPr>
      <w:bookmarkStart w:id="5" w:name="_Toc14504"/>
      <w:r>
        <w:rPr>
          <w:rFonts w:hint="eastAsia"/>
        </w:rPr>
        <w:t>2.1招标形式与内容</w:t>
      </w:r>
      <w:bookmarkEnd w:id="5"/>
    </w:p>
    <w:p>
      <w:pPr>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本次招标包含信息系统合作开发及运维支持项目</w:t>
      </w:r>
    </w:p>
    <w:p>
      <w:pPr>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第一包：数据库第三方运维服务</w:t>
      </w:r>
    </w:p>
    <w:p>
      <w:pPr>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第二包：统一运维服务</w:t>
      </w:r>
    </w:p>
    <w:p>
      <w:pPr>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第三包：JAVA开发运维</w:t>
      </w:r>
    </w:p>
    <w:p>
      <w:pPr>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第四包：ABAP开发运维</w:t>
      </w:r>
    </w:p>
    <w:p>
      <w:pPr>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本项目采用公开招标的方式</w:t>
      </w:r>
    </w:p>
    <w:p>
      <w:pPr>
        <w:pStyle w:val="22"/>
        <w:keepNext w:val="0"/>
        <w:widowControl/>
        <w:numPr>
          <w:ilvl w:val="1"/>
          <w:numId w:val="0"/>
        </w:numPr>
        <w:ind w:firstLine="562" w:firstLineChars="200"/>
      </w:pPr>
      <w:bookmarkStart w:id="6" w:name="_Toc1211"/>
      <w:r>
        <w:t>2.</w:t>
      </w:r>
      <w:r>
        <w:rPr>
          <w:rFonts w:hint="eastAsia"/>
        </w:rPr>
        <w:t>2</w:t>
      </w:r>
      <w:r>
        <w:rPr>
          <w:rFonts w:hint="eastAsia" w:cs="宋体"/>
        </w:rPr>
        <w:t>议程安排</w:t>
      </w:r>
      <w:bookmarkEnd w:id="6"/>
    </w:p>
    <w:p>
      <w:pPr>
        <w:spacing w:line="360" w:lineRule="auto"/>
        <w:ind w:firstLine="420" w:firstLineChars="200"/>
        <w:rPr>
          <w:rFonts w:ascii="宋体" w:hAnsi="Courier New" w:eastAsia="宋体" w:cs="宋体"/>
          <w:color w:val="auto"/>
          <w:szCs w:val="20"/>
        </w:rPr>
      </w:pPr>
      <w:r>
        <w:rPr>
          <w:rFonts w:hint="eastAsia" w:ascii="宋体" w:hAnsi="Courier New" w:eastAsia="宋体" w:cs="宋体"/>
          <w:color w:val="auto"/>
          <w:szCs w:val="20"/>
          <w:lang w:bidi="ar"/>
        </w:rPr>
        <w:t>1、发标时间：2021年0</w:t>
      </w:r>
      <w:r>
        <w:rPr>
          <w:rFonts w:hint="eastAsia" w:ascii="宋体" w:hAnsi="Courier New" w:eastAsia="宋体" w:cs="宋体"/>
          <w:color w:val="auto"/>
          <w:szCs w:val="20"/>
          <w:lang w:val="en-US" w:eastAsia="zh-CN" w:bidi="ar"/>
        </w:rPr>
        <w:t>4</w:t>
      </w:r>
      <w:r>
        <w:rPr>
          <w:rFonts w:hint="eastAsia" w:ascii="宋体" w:hAnsi="Courier New" w:eastAsia="宋体" w:cs="宋体"/>
          <w:color w:val="auto"/>
          <w:szCs w:val="20"/>
          <w:lang w:bidi="ar"/>
        </w:rPr>
        <w:t>月</w:t>
      </w:r>
      <w:r>
        <w:rPr>
          <w:rFonts w:hint="eastAsia" w:ascii="宋体" w:hAnsi="Courier New" w:eastAsia="宋体" w:cs="宋体"/>
          <w:color w:val="auto"/>
          <w:szCs w:val="20"/>
          <w:lang w:val="en-US" w:eastAsia="zh-CN" w:bidi="ar"/>
        </w:rPr>
        <w:t>7</w:t>
      </w:r>
      <w:r>
        <w:rPr>
          <w:rFonts w:hint="eastAsia" w:ascii="宋体" w:hAnsi="Courier New" w:eastAsia="宋体" w:cs="宋体"/>
          <w:color w:val="auto"/>
          <w:szCs w:val="20"/>
          <w:lang w:bidi="ar"/>
        </w:rPr>
        <w:t xml:space="preserve">日 </w:t>
      </w:r>
    </w:p>
    <w:p>
      <w:pPr>
        <w:spacing w:line="360" w:lineRule="auto"/>
        <w:ind w:firstLine="420" w:firstLineChars="200"/>
        <w:rPr>
          <w:rFonts w:ascii="宋体" w:hAnsi="Courier New" w:eastAsia="宋体" w:cs="宋体"/>
          <w:color w:val="auto"/>
          <w:szCs w:val="20"/>
        </w:rPr>
      </w:pPr>
      <w:r>
        <w:rPr>
          <w:rFonts w:hint="eastAsia" w:ascii="宋体" w:hAnsi="Courier New" w:eastAsia="宋体" w:cs="宋体"/>
          <w:color w:val="auto"/>
          <w:szCs w:val="20"/>
          <w:lang w:bidi="ar"/>
        </w:rPr>
        <w:t>2、答疑时间：截止至2021年</w:t>
      </w:r>
      <w:r>
        <w:rPr>
          <w:rFonts w:hint="eastAsia" w:ascii="宋体" w:hAnsi="Courier New" w:eastAsia="宋体" w:cs="宋体"/>
          <w:color w:val="auto"/>
          <w:szCs w:val="20"/>
          <w:lang w:val="en-US" w:eastAsia="zh-CN" w:bidi="ar"/>
        </w:rPr>
        <w:t>4</w:t>
      </w:r>
      <w:r>
        <w:rPr>
          <w:rFonts w:hint="eastAsia" w:ascii="宋体" w:hAnsi="Courier New" w:eastAsia="宋体" w:cs="宋体"/>
          <w:color w:val="auto"/>
          <w:szCs w:val="20"/>
          <w:lang w:bidi="ar"/>
        </w:rPr>
        <w:t>月</w:t>
      </w:r>
      <w:r>
        <w:rPr>
          <w:rFonts w:hint="eastAsia" w:ascii="宋体" w:hAnsi="Courier New" w:eastAsia="宋体" w:cs="宋体"/>
          <w:color w:val="auto"/>
          <w:szCs w:val="20"/>
          <w:lang w:val="en-US" w:eastAsia="zh-CN" w:bidi="ar"/>
        </w:rPr>
        <w:t>17</w:t>
      </w:r>
      <w:r>
        <w:rPr>
          <w:rFonts w:hint="eastAsia" w:ascii="宋体" w:hAnsi="Courier New" w:eastAsia="宋体" w:cs="宋体"/>
          <w:color w:val="auto"/>
          <w:szCs w:val="20"/>
          <w:lang w:bidi="ar"/>
        </w:rPr>
        <w:t>日下午5点前，逾期不受理</w:t>
      </w:r>
    </w:p>
    <w:p>
      <w:pPr>
        <w:spacing w:line="360" w:lineRule="auto"/>
        <w:ind w:firstLine="1890" w:firstLineChars="900"/>
        <w:rPr>
          <w:rFonts w:ascii="宋体" w:hAnsi="Courier New" w:eastAsia="宋体" w:cs="宋体"/>
          <w:color w:val="000000"/>
          <w:szCs w:val="20"/>
          <w:lang w:bidi="ar"/>
        </w:rPr>
      </w:pPr>
      <w:r>
        <w:rPr>
          <w:rFonts w:hint="eastAsia" w:ascii="宋体" w:hAnsi="Courier New" w:eastAsia="宋体" w:cs="宋体"/>
          <w:color w:val="000000"/>
          <w:szCs w:val="20"/>
          <w:lang w:bidi="ar"/>
        </w:rPr>
        <w:t>联 系 人：曹磊 18854194428 （第一包技术部分）</w:t>
      </w:r>
    </w:p>
    <w:p>
      <w:pPr>
        <w:spacing w:line="360" w:lineRule="auto"/>
        <w:ind w:firstLine="1890" w:firstLineChars="900"/>
        <w:rPr>
          <w:rFonts w:ascii="宋体" w:hAnsi="Courier New" w:eastAsia="宋体" w:cs="宋体"/>
          <w:color w:val="000000"/>
          <w:szCs w:val="20"/>
          <w:lang w:bidi="ar"/>
        </w:rPr>
      </w:pPr>
      <w:r>
        <w:rPr>
          <w:rFonts w:hint="eastAsia" w:ascii="宋体" w:hAnsi="Courier New" w:eastAsia="宋体" w:cs="宋体"/>
          <w:color w:val="000000"/>
          <w:szCs w:val="20"/>
          <w:lang w:bidi="ar"/>
        </w:rPr>
        <w:t xml:space="preserve">          高嵩 13793153331 （第二包技术部分）</w:t>
      </w:r>
    </w:p>
    <w:p>
      <w:pPr>
        <w:spacing w:line="360" w:lineRule="auto"/>
        <w:ind w:firstLine="1890" w:firstLineChars="900"/>
        <w:rPr>
          <w:rFonts w:ascii="宋体" w:hAnsi="Courier New" w:eastAsia="宋体" w:cs="宋体"/>
          <w:color w:val="000000"/>
          <w:szCs w:val="20"/>
          <w:lang w:bidi="ar"/>
        </w:rPr>
      </w:pPr>
      <w:r>
        <w:rPr>
          <w:rFonts w:hint="eastAsia" w:ascii="宋体" w:hAnsi="Courier New" w:eastAsia="宋体" w:cs="宋体"/>
          <w:color w:val="000000"/>
          <w:szCs w:val="20"/>
          <w:lang w:bidi="ar"/>
        </w:rPr>
        <w:t xml:space="preserve">          刘杰生 15665761275 （第三包技术部分）</w:t>
      </w:r>
    </w:p>
    <w:p>
      <w:pPr>
        <w:spacing w:line="360" w:lineRule="auto"/>
        <w:ind w:firstLine="1890" w:firstLineChars="900"/>
        <w:rPr>
          <w:rFonts w:ascii="宋体" w:hAnsi="Courier New" w:eastAsia="宋体" w:cs="宋体"/>
          <w:color w:val="000000"/>
          <w:szCs w:val="20"/>
          <w:lang w:bidi="ar"/>
        </w:rPr>
      </w:pPr>
      <w:r>
        <w:rPr>
          <w:rFonts w:hint="eastAsia" w:ascii="宋体" w:hAnsi="Courier New" w:eastAsia="宋体" w:cs="宋体"/>
          <w:color w:val="000000"/>
          <w:szCs w:val="20"/>
          <w:lang w:bidi="ar"/>
        </w:rPr>
        <w:t xml:space="preserve">          徐鑫</w:t>
      </w:r>
      <w:r>
        <w:rPr>
          <w:rFonts w:hint="eastAsia" w:ascii="宋体" w:hAnsi="Courier New" w:eastAsia="宋体" w:cs="宋体"/>
          <w:color w:val="000000"/>
          <w:szCs w:val="20"/>
          <w:lang w:val="en-US" w:eastAsia="zh-CN" w:bidi="ar"/>
        </w:rPr>
        <w:t>圣</w:t>
      </w:r>
      <w:r>
        <w:rPr>
          <w:rFonts w:hint="eastAsia" w:ascii="宋体" w:hAnsi="Courier New" w:eastAsia="宋体" w:cs="宋体"/>
          <w:color w:val="000000"/>
          <w:szCs w:val="20"/>
          <w:lang w:bidi="ar"/>
        </w:rPr>
        <w:t xml:space="preserve"> 18615650880 （第四包技术部分）</w:t>
      </w:r>
    </w:p>
    <w:p>
      <w:pPr>
        <w:spacing w:line="360" w:lineRule="auto"/>
        <w:ind w:firstLine="2940" w:firstLineChars="1400"/>
        <w:rPr>
          <w:rFonts w:ascii="宋体" w:hAnsi="Courier New" w:eastAsia="宋体" w:cs="宋体"/>
          <w:color w:val="000000"/>
          <w:szCs w:val="20"/>
        </w:rPr>
      </w:pPr>
      <w:r>
        <w:rPr>
          <w:rFonts w:hint="eastAsia" w:ascii="宋体" w:hAnsi="Courier New" w:eastAsia="宋体" w:cs="宋体"/>
          <w:color w:val="000000"/>
          <w:szCs w:val="20"/>
          <w:lang w:bidi="ar"/>
        </w:rPr>
        <w:t>林海峰 15562567081 （商务部分）</w:t>
      </w:r>
    </w:p>
    <w:p>
      <w:pPr>
        <w:spacing w:line="360" w:lineRule="auto"/>
        <w:ind w:firstLine="420" w:firstLineChars="200"/>
        <w:rPr>
          <w:rFonts w:ascii="宋体" w:hAnsi="Courier New" w:eastAsia="宋体" w:cs="宋体"/>
          <w:color w:val="000000"/>
          <w:szCs w:val="20"/>
        </w:rPr>
      </w:pPr>
      <w:r>
        <w:rPr>
          <w:rFonts w:hint="eastAsia" w:ascii="宋体" w:hAnsi="Courier New" w:eastAsia="宋体" w:cs="宋体"/>
          <w:color w:val="000000"/>
          <w:szCs w:val="20"/>
          <w:lang w:bidi="ar"/>
        </w:rPr>
        <w:t>3、投标报名截止时间：2021年</w:t>
      </w:r>
      <w:r>
        <w:rPr>
          <w:rFonts w:hint="eastAsia" w:ascii="宋体" w:hAnsi="Courier New" w:eastAsia="宋体" w:cs="宋体"/>
          <w:color w:val="000000"/>
          <w:szCs w:val="20"/>
          <w:lang w:val="en-US" w:eastAsia="zh-CN" w:bidi="ar"/>
        </w:rPr>
        <w:t>4</w:t>
      </w:r>
      <w:r>
        <w:rPr>
          <w:rFonts w:hint="eastAsia" w:ascii="宋体" w:hAnsi="Courier New" w:eastAsia="宋体" w:cs="宋体"/>
          <w:color w:val="000000"/>
          <w:szCs w:val="20"/>
          <w:lang w:bidi="ar"/>
        </w:rPr>
        <w:t>月</w:t>
      </w:r>
      <w:r>
        <w:rPr>
          <w:rFonts w:hint="eastAsia" w:ascii="宋体" w:hAnsi="Courier New" w:eastAsia="宋体" w:cs="宋体"/>
          <w:color w:val="000000"/>
          <w:szCs w:val="20"/>
          <w:lang w:val="en-US" w:eastAsia="zh-CN" w:bidi="ar"/>
        </w:rPr>
        <w:t>17</w:t>
      </w:r>
      <w:r>
        <w:rPr>
          <w:rFonts w:hint="eastAsia" w:ascii="宋体" w:hAnsi="Courier New" w:eastAsia="宋体" w:cs="宋体"/>
          <w:color w:val="000000"/>
          <w:szCs w:val="20"/>
          <w:lang w:bidi="ar"/>
        </w:rPr>
        <w:t>日下午5点前，逾期不受理</w:t>
      </w:r>
    </w:p>
    <w:p>
      <w:pPr>
        <w:spacing w:line="360" w:lineRule="auto"/>
        <w:ind w:left="420" w:leftChars="200" w:firstLine="420" w:firstLineChars="200"/>
        <w:rPr>
          <w:rFonts w:ascii="宋体" w:hAnsi="Courier New" w:eastAsia="宋体" w:cs="宋体"/>
          <w:color w:val="000000"/>
          <w:szCs w:val="20"/>
        </w:rPr>
      </w:pPr>
      <w:r>
        <w:rPr>
          <w:rFonts w:hint="eastAsia" w:ascii="宋体" w:hAnsi="Courier New" w:eastAsia="宋体" w:cs="宋体"/>
          <w:color w:val="000000"/>
          <w:szCs w:val="20"/>
          <w:lang w:bidi="ar"/>
        </w:rPr>
        <w:t>报名方式：将附表9填写完毕后，加盖公章，扫描成PDF发送至j</w:t>
      </w:r>
      <w:bookmarkStart w:id="7" w:name="_Hlt20314908"/>
      <w:bookmarkStart w:id="8" w:name="_Hlt20314909"/>
      <w:r>
        <w:rPr>
          <w:rFonts w:hint="eastAsia" w:ascii="宋体" w:hAnsi="Courier New" w:eastAsia="宋体" w:cs="宋体"/>
          <w:color w:val="000000"/>
          <w:szCs w:val="20"/>
          <w:lang w:bidi="ar"/>
        </w:rPr>
        <w:t>t</w:t>
      </w:r>
      <w:bookmarkEnd w:id="7"/>
      <w:bookmarkEnd w:id="8"/>
      <w:r>
        <w:rPr>
          <w:rFonts w:hint="eastAsia" w:ascii="宋体" w:hAnsi="Courier New" w:eastAsia="宋体" w:cs="宋体"/>
          <w:color w:val="000000"/>
          <w:szCs w:val="20"/>
          <w:lang w:bidi="ar"/>
        </w:rPr>
        <w:t>xxhb@sinotruk.com，并电话确认</w:t>
      </w:r>
    </w:p>
    <w:p>
      <w:pPr>
        <w:spacing w:line="360" w:lineRule="auto"/>
        <w:ind w:firstLine="735"/>
        <w:rPr>
          <w:rFonts w:ascii="宋体" w:hAnsi="Courier New" w:eastAsia="宋体" w:cs="宋体"/>
          <w:color w:val="000000"/>
          <w:szCs w:val="20"/>
        </w:rPr>
      </w:pPr>
      <w:r>
        <w:rPr>
          <w:rFonts w:hint="eastAsia" w:ascii="宋体" w:hAnsi="Courier New" w:eastAsia="宋体" w:cs="宋体"/>
          <w:color w:val="000000"/>
          <w:szCs w:val="20"/>
          <w:lang w:bidi="ar"/>
        </w:rPr>
        <w:t>联 系 人：林海峰  15562567081</w:t>
      </w:r>
    </w:p>
    <w:p>
      <w:pPr>
        <w:spacing w:line="360" w:lineRule="auto"/>
        <w:ind w:firstLine="420" w:firstLineChars="200"/>
        <w:rPr>
          <w:rFonts w:ascii="宋体" w:hAnsi="Courier New" w:eastAsia="宋体" w:cs="宋体"/>
          <w:color w:val="auto"/>
          <w:szCs w:val="20"/>
        </w:rPr>
      </w:pPr>
      <w:r>
        <w:rPr>
          <w:rFonts w:hint="eastAsia" w:ascii="宋体" w:hAnsi="Courier New" w:eastAsia="宋体" w:cs="宋体"/>
          <w:color w:val="auto"/>
          <w:szCs w:val="20"/>
          <w:lang w:bidi="ar"/>
        </w:rPr>
        <w:t>4、开标时间：暂定2021年</w:t>
      </w:r>
      <w:r>
        <w:rPr>
          <w:rFonts w:hint="eastAsia" w:ascii="宋体" w:hAnsi="Courier New" w:eastAsia="宋体" w:cs="宋体"/>
          <w:color w:val="auto"/>
          <w:szCs w:val="20"/>
          <w:lang w:val="en-US" w:eastAsia="zh-CN" w:bidi="ar"/>
        </w:rPr>
        <w:t>4</w:t>
      </w:r>
      <w:r>
        <w:rPr>
          <w:rFonts w:hint="eastAsia" w:ascii="宋体" w:hAnsi="Courier New" w:eastAsia="宋体" w:cs="宋体"/>
          <w:color w:val="auto"/>
          <w:szCs w:val="20"/>
          <w:lang w:bidi="ar"/>
        </w:rPr>
        <w:t>月</w:t>
      </w:r>
      <w:r>
        <w:rPr>
          <w:rFonts w:hint="eastAsia" w:ascii="宋体" w:hAnsi="Courier New" w:eastAsia="宋体" w:cs="宋体"/>
          <w:color w:val="auto"/>
          <w:szCs w:val="20"/>
          <w:lang w:val="en-US" w:eastAsia="zh-CN" w:bidi="ar"/>
        </w:rPr>
        <w:t>19</w:t>
      </w:r>
      <w:bookmarkStart w:id="220" w:name="_GoBack"/>
      <w:bookmarkEnd w:id="220"/>
      <w:r>
        <w:rPr>
          <w:rFonts w:hint="eastAsia" w:ascii="宋体" w:hAnsi="Courier New" w:eastAsia="宋体" w:cs="宋体"/>
          <w:color w:val="auto"/>
          <w:szCs w:val="20"/>
          <w:lang w:bidi="ar"/>
        </w:rPr>
        <w:t>日</w:t>
      </w:r>
      <w:r>
        <w:rPr>
          <w:rFonts w:ascii="宋体" w:hAnsi="Courier New" w:eastAsia="宋体" w:cs="宋体"/>
          <w:color w:val="auto"/>
          <w:szCs w:val="20"/>
          <w:lang w:bidi="ar"/>
        </w:rPr>
        <w:t>9</w:t>
      </w:r>
      <w:r>
        <w:rPr>
          <w:rFonts w:hint="eastAsia" w:ascii="宋体" w:hAnsi="Courier New" w:eastAsia="宋体" w:cs="宋体"/>
          <w:color w:val="auto"/>
          <w:szCs w:val="20"/>
          <w:lang w:bidi="ar"/>
        </w:rPr>
        <w:t>时</w:t>
      </w:r>
      <w:r>
        <w:rPr>
          <w:rFonts w:ascii="宋体" w:hAnsi="Courier New" w:eastAsia="宋体" w:cs="宋体"/>
          <w:color w:val="auto"/>
          <w:szCs w:val="20"/>
          <w:lang w:bidi="ar"/>
        </w:rPr>
        <w:t>0</w:t>
      </w:r>
      <w:r>
        <w:rPr>
          <w:rFonts w:hint="eastAsia" w:ascii="宋体" w:hAnsi="Courier New" w:eastAsia="宋体" w:cs="宋体"/>
          <w:color w:val="auto"/>
          <w:szCs w:val="20"/>
          <w:lang w:bidi="ar"/>
        </w:rPr>
        <w:t>0分，若有变动另行通知。</w:t>
      </w:r>
    </w:p>
    <w:p>
      <w:pPr>
        <w:rPr>
          <w:rFonts w:ascii="Calibri" w:hAnsi="Calibri" w:eastAsia="宋体" w:cs="Times New Roman"/>
          <w:szCs w:val="21"/>
        </w:rPr>
      </w:pPr>
      <w:r>
        <w:rPr>
          <w:rFonts w:hint="eastAsia" w:ascii="宋体" w:hAnsi="Courier New" w:eastAsia="宋体" w:cs="宋体"/>
          <w:color w:val="000000"/>
          <w:szCs w:val="20"/>
          <w:lang w:bidi="ar"/>
        </w:rPr>
        <w:t>投标人应提供</w:t>
      </w:r>
      <w:r>
        <w:rPr>
          <w:rFonts w:hint="eastAsia" w:ascii="宋体" w:hAnsi="宋体" w:eastAsia="宋体" w:cs="宋体"/>
          <w:color w:val="000000"/>
          <w:lang w:bidi="ar"/>
        </w:rPr>
        <w:t>营业执照副本原件、</w:t>
      </w:r>
      <w:r>
        <w:rPr>
          <w:rFonts w:hint="eastAsia" w:ascii="宋体" w:hAnsi="Courier New" w:eastAsia="宋体" w:cs="宋体"/>
          <w:color w:val="000000"/>
          <w:szCs w:val="20"/>
          <w:lang w:bidi="ar"/>
        </w:rPr>
        <w:t>法定代表人资格证明、法人授权委托书原件。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3123"/>
        <w:gridCol w:w="1786"/>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cs="宋体"/>
                <w:kern w:val="0"/>
                <w:sz w:val="24"/>
              </w:rPr>
            </w:pPr>
            <w:r>
              <w:rPr>
                <w:rFonts w:hint="eastAsia" w:ascii="宋体" w:hAnsi="宋体" w:eastAsia="宋体" w:cs="宋体"/>
                <w:kern w:val="0"/>
                <w:sz w:val="24"/>
              </w:rPr>
              <w:t>序号</w:t>
            </w:r>
          </w:p>
        </w:tc>
        <w:tc>
          <w:tcPr>
            <w:tcW w:w="1276" w:type="dxa"/>
          </w:tcPr>
          <w:p>
            <w:pPr>
              <w:spacing w:line="360" w:lineRule="auto"/>
              <w:rPr>
                <w:rFonts w:ascii="宋体" w:hAnsi="宋体" w:eastAsia="宋体" w:cs="宋体"/>
                <w:kern w:val="0"/>
                <w:sz w:val="24"/>
              </w:rPr>
            </w:pPr>
            <w:r>
              <w:rPr>
                <w:rFonts w:hint="eastAsia" w:ascii="宋体" w:hAnsi="宋体" w:eastAsia="宋体" w:cs="宋体"/>
                <w:kern w:val="0"/>
                <w:sz w:val="24"/>
              </w:rPr>
              <w:t>包次</w:t>
            </w:r>
          </w:p>
        </w:tc>
        <w:tc>
          <w:tcPr>
            <w:tcW w:w="3123" w:type="dxa"/>
          </w:tcPr>
          <w:p>
            <w:pPr>
              <w:spacing w:line="360" w:lineRule="auto"/>
              <w:rPr>
                <w:rFonts w:ascii="宋体" w:hAnsi="宋体" w:eastAsia="宋体" w:cs="宋体"/>
                <w:kern w:val="0"/>
                <w:sz w:val="24"/>
              </w:rPr>
            </w:pPr>
            <w:r>
              <w:rPr>
                <w:rFonts w:hint="eastAsia" w:ascii="宋体" w:hAnsi="宋体" w:eastAsia="宋体" w:cs="宋体"/>
                <w:kern w:val="0"/>
                <w:sz w:val="24"/>
              </w:rPr>
              <w:t>开标时间</w:t>
            </w:r>
          </w:p>
        </w:tc>
        <w:tc>
          <w:tcPr>
            <w:tcW w:w="1786" w:type="dxa"/>
          </w:tcPr>
          <w:p>
            <w:pPr>
              <w:spacing w:line="360" w:lineRule="auto"/>
              <w:rPr>
                <w:rFonts w:ascii="宋体" w:hAnsi="宋体" w:eastAsia="宋体" w:cs="宋体"/>
                <w:kern w:val="0"/>
                <w:sz w:val="24"/>
              </w:rPr>
            </w:pPr>
            <w:r>
              <w:rPr>
                <w:rFonts w:hint="eastAsia" w:ascii="宋体" w:hAnsi="宋体" w:eastAsia="宋体" w:cs="宋体"/>
                <w:kern w:val="0"/>
                <w:sz w:val="24"/>
              </w:rPr>
              <w:t>开标地点</w:t>
            </w:r>
          </w:p>
        </w:tc>
        <w:tc>
          <w:tcPr>
            <w:tcW w:w="1787" w:type="dxa"/>
          </w:tcPr>
          <w:p>
            <w:pPr>
              <w:spacing w:line="360" w:lineRule="auto"/>
              <w:rPr>
                <w:rFonts w:ascii="宋体" w:hAnsi="宋体" w:eastAsia="宋体" w:cs="宋体"/>
                <w:kern w:val="0"/>
                <w:sz w:val="24"/>
              </w:rPr>
            </w:pPr>
            <w:r>
              <w:rPr>
                <w:rFonts w:hint="eastAsia" w:ascii="宋体" w:hAnsi="宋体" w:eastAsia="宋体" w:cs="宋体"/>
                <w:kern w:val="0"/>
                <w:sz w:val="24"/>
              </w:rPr>
              <w:t>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1</w:t>
            </w:r>
          </w:p>
        </w:tc>
        <w:tc>
          <w:tcPr>
            <w:tcW w:w="1276"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第一包</w:t>
            </w:r>
          </w:p>
        </w:tc>
        <w:tc>
          <w:tcPr>
            <w:tcW w:w="3123" w:type="dxa"/>
          </w:tcPr>
          <w:p>
            <w:pPr>
              <w:spacing w:line="360" w:lineRule="auto"/>
              <w:rPr>
                <w:rFonts w:ascii="宋体" w:hAnsi="宋体" w:eastAsia="宋体" w:cs="宋体"/>
                <w:color w:val="auto"/>
                <w:kern w:val="0"/>
                <w:sz w:val="24"/>
              </w:rPr>
            </w:pPr>
            <w:r>
              <w:rPr>
                <w:rFonts w:hint="eastAsia" w:ascii="宋体" w:hAnsi="Courier New" w:eastAsia="宋体" w:cs="宋体"/>
                <w:color w:val="auto"/>
                <w:szCs w:val="20"/>
                <w:lang w:val="en-US" w:eastAsia="zh-CN" w:bidi="ar"/>
              </w:rPr>
              <w:t>4</w:t>
            </w:r>
            <w:r>
              <w:rPr>
                <w:rFonts w:hint="eastAsia" w:ascii="宋体" w:hAnsi="Courier New" w:eastAsia="宋体" w:cs="宋体"/>
                <w:color w:val="auto"/>
                <w:szCs w:val="20"/>
                <w:lang w:bidi="ar"/>
              </w:rPr>
              <w:t>月</w:t>
            </w:r>
            <w:r>
              <w:rPr>
                <w:rFonts w:hint="eastAsia" w:ascii="宋体" w:hAnsi="Courier New" w:eastAsia="宋体" w:cs="宋体"/>
                <w:color w:val="auto"/>
                <w:szCs w:val="20"/>
                <w:lang w:val="en-US" w:eastAsia="zh-CN" w:bidi="ar"/>
              </w:rPr>
              <w:t>19</w:t>
            </w:r>
            <w:r>
              <w:rPr>
                <w:rFonts w:hint="eastAsia" w:ascii="宋体" w:hAnsi="Courier New" w:eastAsia="宋体" w:cs="宋体"/>
                <w:color w:val="auto"/>
                <w:szCs w:val="20"/>
                <w:lang w:bidi="ar"/>
              </w:rPr>
              <w:t>日</w:t>
            </w:r>
            <w:r>
              <w:rPr>
                <w:rFonts w:ascii="宋体" w:hAnsi="Courier New" w:eastAsia="宋体" w:cs="宋体"/>
                <w:color w:val="auto"/>
                <w:szCs w:val="20"/>
                <w:lang w:bidi="ar"/>
              </w:rPr>
              <w:t>9</w:t>
            </w:r>
            <w:r>
              <w:rPr>
                <w:rFonts w:hint="eastAsia" w:ascii="宋体" w:hAnsi="Courier New" w:eastAsia="宋体" w:cs="宋体"/>
                <w:color w:val="auto"/>
                <w:szCs w:val="20"/>
                <w:lang w:bidi="ar"/>
              </w:rPr>
              <w:t>时</w:t>
            </w:r>
            <w:r>
              <w:rPr>
                <w:rFonts w:ascii="宋体" w:hAnsi="Courier New" w:eastAsia="宋体" w:cs="宋体"/>
                <w:color w:val="auto"/>
                <w:szCs w:val="20"/>
                <w:lang w:bidi="ar"/>
              </w:rPr>
              <w:t>0</w:t>
            </w:r>
            <w:r>
              <w:rPr>
                <w:rFonts w:hint="eastAsia" w:ascii="宋体" w:hAnsi="Courier New" w:eastAsia="宋体" w:cs="宋体"/>
                <w:color w:val="auto"/>
                <w:szCs w:val="20"/>
                <w:lang w:bidi="ar"/>
              </w:rPr>
              <w:t>0</w:t>
            </w:r>
          </w:p>
        </w:tc>
        <w:tc>
          <w:tcPr>
            <w:tcW w:w="1786" w:type="dxa"/>
          </w:tcPr>
          <w:p>
            <w:pPr>
              <w:spacing w:line="360" w:lineRule="auto"/>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rPr>
              <w:t>楼3</w:t>
            </w:r>
            <w:r>
              <w:rPr>
                <w:rFonts w:ascii="宋体" w:hAnsi="宋体" w:eastAsia="宋体" w:cs="宋体"/>
                <w:color w:val="auto"/>
                <w:kern w:val="0"/>
                <w:sz w:val="24"/>
              </w:rPr>
              <w:t>12</w:t>
            </w:r>
          </w:p>
        </w:tc>
        <w:tc>
          <w:tcPr>
            <w:tcW w:w="1787"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3</w:t>
            </w:r>
            <w:r>
              <w:rPr>
                <w:rFonts w:ascii="宋体" w:hAnsi="宋体" w:eastAsia="宋体" w:cs="宋体"/>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2</w:t>
            </w:r>
          </w:p>
        </w:tc>
        <w:tc>
          <w:tcPr>
            <w:tcW w:w="1276"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第二包</w:t>
            </w:r>
          </w:p>
        </w:tc>
        <w:tc>
          <w:tcPr>
            <w:tcW w:w="3123" w:type="dxa"/>
          </w:tcPr>
          <w:p>
            <w:pPr>
              <w:spacing w:line="360" w:lineRule="auto"/>
              <w:rPr>
                <w:rFonts w:ascii="宋体" w:hAnsi="宋体" w:eastAsia="宋体" w:cs="宋体"/>
                <w:color w:val="auto"/>
                <w:kern w:val="0"/>
                <w:sz w:val="24"/>
              </w:rPr>
            </w:pPr>
            <w:r>
              <w:rPr>
                <w:rFonts w:ascii="宋体" w:hAnsi="Courier New" w:eastAsia="宋体" w:cs="宋体"/>
                <w:color w:val="auto"/>
                <w:szCs w:val="20"/>
                <w:lang w:bidi="ar"/>
              </w:rPr>
              <w:t>4</w:t>
            </w:r>
            <w:r>
              <w:rPr>
                <w:rFonts w:hint="eastAsia" w:ascii="宋体" w:hAnsi="Courier New" w:eastAsia="宋体" w:cs="宋体"/>
                <w:color w:val="auto"/>
                <w:szCs w:val="20"/>
                <w:lang w:bidi="ar"/>
              </w:rPr>
              <w:t>月</w:t>
            </w:r>
            <w:r>
              <w:rPr>
                <w:rFonts w:hint="eastAsia" w:ascii="宋体" w:hAnsi="Courier New" w:eastAsia="宋体" w:cs="宋体"/>
                <w:color w:val="auto"/>
                <w:szCs w:val="20"/>
                <w:lang w:val="en-US" w:eastAsia="zh-CN" w:bidi="ar"/>
              </w:rPr>
              <w:t>20</w:t>
            </w:r>
            <w:r>
              <w:rPr>
                <w:rFonts w:hint="eastAsia" w:ascii="宋体" w:hAnsi="Courier New" w:eastAsia="宋体" w:cs="宋体"/>
                <w:color w:val="auto"/>
                <w:szCs w:val="20"/>
                <w:lang w:bidi="ar"/>
              </w:rPr>
              <w:t>日</w:t>
            </w:r>
            <w:r>
              <w:rPr>
                <w:rFonts w:ascii="宋体" w:hAnsi="Courier New" w:eastAsia="宋体" w:cs="宋体"/>
                <w:color w:val="auto"/>
                <w:szCs w:val="20"/>
                <w:lang w:bidi="ar"/>
              </w:rPr>
              <w:t>9</w:t>
            </w:r>
            <w:r>
              <w:rPr>
                <w:rFonts w:hint="eastAsia" w:ascii="宋体" w:hAnsi="Courier New" w:eastAsia="宋体" w:cs="宋体"/>
                <w:color w:val="auto"/>
                <w:szCs w:val="20"/>
                <w:lang w:bidi="ar"/>
              </w:rPr>
              <w:t>时</w:t>
            </w:r>
            <w:r>
              <w:rPr>
                <w:rFonts w:ascii="宋体" w:hAnsi="Courier New" w:eastAsia="宋体" w:cs="宋体"/>
                <w:color w:val="auto"/>
                <w:szCs w:val="20"/>
                <w:lang w:bidi="ar"/>
              </w:rPr>
              <w:t>0</w:t>
            </w:r>
            <w:r>
              <w:rPr>
                <w:rFonts w:hint="eastAsia" w:ascii="宋体" w:hAnsi="Courier New" w:eastAsia="宋体" w:cs="宋体"/>
                <w:color w:val="auto"/>
                <w:szCs w:val="20"/>
                <w:lang w:bidi="ar"/>
              </w:rPr>
              <w:t>0</w:t>
            </w:r>
          </w:p>
        </w:tc>
        <w:tc>
          <w:tcPr>
            <w:tcW w:w="1786" w:type="dxa"/>
          </w:tcPr>
          <w:p>
            <w:pPr>
              <w:spacing w:line="360" w:lineRule="auto"/>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rPr>
              <w:t>楼3</w:t>
            </w:r>
            <w:r>
              <w:rPr>
                <w:rFonts w:ascii="宋体" w:hAnsi="宋体" w:eastAsia="宋体" w:cs="宋体"/>
                <w:color w:val="auto"/>
                <w:kern w:val="0"/>
                <w:sz w:val="24"/>
              </w:rPr>
              <w:t>12</w:t>
            </w:r>
          </w:p>
        </w:tc>
        <w:tc>
          <w:tcPr>
            <w:tcW w:w="1787"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3</w:t>
            </w:r>
            <w:r>
              <w:rPr>
                <w:rFonts w:ascii="宋体" w:hAnsi="宋体" w:eastAsia="宋体" w:cs="宋体"/>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3</w:t>
            </w:r>
          </w:p>
        </w:tc>
        <w:tc>
          <w:tcPr>
            <w:tcW w:w="1276"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第三包</w:t>
            </w:r>
          </w:p>
        </w:tc>
        <w:tc>
          <w:tcPr>
            <w:tcW w:w="3123" w:type="dxa"/>
          </w:tcPr>
          <w:p>
            <w:pPr>
              <w:spacing w:line="360" w:lineRule="auto"/>
              <w:rPr>
                <w:rFonts w:ascii="宋体" w:hAnsi="宋体" w:eastAsia="宋体" w:cs="宋体"/>
                <w:color w:val="auto"/>
                <w:kern w:val="0"/>
                <w:sz w:val="24"/>
              </w:rPr>
            </w:pPr>
            <w:r>
              <w:rPr>
                <w:rFonts w:hint="eastAsia" w:ascii="宋体" w:hAnsi="Courier New" w:eastAsia="宋体" w:cs="宋体"/>
                <w:color w:val="auto"/>
                <w:szCs w:val="20"/>
                <w:lang w:val="en-US" w:eastAsia="zh-CN" w:bidi="ar"/>
              </w:rPr>
              <w:t>4</w:t>
            </w:r>
            <w:r>
              <w:rPr>
                <w:rFonts w:hint="eastAsia" w:ascii="宋体" w:hAnsi="Courier New" w:eastAsia="宋体" w:cs="宋体"/>
                <w:color w:val="auto"/>
                <w:szCs w:val="20"/>
                <w:lang w:bidi="ar"/>
              </w:rPr>
              <w:t>月</w:t>
            </w:r>
            <w:r>
              <w:rPr>
                <w:rFonts w:hint="eastAsia" w:ascii="宋体" w:hAnsi="Courier New" w:eastAsia="宋体" w:cs="宋体"/>
                <w:color w:val="auto"/>
                <w:szCs w:val="20"/>
                <w:lang w:val="en-US" w:eastAsia="zh-CN" w:bidi="ar"/>
              </w:rPr>
              <w:t>19</w:t>
            </w:r>
            <w:r>
              <w:rPr>
                <w:rFonts w:hint="eastAsia" w:ascii="宋体" w:hAnsi="Courier New" w:eastAsia="宋体" w:cs="宋体"/>
                <w:color w:val="auto"/>
                <w:szCs w:val="20"/>
                <w:lang w:bidi="ar"/>
              </w:rPr>
              <w:t>日</w:t>
            </w:r>
            <w:r>
              <w:rPr>
                <w:rFonts w:ascii="宋体" w:hAnsi="Courier New" w:eastAsia="宋体" w:cs="宋体"/>
                <w:color w:val="auto"/>
                <w:szCs w:val="20"/>
                <w:lang w:bidi="ar"/>
              </w:rPr>
              <w:t>9</w:t>
            </w:r>
            <w:r>
              <w:rPr>
                <w:rFonts w:hint="eastAsia" w:ascii="宋体" w:hAnsi="Courier New" w:eastAsia="宋体" w:cs="宋体"/>
                <w:color w:val="auto"/>
                <w:szCs w:val="20"/>
                <w:lang w:bidi="ar"/>
              </w:rPr>
              <w:t>时</w:t>
            </w:r>
            <w:r>
              <w:rPr>
                <w:rFonts w:ascii="宋体" w:hAnsi="Courier New" w:eastAsia="宋体" w:cs="宋体"/>
                <w:color w:val="auto"/>
                <w:szCs w:val="20"/>
                <w:lang w:bidi="ar"/>
              </w:rPr>
              <w:t>0</w:t>
            </w:r>
            <w:r>
              <w:rPr>
                <w:rFonts w:hint="eastAsia" w:ascii="宋体" w:hAnsi="Courier New" w:eastAsia="宋体" w:cs="宋体"/>
                <w:color w:val="auto"/>
                <w:szCs w:val="20"/>
                <w:lang w:bidi="ar"/>
              </w:rPr>
              <w:t>0</w:t>
            </w:r>
          </w:p>
        </w:tc>
        <w:tc>
          <w:tcPr>
            <w:tcW w:w="1786" w:type="dxa"/>
          </w:tcPr>
          <w:p>
            <w:pPr>
              <w:spacing w:line="360" w:lineRule="auto"/>
              <w:rPr>
                <w:rFonts w:ascii="宋体" w:hAnsi="宋体" w:eastAsia="宋体" w:cs="宋体"/>
                <w:color w:val="auto"/>
                <w:kern w:val="0"/>
                <w:sz w:val="24"/>
              </w:rPr>
            </w:pPr>
            <w:r>
              <w:rPr>
                <w:rFonts w:ascii="宋体" w:hAnsi="宋体" w:eastAsia="宋体" w:cs="宋体"/>
                <w:color w:val="auto"/>
                <w:kern w:val="0"/>
                <w:sz w:val="24"/>
              </w:rPr>
              <w:t>30</w:t>
            </w:r>
            <w:r>
              <w:rPr>
                <w:rFonts w:hint="eastAsia" w:ascii="宋体" w:hAnsi="宋体" w:eastAsia="宋体" w:cs="宋体"/>
                <w:color w:val="auto"/>
                <w:kern w:val="0"/>
                <w:sz w:val="24"/>
              </w:rPr>
              <w:t>楼3</w:t>
            </w:r>
            <w:r>
              <w:rPr>
                <w:rFonts w:ascii="宋体" w:hAnsi="宋体" w:eastAsia="宋体" w:cs="宋体"/>
                <w:color w:val="auto"/>
                <w:kern w:val="0"/>
                <w:sz w:val="24"/>
              </w:rPr>
              <w:t>012</w:t>
            </w:r>
          </w:p>
        </w:tc>
        <w:tc>
          <w:tcPr>
            <w:tcW w:w="1787" w:type="dxa"/>
          </w:tcPr>
          <w:p>
            <w:pPr>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3</w:t>
            </w:r>
            <w:r>
              <w:rPr>
                <w:rFonts w:ascii="宋体" w:hAnsi="宋体" w:eastAsia="宋体" w:cs="宋体"/>
                <w:color w:val="auto"/>
                <w:kern w:val="0"/>
                <w:sz w:val="24"/>
              </w:rPr>
              <w:t>01</w:t>
            </w:r>
            <w:r>
              <w:rPr>
                <w:rFonts w:hint="eastAsia" w:ascii="宋体" w:hAnsi="宋体" w:eastAsia="宋体" w:cs="宋体"/>
                <w:color w:val="auto"/>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4</w:t>
            </w:r>
          </w:p>
        </w:tc>
        <w:tc>
          <w:tcPr>
            <w:tcW w:w="1276" w:type="dxa"/>
          </w:tcPr>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第四包</w:t>
            </w:r>
          </w:p>
        </w:tc>
        <w:tc>
          <w:tcPr>
            <w:tcW w:w="3123" w:type="dxa"/>
          </w:tcPr>
          <w:p>
            <w:pPr>
              <w:spacing w:line="360" w:lineRule="auto"/>
              <w:rPr>
                <w:rFonts w:ascii="宋体" w:hAnsi="宋体" w:eastAsia="宋体" w:cs="宋体"/>
                <w:color w:val="auto"/>
                <w:kern w:val="0"/>
                <w:sz w:val="24"/>
              </w:rPr>
            </w:pPr>
            <w:r>
              <w:rPr>
                <w:rFonts w:ascii="宋体" w:hAnsi="Courier New" w:eastAsia="宋体" w:cs="宋体"/>
                <w:color w:val="auto"/>
                <w:szCs w:val="20"/>
                <w:lang w:bidi="ar"/>
              </w:rPr>
              <w:t>4</w:t>
            </w:r>
            <w:r>
              <w:rPr>
                <w:rFonts w:hint="eastAsia" w:ascii="宋体" w:hAnsi="Courier New" w:eastAsia="宋体" w:cs="宋体"/>
                <w:color w:val="auto"/>
                <w:szCs w:val="20"/>
                <w:lang w:bidi="ar"/>
              </w:rPr>
              <w:t>月</w:t>
            </w:r>
            <w:r>
              <w:rPr>
                <w:rFonts w:hint="eastAsia" w:ascii="宋体" w:hAnsi="Courier New" w:eastAsia="宋体" w:cs="宋体"/>
                <w:color w:val="auto"/>
                <w:szCs w:val="20"/>
                <w:lang w:val="en-US" w:eastAsia="zh-CN" w:bidi="ar"/>
              </w:rPr>
              <w:t>20</w:t>
            </w:r>
            <w:r>
              <w:rPr>
                <w:rFonts w:hint="eastAsia" w:ascii="宋体" w:hAnsi="Courier New" w:eastAsia="宋体" w:cs="宋体"/>
                <w:color w:val="auto"/>
                <w:szCs w:val="20"/>
                <w:lang w:bidi="ar"/>
              </w:rPr>
              <w:t>日</w:t>
            </w:r>
            <w:r>
              <w:rPr>
                <w:rFonts w:ascii="宋体" w:hAnsi="Courier New" w:eastAsia="宋体" w:cs="宋体"/>
                <w:color w:val="auto"/>
                <w:szCs w:val="20"/>
                <w:lang w:bidi="ar"/>
              </w:rPr>
              <w:t>9</w:t>
            </w:r>
            <w:r>
              <w:rPr>
                <w:rFonts w:hint="eastAsia" w:ascii="宋体" w:hAnsi="Courier New" w:eastAsia="宋体" w:cs="宋体"/>
                <w:color w:val="auto"/>
                <w:szCs w:val="20"/>
                <w:lang w:bidi="ar"/>
              </w:rPr>
              <w:t>时</w:t>
            </w:r>
            <w:r>
              <w:rPr>
                <w:rFonts w:ascii="宋体" w:hAnsi="Courier New" w:eastAsia="宋体" w:cs="宋体"/>
                <w:color w:val="auto"/>
                <w:szCs w:val="20"/>
                <w:lang w:bidi="ar"/>
              </w:rPr>
              <w:t>0</w:t>
            </w:r>
            <w:r>
              <w:rPr>
                <w:rFonts w:hint="eastAsia" w:ascii="宋体" w:hAnsi="Courier New" w:eastAsia="宋体" w:cs="宋体"/>
                <w:color w:val="auto"/>
                <w:szCs w:val="20"/>
                <w:lang w:bidi="ar"/>
              </w:rPr>
              <w:t>0</w:t>
            </w:r>
          </w:p>
        </w:tc>
        <w:tc>
          <w:tcPr>
            <w:tcW w:w="1786" w:type="dxa"/>
          </w:tcPr>
          <w:p>
            <w:pPr>
              <w:spacing w:line="360" w:lineRule="auto"/>
              <w:rPr>
                <w:rFonts w:ascii="宋体" w:hAnsi="宋体" w:eastAsia="宋体" w:cs="宋体"/>
                <w:color w:val="auto"/>
                <w:kern w:val="0"/>
                <w:sz w:val="24"/>
              </w:rPr>
            </w:pPr>
            <w:r>
              <w:rPr>
                <w:rFonts w:ascii="宋体" w:hAnsi="宋体" w:eastAsia="宋体" w:cs="宋体"/>
                <w:color w:val="auto"/>
                <w:kern w:val="0"/>
                <w:sz w:val="24"/>
              </w:rPr>
              <w:t>30</w:t>
            </w:r>
            <w:r>
              <w:rPr>
                <w:rFonts w:hint="eastAsia" w:ascii="宋体" w:hAnsi="宋体" w:eastAsia="宋体" w:cs="宋体"/>
                <w:color w:val="auto"/>
                <w:kern w:val="0"/>
                <w:sz w:val="24"/>
              </w:rPr>
              <w:t>楼3</w:t>
            </w:r>
            <w:r>
              <w:rPr>
                <w:rFonts w:ascii="宋体" w:hAnsi="宋体" w:eastAsia="宋体" w:cs="宋体"/>
                <w:color w:val="auto"/>
                <w:kern w:val="0"/>
                <w:sz w:val="24"/>
              </w:rPr>
              <w:t>012</w:t>
            </w:r>
          </w:p>
        </w:tc>
        <w:tc>
          <w:tcPr>
            <w:tcW w:w="1787" w:type="dxa"/>
          </w:tcPr>
          <w:p>
            <w:pPr>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3</w:t>
            </w:r>
            <w:r>
              <w:rPr>
                <w:rFonts w:ascii="宋体" w:hAnsi="宋体" w:eastAsia="宋体" w:cs="宋体"/>
                <w:color w:val="auto"/>
                <w:kern w:val="0"/>
                <w:sz w:val="24"/>
              </w:rPr>
              <w:t>01</w:t>
            </w:r>
            <w:r>
              <w:rPr>
                <w:rFonts w:hint="eastAsia" w:ascii="宋体" w:hAnsi="宋体" w:eastAsia="宋体" w:cs="宋体"/>
                <w:color w:val="auto"/>
                <w:kern w:val="0"/>
                <w:sz w:val="24"/>
                <w:lang w:val="en-US" w:eastAsia="zh-CN"/>
              </w:rPr>
              <w:t>0</w:t>
            </w:r>
          </w:p>
        </w:tc>
      </w:tr>
    </w:tbl>
    <w:p>
      <w:pPr>
        <w:pStyle w:val="20"/>
        <w:keepNext w:val="0"/>
        <w:widowControl/>
        <w:pBdr>
          <w:top w:val="single" w:color="auto" w:sz="48" w:space="0"/>
        </w:pBdr>
      </w:pPr>
      <w:bookmarkStart w:id="9" w:name="_Toc17566"/>
      <w:r>
        <w:rPr>
          <w:rFonts w:hint="eastAsia" w:cs="宋体"/>
        </w:rPr>
        <w:t>有关说明</w:t>
      </w:r>
      <w:bookmarkEnd w:id="9"/>
    </w:p>
    <w:p>
      <w:pPr>
        <w:pStyle w:val="22"/>
        <w:keepNext w:val="0"/>
        <w:widowControl/>
        <w:numPr>
          <w:ilvl w:val="1"/>
          <w:numId w:val="0"/>
        </w:numPr>
        <w:ind w:firstLine="562" w:firstLineChars="200"/>
      </w:pPr>
      <w:bookmarkStart w:id="10" w:name="_Toc852"/>
      <w:bookmarkStart w:id="11" w:name="_Toc270497415"/>
      <w:r>
        <w:rPr>
          <w:rFonts w:hint="eastAsia" w:cs="宋体"/>
        </w:rPr>
        <w:t>3.1总则</w:t>
      </w:r>
      <w:bookmarkEnd w:id="10"/>
      <w:bookmarkEnd w:id="11"/>
    </w:p>
    <w:p>
      <w:pPr>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根据中华人民共和国招标投标法，经中国重型汽车集团有限公司批准，现对信息系统合作开发及运维支持项目进行招标。</w:t>
      </w:r>
    </w:p>
    <w:p>
      <w:pPr>
        <w:pStyle w:val="22"/>
        <w:keepNext w:val="0"/>
        <w:widowControl/>
        <w:numPr>
          <w:ilvl w:val="1"/>
          <w:numId w:val="0"/>
        </w:numPr>
        <w:ind w:firstLine="562" w:firstLineChars="200"/>
      </w:pPr>
      <w:bookmarkStart w:id="12" w:name="_Toc19461"/>
      <w:r>
        <w:rPr>
          <w:rFonts w:hint="eastAsia" w:cs="宋体"/>
        </w:rPr>
        <w:t>3.2定义</w:t>
      </w:r>
      <w:bookmarkEnd w:id="12"/>
    </w:p>
    <w:p>
      <w:pPr>
        <w:pStyle w:val="23"/>
        <w:widowControl/>
        <w:numPr>
          <w:ilvl w:val="0"/>
          <w:numId w:val="4"/>
        </w:numPr>
      </w:pPr>
      <w:r>
        <w:rPr>
          <w:rFonts w:hint="eastAsia" w:cs="宋体"/>
        </w:rPr>
        <w:t>招标人：中国重汽集团济南动力有限公司</w:t>
      </w:r>
    </w:p>
    <w:p>
      <w:pPr>
        <w:pStyle w:val="23"/>
        <w:widowControl/>
        <w:numPr>
          <w:ilvl w:val="0"/>
          <w:numId w:val="4"/>
        </w:numPr>
      </w:pPr>
      <w:r>
        <w:rPr>
          <w:rFonts w:hint="eastAsia" w:cs="宋体"/>
        </w:rPr>
        <w:t>投标人：由招标人认可的符合投标资格的参加本项目投标的供应商</w:t>
      </w:r>
    </w:p>
    <w:p>
      <w:pPr>
        <w:pStyle w:val="23"/>
        <w:widowControl/>
        <w:numPr>
          <w:ilvl w:val="0"/>
          <w:numId w:val="4"/>
        </w:numPr>
      </w:pPr>
      <w:bookmarkStart w:id="13" w:name="_Toc270497418"/>
      <w:r>
        <w:rPr>
          <w:rFonts w:hint="eastAsia" w:cs="宋体"/>
        </w:rPr>
        <w:t>产品：指投标人为本项目提供的咨询服务及项目交付物</w:t>
      </w:r>
    </w:p>
    <w:bookmarkEnd w:id="13"/>
    <w:p>
      <w:pPr>
        <w:pStyle w:val="22"/>
        <w:keepNext w:val="0"/>
        <w:widowControl/>
        <w:numPr>
          <w:ilvl w:val="1"/>
          <w:numId w:val="0"/>
        </w:numPr>
        <w:ind w:firstLine="562" w:firstLineChars="200"/>
      </w:pPr>
      <w:bookmarkStart w:id="14" w:name="_Toc9130"/>
      <w:bookmarkStart w:id="15" w:name="_Toc270497419"/>
      <w:r>
        <w:rPr>
          <w:rFonts w:hint="eastAsia" w:cs="宋体"/>
          <w:szCs w:val="24"/>
        </w:rPr>
        <w:t>3.3项目实施方</w:t>
      </w:r>
      <w:r>
        <w:rPr>
          <w:rFonts w:hint="eastAsia" w:cs="宋体"/>
        </w:rPr>
        <w:t>式</w:t>
      </w:r>
      <w:bookmarkEnd w:id="14"/>
      <w:bookmarkEnd w:id="15"/>
    </w:p>
    <w:p>
      <w:pPr>
        <w:pStyle w:val="19"/>
        <w:widowControl/>
        <w:adjustRightInd w:val="0"/>
        <w:snapToGrid w:val="0"/>
        <w:spacing w:line="300" w:lineRule="auto"/>
        <w:ind w:left="-105" w:leftChars="-50" w:firstLine="444" w:firstLineChars="185"/>
        <w:rPr>
          <w:szCs w:val="24"/>
        </w:rPr>
      </w:pPr>
      <w:r>
        <w:rPr>
          <w:rFonts w:hint="eastAsia" w:cs="宋体"/>
          <w:szCs w:val="24"/>
        </w:rPr>
        <w:t>本项目所采用的实施方式为第三方服务厂商服务。</w:t>
      </w:r>
    </w:p>
    <w:p>
      <w:pPr>
        <w:pStyle w:val="22"/>
        <w:keepNext w:val="0"/>
        <w:widowControl/>
        <w:numPr>
          <w:ilvl w:val="1"/>
          <w:numId w:val="0"/>
        </w:numPr>
        <w:ind w:firstLine="562" w:firstLineChars="200"/>
      </w:pPr>
      <w:bookmarkStart w:id="16" w:name="_Toc234922352"/>
      <w:bookmarkStart w:id="17" w:name="_Toc264881857"/>
      <w:bookmarkStart w:id="18" w:name="_Toc1793"/>
      <w:bookmarkStart w:id="19" w:name="_Toc265850577"/>
      <w:r>
        <w:rPr>
          <w:rFonts w:hint="eastAsia" w:cs="宋体"/>
        </w:rPr>
        <w:t>3.4投标人须知</w:t>
      </w:r>
      <w:bookmarkEnd w:id="16"/>
      <w:bookmarkEnd w:id="17"/>
      <w:bookmarkEnd w:id="18"/>
      <w:bookmarkEnd w:id="19"/>
    </w:p>
    <w:p>
      <w:pPr>
        <w:pStyle w:val="23"/>
        <w:widowControl/>
        <w:numPr>
          <w:ilvl w:val="0"/>
          <w:numId w:val="5"/>
        </w:numPr>
      </w:pPr>
      <w:r>
        <w:rPr>
          <w:rFonts w:hint="eastAsia" w:cs="宋体"/>
        </w:rPr>
        <w:t>投标人须确保遵守国家规定的各种有关投标的规定、法规、法律文件等。</w:t>
      </w:r>
    </w:p>
    <w:p>
      <w:pPr>
        <w:pStyle w:val="23"/>
        <w:widowControl/>
        <w:numPr>
          <w:ilvl w:val="0"/>
          <w:numId w:val="5"/>
        </w:numPr>
      </w:pPr>
      <w:r>
        <w:rPr>
          <w:rFonts w:hint="eastAsia" w:cs="宋体"/>
        </w:rPr>
        <w:t>投标人须确保具有良好的商业信誉和诚实的职业道德。</w:t>
      </w:r>
    </w:p>
    <w:p>
      <w:pPr>
        <w:pStyle w:val="23"/>
        <w:widowControl/>
        <w:numPr>
          <w:ilvl w:val="0"/>
          <w:numId w:val="5"/>
        </w:numPr>
      </w:pPr>
      <w:r>
        <w:rPr>
          <w:rFonts w:hint="eastAsia" w:cs="宋体"/>
        </w:rPr>
        <w:t>投标人应仔细阅读并理解招标文件的全部内容，并做出实质性响应。</w:t>
      </w:r>
    </w:p>
    <w:p>
      <w:pPr>
        <w:pStyle w:val="23"/>
        <w:widowControl/>
        <w:numPr>
          <w:ilvl w:val="0"/>
          <w:numId w:val="5"/>
        </w:numPr>
      </w:pPr>
      <w:r>
        <w:rPr>
          <w:rFonts w:hint="eastAsia" w:cs="宋体"/>
        </w:rPr>
        <w:t>投标人须确保项目交付物的功能满足招标文件的要求。</w:t>
      </w:r>
    </w:p>
    <w:p>
      <w:pPr>
        <w:pStyle w:val="23"/>
        <w:widowControl/>
        <w:numPr>
          <w:ilvl w:val="0"/>
          <w:numId w:val="5"/>
        </w:numPr>
      </w:pPr>
      <w:r>
        <w:rPr>
          <w:rFonts w:hint="eastAsia" w:cs="宋体"/>
        </w:rPr>
        <w:t>投标人应当按照招标文件规定的内容和要求编制投标文件。</w:t>
      </w:r>
    </w:p>
    <w:p>
      <w:pPr>
        <w:pStyle w:val="23"/>
        <w:widowControl/>
        <w:numPr>
          <w:ilvl w:val="0"/>
          <w:numId w:val="5"/>
        </w:numPr>
      </w:pPr>
      <w:r>
        <w:rPr>
          <w:rFonts w:hint="eastAsia" w:cs="宋体"/>
        </w:rPr>
        <w:t>投标人须确保有能力在规定期限内完成招标文件规定的全部内容。</w:t>
      </w:r>
    </w:p>
    <w:p>
      <w:pPr>
        <w:pStyle w:val="23"/>
        <w:widowControl/>
        <w:numPr>
          <w:ilvl w:val="0"/>
          <w:numId w:val="5"/>
        </w:numPr>
      </w:pPr>
      <w:r>
        <w:rPr>
          <w:rFonts w:hint="eastAsia" w:cs="宋体"/>
        </w:rPr>
        <w:t>投标人在收到招标文件后，如有疑问，应以书面形式向招标人提出，招标人将以书面形式予以答复，但不说明答复的来源。</w:t>
      </w:r>
    </w:p>
    <w:p>
      <w:pPr>
        <w:pStyle w:val="23"/>
        <w:widowControl/>
        <w:numPr>
          <w:ilvl w:val="0"/>
          <w:numId w:val="5"/>
        </w:numPr>
      </w:pPr>
      <w:r>
        <w:rPr>
          <w:rFonts w:hint="eastAsia" w:cs="宋体"/>
        </w:rPr>
        <w:t>在投标截止日期前</w:t>
      </w:r>
      <w:r>
        <w:rPr>
          <w:color w:val="000000"/>
        </w:rPr>
        <w:t>5</w:t>
      </w:r>
      <w:r>
        <w:rPr>
          <w:rFonts w:hint="eastAsia" w:cs="宋体"/>
        </w:rPr>
        <w:t>天，招标人都可能会以补充通知的方式修改招标文件。</w:t>
      </w:r>
    </w:p>
    <w:p>
      <w:pPr>
        <w:pStyle w:val="23"/>
        <w:widowControl/>
        <w:numPr>
          <w:ilvl w:val="0"/>
          <w:numId w:val="5"/>
        </w:numPr>
      </w:pPr>
      <w:r>
        <w:rPr>
          <w:rFonts w:hint="eastAsia" w:cs="宋体"/>
        </w:rPr>
        <w:t>无论投标结果如何，投标人应承担编制投标文件、递交投标文件、考察等所涉及的一切费用。</w:t>
      </w:r>
    </w:p>
    <w:p>
      <w:pPr>
        <w:pStyle w:val="23"/>
        <w:widowControl/>
        <w:numPr>
          <w:ilvl w:val="0"/>
          <w:numId w:val="0"/>
        </w:numPr>
      </w:pPr>
      <w:r>
        <w:rPr>
          <w:rFonts w:hint="eastAsia" w:cs="宋体"/>
        </w:rPr>
        <w:t>10）招标人对未中标者不作任何解释。</w:t>
      </w:r>
    </w:p>
    <w:p>
      <w:pPr>
        <w:pStyle w:val="23"/>
        <w:widowControl/>
        <w:numPr>
          <w:ilvl w:val="0"/>
          <w:numId w:val="0"/>
        </w:numPr>
      </w:pPr>
      <w:r>
        <w:rPr>
          <w:rFonts w:hint="eastAsia" w:cs="宋体"/>
        </w:rPr>
        <w:t>11）如投标方代表不是法人代表，须持有盖有法人单位公章的《法人代表授权书》。</w:t>
      </w:r>
    </w:p>
    <w:p>
      <w:pPr>
        <w:pStyle w:val="23"/>
        <w:widowControl/>
        <w:numPr>
          <w:ilvl w:val="0"/>
          <w:numId w:val="0"/>
        </w:numPr>
      </w:pPr>
      <w:r>
        <w:rPr>
          <w:rFonts w:hint="eastAsia" w:cs="宋体"/>
        </w:rPr>
        <w:t>12）讲标方案需存储在</w:t>
      </w:r>
      <w:r>
        <w:rPr>
          <w:rFonts w:cs="宋体"/>
        </w:rPr>
        <w:t>U</w:t>
      </w:r>
      <w:r>
        <w:rPr>
          <w:rFonts w:hint="eastAsia" w:cs="宋体"/>
        </w:rPr>
        <w:t>盘中单独装入密封袋，随投标材料一并提供，投标人在讲标时不允许使用个人自带电脑，投标人在讲标时，须由拟担任招标项目建设的项目经理及项目组成员讲标，其中讲标和答疑时间控制在</w:t>
      </w:r>
      <w:r>
        <w:rPr>
          <w:rFonts w:hint="eastAsia"/>
        </w:rPr>
        <w:t>2</w:t>
      </w:r>
      <w:r>
        <w:t>0</w:t>
      </w:r>
      <w:r>
        <w:rPr>
          <w:rFonts w:hint="eastAsia"/>
        </w:rPr>
        <w:t>分钟</w:t>
      </w:r>
      <w:r>
        <w:rPr>
          <w:rFonts w:hint="eastAsia" w:cs="宋体"/>
        </w:rPr>
        <w:t>左右。若中标，非经招标人同意，项目经理及项目组成员不得在项目建设中途更换。</w:t>
      </w:r>
    </w:p>
    <w:p>
      <w:pPr>
        <w:pStyle w:val="20"/>
        <w:keepNext w:val="0"/>
        <w:widowControl/>
        <w:rPr>
          <w:rFonts w:cs="宋体"/>
        </w:rPr>
      </w:pPr>
      <w:bookmarkStart w:id="20" w:name="_Toc24542"/>
      <w:r>
        <w:rPr>
          <w:rFonts w:hint="eastAsia" w:cs="宋体"/>
        </w:rPr>
        <w:t>交货及付款</w:t>
      </w:r>
      <w:bookmarkEnd w:id="20"/>
    </w:p>
    <w:p>
      <w:pPr>
        <w:tabs>
          <w:tab w:val="left" w:pos="0"/>
        </w:tabs>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项目实施小组进驻时间：收到中标通知后</w:t>
      </w:r>
      <w:r>
        <w:rPr>
          <w:rFonts w:hint="eastAsia" w:ascii="宋体" w:hAnsi="宋体" w:eastAsia="宋体" w:cs="宋体"/>
          <w:color w:val="000000" w:themeColor="text1"/>
          <w:kern w:val="0"/>
          <w:sz w:val="24"/>
          <w:lang w:bidi="ar"/>
          <w14:textFill>
            <w14:solidFill>
              <w14:schemeClr w14:val="tx1"/>
            </w14:solidFill>
          </w14:textFill>
        </w:rPr>
        <w:t>5</w:t>
      </w:r>
      <w:r>
        <w:rPr>
          <w:rFonts w:hint="eastAsia" w:ascii="宋体" w:hAnsi="宋体" w:eastAsia="宋体" w:cs="宋体"/>
          <w:kern w:val="0"/>
          <w:sz w:val="24"/>
          <w:lang w:bidi="ar"/>
        </w:rPr>
        <w:t>个工作日内。</w:t>
      </w:r>
    </w:p>
    <w:p>
      <w:pPr>
        <w:tabs>
          <w:tab w:val="left" w:pos="0"/>
        </w:tabs>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实施地点：招标人指定地点。</w:t>
      </w:r>
    </w:p>
    <w:p>
      <w:pPr>
        <w:tabs>
          <w:tab w:val="left" w:pos="0"/>
        </w:tabs>
        <w:spacing w:line="360" w:lineRule="auto"/>
        <w:ind w:firstLine="480" w:firstLineChars="200"/>
      </w:pPr>
      <w:r>
        <w:rPr>
          <w:rFonts w:hint="eastAsia" w:ascii="宋体" w:hAnsi="宋体" w:eastAsia="宋体" w:cs="宋体"/>
          <w:kern w:val="0"/>
          <w:sz w:val="24"/>
          <w:lang w:bidi="ar"/>
        </w:rPr>
        <w:t>交货方式：交钥匙</w:t>
      </w:r>
    </w:p>
    <w:p>
      <w:pPr>
        <w:pStyle w:val="23"/>
        <w:widowControl/>
        <w:numPr>
          <w:ilvl w:val="0"/>
          <w:numId w:val="0"/>
        </w:numPr>
        <w:ind w:firstLine="480" w:firstLineChars="200"/>
        <w:rPr>
          <w:rFonts w:ascii="宋体" w:hAnsi="宋体" w:cs="宋体"/>
          <w:highlight w:val="none"/>
        </w:rPr>
      </w:pPr>
      <w:r>
        <w:rPr>
          <w:rFonts w:hint="eastAsia" w:ascii="宋体" w:hAnsi="宋体" w:cs="宋体"/>
          <w:kern w:val="0"/>
        </w:rPr>
        <w:t>付款方式：</w:t>
      </w:r>
      <w:r>
        <w:rPr>
          <w:rFonts w:hint="eastAsia" w:ascii="宋体" w:hAnsi="宋体" w:cs="宋体"/>
        </w:rPr>
        <w:t>银行承兑。</w:t>
      </w:r>
      <w:r>
        <w:rPr>
          <w:rFonts w:hint="eastAsia" w:ascii="宋体" w:hAnsi="宋体" w:cs="宋体"/>
          <w:highlight w:val="none"/>
        </w:rPr>
        <w:t xml:space="preserve">按实际需求结算。 </w:t>
      </w:r>
    </w:p>
    <w:p>
      <w:pPr>
        <w:pStyle w:val="20"/>
        <w:numPr>
          <w:ilvl w:val="0"/>
          <w:numId w:val="0"/>
        </w:numPr>
      </w:pPr>
      <w:bookmarkStart w:id="21" w:name="_Toc18320"/>
      <w:r>
        <w:rPr>
          <w:rFonts w:hint="eastAsia"/>
        </w:rPr>
        <w:t>5投标说明</w:t>
      </w:r>
      <w:bookmarkEnd w:id="21"/>
    </w:p>
    <w:p>
      <w:pPr>
        <w:pStyle w:val="22"/>
        <w:keepNext w:val="0"/>
        <w:widowControl/>
        <w:numPr>
          <w:ilvl w:val="1"/>
          <w:numId w:val="0"/>
        </w:numPr>
        <w:ind w:firstLine="562" w:firstLineChars="200"/>
      </w:pPr>
      <w:bookmarkStart w:id="22" w:name="_Toc2250"/>
      <w:r>
        <w:rPr>
          <w:rFonts w:hint="eastAsia" w:cs="宋体"/>
        </w:rPr>
        <w:t>5.1招标要求</w:t>
      </w:r>
      <w:bookmarkEnd w:id="22"/>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numPr>
                <w:ilvl w:val="3"/>
                <w:numId w:val="0"/>
              </w:numPr>
              <w:tabs>
                <w:tab w:val="left" w:pos="420"/>
              </w:tabs>
              <w:spacing w:before="0" w:after="0"/>
              <w:ind w:firstLine="210" w:firstLineChars="100"/>
              <w:jc w:val="both"/>
              <w:rPr>
                <w:rFonts w:ascii="宋体" w:hAnsi="宋体" w:eastAsia="宋体" w:cs="宋体"/>
                <w:b w:val="0"/>
                <w:color w:val="000000"/>
                <w:sz w:val="21"/>
                <w:szCs w:val="21"/>
              </w:rPr>
            </w:pPr>
            <w:r>
              <w:rPr>
                <w:rFonts w:hint="eastAsia" w:ascii="宋体" w:hAnsi="宋体" w:eastAsia="宋体" w:cs="宋体"/>
                <w:b w:val="0"/>
                <w:color w:val="000000"/>
                <w:sz w:val="21"/>
                <w:szCs w:val="21"/>
              </w:rPr>
              <w:t>邀标人名称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numPr>
                <w:ilvl w:val="1"/>
                <w:numId w:val="0"/>
              </w:numPr>
              <w:spacing w:before="0" w:after="0" w:line="240" w:lineRule="auto"/>
              <w:ind w:left="420" w:firstLine="1260" w:firstLineChars="600"/>
              <w:jc w:val="both"/>
              <w:rPr>
                <w:rFonts w:eastAsia="宋体"/>
                <w:szCs w:val="21"/>
              </w:rPr>
            </w:pPr>
            <w:bookmarkStart w:id="23" w:name="_Toc11928"/>
            <w:bookmarkStart w:id="24" w:name="_Toc16675"/>
            <w:r>
              <w:rPr>
                <w:rFonts w:hint="eastAsia" w:cs="黑体"/>
                <w:b w:val="0"/>
                <w:bCs/>
                <w:color w:val="auto"/>
                <w:szCs w:val="21"/>
              </w:rPr>
              <w:t>中国重汽集团济南动力有限公司</w:t>
            </w:r>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lang w:bidi="ar"/>
              </w:rPr>
            </w:pPr>
            <w:r>
              <w:rPr>
                <w:rFonts w:hint="eastAsia" w:ascii="宋体" w:hAnsi="宋体" w:eastAsia="宋体" w:cs="宋体"/>
                <w:color w:val="000000"/>
                <w:szCs w:val="21"/>
                <w:lang w:bidi="ar"/>
              </w:rPr>
              <w:t>投标人资质要求</w:t>
            </w:r>
          </w:p>
          <w:p>
            <w:pPr>
              <w:jc w:val="center"/>
              <w:rPr>
                <w:rFonts w:ascii="宋体" w:hAnsi="宋体" w:eastAsia="宋体" w:cs="宋体"/>
                <w:color w:val="000000"/>
                <w:szCs w:val="21"/>
              </w:rPr>
            </w:pPr>
            <w:r>
              <w:rPr>
                <w:rFonts w:hint="eastAsia" w:ascii="宋体" w:hAnsi="宋体" w:eastAsia="宋体" w:cs="宋体"/>
                <w:color w:val="000000"/>
                <w:szCs w:val="21"/>
                <w:lang w:bidi="ar"/>
              </w:rPr>
              <w:t>（第一包）</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lang w:bidi="ar"/>
              </w:rPr>
            </w:pPr>
            <w:r>
              <w:rPr>
                <w:rFonts w:hint="eastAsia" w:ascii="宋体" w:hAnsi="宋体" w:eastAsia="宋体" w:cs="宋体"/>
                <w:szCs w:val="21"/>
                <w:lang w:bidi="ar"/>
              </w:rPr>
              <w:t xml:space="preserve">（1）投标人成立三年以上，至开标之日计算，注册资金不低于1000万元人民币，具有独立法人资格，并具有良好信誉和业绩； </w:t>
            </w:r>
          </w:p>
          <w:p>
            <w:pPr>
              <w:rPr>
                <w:rFonts w:ascii="宋体" w:hAnsi="宋体" w:eastAsia="宋体" w:cs="宋体"/>
                <w:szCs w:val="21"/>
                <w:lang w:bidi="ar"/>
              </w:rPr>
            </w:pPr>
            <w:r>
              <w:rPr>
                <w:rFonts w:hint="eastAsia" w:ascii="宋体" w:hAnsi="宋体" w:eastAsia="宋体" w:cs="宋体"/>
                <w:szCs w:val="21"/>
                <w:lang w:bidi="ar"/>
              </w:rPr>
              <w:t>（2）投标人应具有数据库第三方运维服务的能力，需要提供2019年至今数据库第三方运维支撑的合同案例，且合同案例数量不少于5个。</w:t>
            </w:r>
          </w:p>
          <w:p>
            <w:pPr>
              <w:rPr>
                <w:rFonts w:ascii="宋体" w:hAnsi="宋体" w:eastAsia="宋体" w:cs="宋体"/>
                <w:szCs w:val="21"/>
                <w:lang w:bidi="ar"/>
              </w:rPr>
            </w:pPr>
            <w:r>
              <w:rPr>
                <w:rFonts w:hint="eastAsia" w:ascii="宋体" w:hAnsi="宋体" w:eastAsia="宋体" w:cs="宋体"/>
                <w:szCs w:val="21"/>
                <w:lang w:bidi="ar"/>
              </w:rPr>
              <w:t>（3）投标人遵守执业准则和执业规范，近1年内没有违法、违规或行业自律惩戒记录。</w:t>
            </w:r>
          </w:p>
          <w:p>
            <w:pPr>
              <w:rPr>
                <w:rFonts w:ascii="宋体" w:hAnsi="宋体" w:eastAsia="宋体" w:cs="宋体"/>
                <w:szCs w:val="21"/>
                <w:lang w:bidi="ar"/>
              </w:rPr>
            </w:pPr>
            <w:r>
              <w:rPr>
                <w:rFonts w:hint="eastAsia" w:ascii="宋体" w:hAnsi="宋体" w:eastAsia="宋体" w:cs="宋体"/>
                <w:szCs w:val="21"/>
                <w:lang w:bidi="ar"/>
              </w:rPr>
              <w:t>（4）投标人须具有良好财务状况，需提供经会计师事务所出具的近</w:t>
            </w:r>
            <w:r>
              <w:rPr>
                <w:rFonts w:hint="eastAsia" w:ascii="宋体" w:hAnsi="宋体" w:eastAsia="宋体" w:cs="宋体"/>
                <w:szCs w:val="21"/>
                <w:lang w:val="en-US" w:eastAsia="zh-CN" w:bidi="ar"/>
              </w:rPr>
              <w:t>三</w:t>
            </w:r>
            <w:r>
              <w:rPr>
                <w:rFonts w:hint="eastAsia" w:ascii="宋体" w:hAnsi="宋体" w:eastAsia="宋体" w:cs="宋体"/>
                <w:szCs w:val="21"/>
                <w:lang w:bidi="ar"/>
              </w:rPr>
              <w:t>年的财务审计报告复印件加盖公章，原件备查。</w:t>
            </w:r>
          </w:p>
          <w:p>
            <w:pPr>
              <w:rPr>
                <w:rFonts w:ascii="宋体" w:hAnsi="宋体" w:eastAsia="宋体" w:cs="宋体"/>
                <w:szCs w:val="21"/>
                <w:lang w:bidi="ar"/>
              </w:rPr>
            </w:pPr>
            <w:r>
              <w:rPr>
                <w:rFonts w:hint="eastAsia" w:ascii="宋体" w:hAnsi="宋体" w:eastAsia="宋体" w:cs="宋体"/>
                <w:szCs w:val="21"/>
                <w:lang w:bidi="ar"/>
              </w:rPr>
              <w:t>（5）出具信用中国网站信用信息报告加盖公章。</w:t>
            </w:r>
          </w:p>
          <w:p>
            <w:pPr>
              <w:rPr>
                <w:rFonts w:ascii="宋体" w:hAnsi="宋体" w:eastAsia="宋体" w:cs="宋体"/>
                <w:szCs w:val="21"/>
                <w:lang w:bidi="ar"/>
              </w:rPr>
            </w:pPr>
            <w:r>
              <w:rPr>
                <w:rFonts w:hint="eastAsia" w:ascii="宋体" w:hAnsi="宋体" w:eastAsia="宋体" w:cs="宋体"/>
                <w:szCs w:val="21"/>
                <w:lang w:bidi="ar"/>
              </w:rPr>
              <w:t>（6）须具备Oracle合作伙伴OPN资质。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b/>
                <w:color w:val="000000"/>
                <w:szCs w:val="21"/>
                <w:lang w:bidi="ar"/>
              </w:rPr>
            </w:pP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lang w:bidi="ar"/>
              </w:rPr>
            </w:pPr>
            <w:r>
              <w:rPr>
                <w:rFonts w:hint="eastAsia" w:ascii="宋体" w:hAnsi="宋体" w:eastAsia="宋体" w:cs="宋体"/>
                <w:color w:val="000000"/>
                <w:szCs w:val="21"/>
                <w:lang w:bidi="ar"/>
              </w:rPr>
              <w:t>投标人资质要求</w:t>
            </w:r>
          </w:p>
          <w:p>
            <w:pPr>
              <w:jc w:val="center"/>
              <w:rPr>
                <w:rFonts w:ascii="宋体" w:hAnsi="宋体" w:eastAsia="宋体" w:cs="宋体"/>
                <w:color w:val="000000"/>
                <w:szCs w:val="21"/>
                <w:lang w:bidi="ar"/>
              </w:rPr>
            </w:pPr>
            <w:r>
              <w:rPr>
                <w:rFonts w:hint="eastAsia" w:ascii="宋体" w:hAnsi="宋体" w:eastAsia="宋体" w:cs="宋体"/>
                <w:color w:val="000000"/>
                <w:szCs w:val="21"/>
                <w:lang w:bidi="ar"/>
              </w:rPr>
              <w:t>（第二包）</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1"/>
              </w:rPr>
            </w:pPr>
            <w:r>
              <w:rPr>
                <w:rFonts w:hint="eastAsia" w:ascii="宋体" w:hAnsi="宋体" w:eastAsia="宋体" w:cs="宋体"/>
                <w:szCs w:val="21"/>
                <w:lang w:bidi="ar"/>
              </w:rPr>
              <w:t>（1）投标人</w:t>
            </w:r>
            <w:r>
              <w:rPr>
                <w:rFonts w:hint="eastAsia" w:ascii="宋体" w:hAnsi="宋体" w:eastAsia="宋体" w:cs="宋体"/>
                <w:lang w:bidi="ar"/>
              </w:rPr>
              <w:t>成立</w:t>
            </w:r>
            <w:r>
              <w:rPr>
                <w:rFonts w:hint="eastAsia" w:ascii="宋体" w:hAnsi="宋体" w:eastAsia="宋体" w:cs="宋体"/>
                <w:b/>
                <w:bCs/>
                <w:lang w:bidi="ar"/>
              </w:rPr>
              <w:t>三</w:t>
            </w:r>
            <w:r>
              <w:rPr>
                <w:rFonts w:hint="eastAsia" w:ascii="宋体" w:hAnsi="宋体" w:eastAsia="宋体" w:cs="宋体"/>
                <w:lang w:bidi="ar"/>
              </w:rPr>
              <w:t>年以上，至开标之日计算，</w:t>
            </w:r>
            <w:r>
              <w:rPr>
                <w:rFonts w:hint="eastAsia" w:ascii="宋体" w:hAnsi="宋体" w:eastAsia="宋体" w:cs="宋体"/>
                <w:szCs w:val="21"/>
                <w:lang w:bidi="ar"/>
              </w:rPr>
              <w:t>注册资金不低于</w:t>
            </w:r>
            <w:r>
              <w:rPr>
                <w:rFonts w:hint="eastAsia" w:ascii="宋体" w:hAnsi="宋体" w:eastAsia="宋体" w:cs="宋体"/>
                <w:szCs w:val="21"/>
                <w:lang w:val="en-US" w:eastAsia="zh-CN" w:bidi="ar"/>
              </w:rPr>
              <w:t>10</w:t>
            </w:r>
            <w:r>
              <w:rPr>
                <w:rFonts w:ascii="宋体" w:hAnsi="宋体" w:eastAsia="宋体" w:cs="宋体"/>
                <w:szCs w:val="21"/>
                <w:lang w:bidi="ar"/>
              </w:rPr>
              <w:t>00</w:t>
            </w:r>
            <w:r>
              <w:rPr>
                <w:rFonts w:hint="eastAsia" w:ascii="宋体" w:hAnsi="宋体" w:eastAsia="宋体" w:cs="宋体"/>
                <w:szCs w:val="21"/>
                <w:lang w:bidi="ar"/>
              </w:rPr>
              <w:t xml:space="preserve">万元人民币，具有独立法人资格，并具有良好信誉和业绩； </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（2）投标人应具有相关招标项目的实施及服务能力，需要提供2018年至今制造业运维支撑的合同案例，且合同案例金额不低于100万。</w:t>
            </w:r>
          </w:p>
          <w:p>
            <w:pPr>
              <w:tabs>
                <w:tab w:val="left" w:pos="2532"/>
              </w:tabs>
              <w:jc w:val="left"/>
              <w:rPr>
                <w:rFonts w:ascii="宋体" w:hAnsi="宋体" w:eastAsia="宋体" w:cs="宋体"/>
                <w:szCs w:val="21"/>
              </w:rPr>
            </w:pPr>
            <w:r>
              <w:rPr>
                <w:rFonts w:hint="eastAsia" w:ascii="宋体" w:hAnsi="宋体" w:eastAsia="宋体" w:cs="宋体"/>
                <w:szCs w:val="21"/>
                <w:lang w:bidi="ar"/>
              </w:rPr>
              <w:t>（3）投标人遵守执业准则和执业规范，近1年内没有违法、违规或行业自律惩戒记录；</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（4）投标人须具有良好财务状况，需提供经会计师事务所出具的近</w:t>
            </w:r>
            <w:r>
              <w:rPr>
                <w:rFonts w:hint="eastAsia" w:ascii="宋体" w:hAnsi="宋体" w:eastAsia="宋体" w:cs="宋体"/>
                <w:szCs w:val="21"/>
                <w:lang w:val="en-US" w:eastAsia="zh-CN" w:bidi="ar"/>
              </w:rPr>
              <w:t>三</w:t>
            </w:r>
            <w:r>
              <w:rPr>
                <w:rFonts w:hint="eastAsia" w:ascii="宋体" w:hAnsi="宋体" w:eastAsia="宋体" w:cs="宋体"/>
                <w:szCs w:val="21"/>
                <w:lang w:bidi="ar"/>
              </w:rPr>
              <w:t>年的财务审计报告复印件加盖公章，原件备查。</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（5）出具信用中国网站信用信息报告加盖公章。</w:t>
            </w:r>
          </w:p>
          <w:p>
            <w:pPr>
              <w:tabs>
                <w:tab w:val="left" w:pos="2532"/>
              </w:tabs>
              <w:jc w:val="left"/>
              <w:rPr>
                <w:rFonts w:ascii="宋体" w:hAnsi="宋体" w:eastAsia="宋体" w:cs="宋体"/>
                <w:szCs w:val="21"/>
                <w:lang w:bidi="ar"/>
              </w:rPr>
            </w:pPr>
            <w:r>
              <w:rPr>
                <w:rFonts w:hint="eastAsia" w:ascii="宋体" w:hAnsi="宋体" w:eastAsia="宋体" w:cs="宋体"/>
                <w:color w:val="000000" w:themeColor="text1"/>
                <w:szCs w:val="21"/>
                <w:lang w:bidi="ar"/>
                <w14:textFill>
                  <w14:solidFill>
                    <w14:schemeClr w14:val="tx1"/>
                  </w14:solidFill>
                </w14:textFill>
              </w:rPr>
              <w:t>（6）投标人应具有ISO27001与至少CMMI5级认证证书。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b/>
                <w:color w:val="000000"/>
                <w:szCs w:val="21"/>
                <w:lang w:bidi="ar"/>
              </w:rPr>
            </w:pP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lang w:bidi="ar"/>
              </w:rPr>
            </w:pPr>
            <w:r>
              <w:rPr>
                <w:rFonts w:hint="eastAsia" w:ascii="宋体" w:hAnsi="宋体" w:eastAsia="宋体" w:cs="宋体"/>
                <w:color w:val="000000"/>
                <w:szCs w:val="21"/>
                <w:lang w:bidi="ar"/>
              </w:rPr>
              <w:t>投标人资质要求</w:t>
            </w:r>
          </w:p>
          <w:p>
            <w:pPr>
              <w:jc w:val="center"/>
              <w:rPr>
                <w:rFonts w:ascii="宋体" w:hAnsi="宋体" w:eastAsia="宋体" w:cs="宋体"/>
                <w:color w:val="000000"/>
                <w:szCs w:val="21"/>
                <w:lang w:bidi="ar"/>
              </w:rPr>
            </w:pPr>
            <w:r>
              <w:rPr>
                <w:rFonts w:hint="eastAsia" w:ascii="宋体" w:hAnsi="宋体" w:eastAsia="宋体" w:cs="宋体"/>
                <w:color w:val="000000"/>
                <w:szCs w:val="21"/>
                <w:lang w:bidi="ar"/>
              </w:rPr>
              <w:t>（第三包）</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1"/>
              </w:rPr>
            </w:pPr>
            <w:r>
              <w:rPr>
                <w:rFonts w:hint="eastAsia" w:ascii="宋体" w:hAnsi="宋体" w:eastAsia="宋体" w:cs="宋体"/>
                <w:szCs w:val="21"/>
                <w:lang w:bidi="ar"/>
              </w:rPr>
              <w:t>（1）</w:t>
            </w:r>
            <w:r>
              <w:rPr>
                <w:rFonts w:hint="eastAsia"/>
              </w:rPr>
              <w:t>须为在中华人民共和国境内依法登记注册的独立法人或其他组织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成立</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年以上，至开标之日计算，注册资金不低于2000万</w:t>
            </w:r>
            <w:r>
              <w:t>元人民币，</w:t>
            </w:r>
            <w:r>
              <w:rPr>
                <w:rFonts w:hint="eastAsia"/>
              </w:rPr>
              <w:t>提供营业执照或其他身份登记证明文件扫描件</w:t>
            </w:r>
            <w:r>
              <w:t>；</w:t>
            </w:r>
            <w:r>
              <w:rPr>
                <w:rFonts w:hint="eastAsia" w:ascii="宋体" w:hAnsi="宋体" w:eastAsia="宋体" w:cs="宋体"/>
                <w:szCs w:val="21"/>
                <w:lang w:bidi="ar"/>
              </w:rPr>
              <w:t xml:space="preserve"> </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（2）</w:t>
            </w:r>
            <w:r>
              <w:t>投标人应具有相关招标项目的实施及服务能力，需要提供2018年至今</w:t>
            </w:r>
            <w:r>
              <w:rPr>
                <w:rFonts w:hint="eastAsia"/>
              </w:rPr>
              <w:t>技术支撑服务</w:t>
            </w:r>
            <w:r>
              <w:t>的合同案例，且合同案例金额不低于200万；</w:t>
            </w:r>
          </w:p>
          <w:p>
            <w:pPr>
              <w:tabs>
                <w:tab w:val="left" w:pos="2532"/>
              </w:tabs>
              <w:jc w:val="left"/>
              <w:rPr>
                <w:rFonts w:ascii="宋体" w:hAnsi="宋体" w:eastAsia="宋体" w:cs="宋体"/>
                <w:szCs w:val="21"/>
              </w:rPr>
            </w:pPr>
            <w:r>
              <w:rPr>
                <w:rFonts w:hint="eastAsia" w:ascii="宋体" w:hAnsi="宋体" w:eastAsia="宋体" w:cs="宋体"/>
                <w:szCs w:val="21"/>
                <w:lang w:bidi="ar"/>
              </w:rPr>
              <w:t>（3）</w:t>
            </w:r>
            <w:r>
              <w:rPr>
                <w:rFonts w:hint="eastAsia"/>
              </w:rPr>
              <w:t>投标人在国家企业信用信息公示系统中未被查询到近</w:t>
            </w:r>
            <w:r>
              <w:t>3年（2018年1月1日至今）有严重违法失信信息。</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（4）</w:t>
            </w:r>
            <w:r>
              <w:t>出具信用中国网站信用信息报告加盖公章。</w:t>
            </w:r>
          </w:p>
          <w:p>
            <w:pPr>
              <w:tabs>
                <w:tab w:val="left" w:pos="2532"/>
              </w:tabs>
              <w:jc w:val="left"/>
              <w:rPr>
                <w:rFonts w:hint="eastAsia" w:ascii="宋体" w:hAnsi="宋体" w:eastAsia="宋体" w:cs="宋体"/>
                <w:szCs w:val="21"/>
                <w:lang w:bidi="ar"/>
              </w:rPr>
            </w:pPr>
            <w:r>
              <w:rPr>
                <w:rFonts w:hint="eastAsia" w:ascii="宋体" w:hAnsi="宋体" w:eastAsia="宋体" w:cs="宋体"/>
                <w:szCs w:val="21"/>
                <w:lang w:bidi="ar"/>
              </w:rPr>
              <w:t>（5）投标人须具有良好财务状况，需提供经会计师事务所出具的近</w:t>
            </w:r>
            <w:r>
              <w:rPr>
                <w:rFonts w:hint="eastAsia" w:ascii="宋体" w:hAnsi="宋体" w:eastAsia="宋体" w:cs="宋体"/>
                <w:szCs w:val="21"/>
                <w:lang w:val="en-US" w:eastAsia="zh-CN" w:bidi="ar"/>
              </w:rPr>
              <w:t>三</w:t>
            </w:r>
            <w:r>
              <w:rPr>
                <w:rFonts w:hint="eastAsia" w:ascii="宋体" w:hAnsi="宋体" w:eastAsia="宋体" w:cs="宋体"/>
                <w:szCs w:val="21"/>
                <w:lang w:bidi="ar"/>
              </w:rPr>
              <w:t>年的财务审计报告复印件加盖公章，原件备查。</w:t>
            </w:r>
          </w:p>
          <w:p>
            <w:pPr>
              <w:tabs>
                <w:tab w:val="left" w:pos="2532"/>
              </w:tabs>
              <w:jc w:val="left"/>
            </w:pPr>
            <w:r>
              <w:rPr>
                <w:rFonts w:hint="eastAsia" w:ascii="宋体" w:hAnsi="宋体" w:eastAsia="宋体" w:cs="宋体"/>
                <w:szCs w:val="21"/>
                <w:lang w:bidi="ar"/>
              </w:rPr>
              <w:t>（</w:t>
            </w:r>
            <w:r>
              <w:rPr>
                <w:rFonts w:hint="eastAsia" w:ascii="宋体" w:hAnsi="宋体" w:eastAsia="宋体" w:cs="宋体"/>
                <w:szCs w:val="21"/>
                <w:lang w:val="en-US" w:eastAsia="zh-CN" w:bidi="ar"/>
              </w:rPr>
              <w:t>6</w:t>
            </w:r>
            <w:r>
              <w:rPr>
                <w:rFonts w:hint="eastAsia" w:ascii="宋体" w:hAnsi="宋体" w:eastAsia="宋体" w:cs="宋体"/>
                <w:szCs w:val="21"/>
                <w:lang w:bidi="ar"/>
              </w:rPr>
              <w:t>）投标人</w:t>
            </w:r>
            <w:r>
              <w:t>应具有ISO9001</w:t>
            </w:r>
            <w:r>
              <w:rPr>
                <w:rFonts w:hint="eastAsia"/>
              </w:rPr>
              <w:t>、</w:t>
            </w:r>
            <w:r>
              <w:t>ISO27001</w:t>
            </w:r>
            <w:r>
              <w:rPr>
                <w:rFonts w:hint="eastAsia"/>
              </w:rPr>
              <w:t>及</w:t>
            </w:r>
            <w:r>
              <w:rPr>
                <w:color w:val="000000" w:themeColor="text1"/>
                <w14:textFill>
                  <w14:solidFill>
                    <w14:schemeClr w14:val="tx1"/>
                  </w14:solidFill>
                </w14:textFill>
              </w:rPr>
              <w:t>CMMI3</w:t>
            </w:r>
            <w:r>
              <w:t>级</w:t>
            </w:r>
            <w:r>
              <w:rPr>
                <w:rFonts w:hint="eastAsia"/>
              </w:rPr>
              <w:t>及以上</w:t>
            </w:r>
            <w:r>
              <w:t>认证证书。</w:t>
            </w:r>
          </w:p>
          <w:p>
            <w:pPr>
              <w:tabs>
                <w:tab w:val="left" w:pos="2532"/>
              </w:tabs>
              <w:jc w:val="left"/>
            </w:pPr>
            <w:r>
              <w:rPr>
                <w:rFonts w:hint="eastAsia"/>
              </w:rPr>
              <w:t>（</w:t>
            </w:r>
            <w:r>
              <w:rPr>
                <w:rFonts w:hint="eastAsia"/>
                <w:lang w:val="en-US" w:eastAsia="zh-CN"/>
              </w:rPr>
              <w:t>7</w:t>
            </w:r>
            <w:r>
              <w:rPr>
                <w:rFonts w:hint="eastAsia"/>
              </w:rPr>
              <w:t>）法定代表人或单位负责人为同一人或者存在控股、管理关系的不同单位，不得同时参加同一采购项目应答。需提供承诺书。</w:t>
            </w:r>
          </w:p>
          <w:p>
            <w:pPr>
              <w:tabs>
                <w:tab w:val="left" w:pos="2532"/>
              </w:tabs>
              <w:jc w:val="left"/>
            </w:pPr>
            <w:r>
              <w:rPr>
                <w:rFonts w:hint="eastAsia"/>
              </w:rPr>
              <w:t>（</w:t>
            </w:r>
            <w:r>
              <w:rPr>
                <w:rFonts w:hint="eastAsia"/>
                <w:lang w:val="en-US" w:eastAsia="zh-CN"/>
              </w:rPr>
              <w:t>8</w:t>
            </w:r>
            <w:r>
              <w:rPr>
                <w:rFonts w:hint="eastAsia"/>
              </w:rPr>
              <w:t>）在济南具有本地化服务机构，或承诺中标后成立本地化服务机构。</w:t>
            </w:r>
          </w:p>
          <w:p>
            <w:pPr>
              <w:tabs>
                <w:tab w:val="left" w:pos="2532"/>
              </w:tabs>
              <w:jc w:val="left"/>
              <w:rPr>
                <w:rFonts w:ascii="宋体" w:hAnsi="宋体" w:eastAsia="宋体" w:cs="宋体"/>
                <w:szCs w:val="21"/>
                <w:lang w:bidi="ar"/>
              </w:rPr>
            </w:pPr>
            <w:r>
              <w:rPr>
                <w:rFonts w:hint="eastAsia"/>
              </w:rPr>
              <w:t>（</w:t>
            </w:r>
            <w:r>
              <w:rPr>
                <w:rFonts w:hint="eastAsia"/>
                <w:lang w:val="en-US" w:eastAsia="zh-CN"/>
              </w:rPr>
              <w:t>9</w:t>
            </w:r>
            <w:r>
              <w:rPr>
                <w:rFonts w:hint="eastAsia"/>
              </w:rPr>
              <w:t>）本项目不接受联合体投标</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lang w:bidi="ar"/>
              </w:rPr>
            </w:pP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lang w:bidi="ar"/>
              </w:rPr>
            </w:pPr>
            <w:r>
              <w:rPr>
                <w:rFonts w:hint="eastAsia" w:ascii="宋体" w:hAnsi="宋体" w:eastAsia="宋体" w:cs="宋体"/>
                <w:color w:val="000000"/>
                <w:szCs w:val="21"/>
                <w:lang w:bidi="ar"/>
              </w:rPr>
              <w:t>投标人资质要求</w:t>
            </w:r>
          </w:p>
          <w:p>
            <w:pPr>
              <w:jc w:val="center"/>
              <w:rPr>
                <w:rFonts w:ascii="宋体" w:hAnsi="宋体" w:eastAsia="宋体" w:cs="宋体"/>
                <w:color w:val="000000"/>
                <w:szCs w:val="21"/>
                <w:lang w:bidi="ar"/>
              </w:rPr>
            </w:pPr>
            <w:r>
              <w:rPr>
                <w:rFonts w:hint="eastAsia" w:ascii="宋体" w:hAnsi="宋体" w:eastAsia="宋体" w:cs="宋体"/>
                <w:color w:val="000000"/>
                <w:szCs w:val="21"/>
                <w:lang w:bidi="ar"/>
              </w:rPr>
              <w:t>（第四包）</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532"/>
              </w:tabs>
              <w:jc w:val="left"/>
              <w:rPr>
                <w:rFonts w:ascii="宋体" w:hAnsi="宋体" w:eastAsia="宋体" w:cs="宋体"/>
                <w:szCs w:val="21"/>
                <w:lang w:bidi="ar"/>
              </w:rPr>
            </w:pPr>
            <w:r>
              <w:rPr>
                <w:rFonts w:hint="eastAsia" w:ascii="宋体" w:hAnsi="宋体" w:eastAsia="宋体" w:cs="宋体"/>
                <w:szCs w:val="21"/>
                <w:lang w:bidi="ar"/>
              </w:rPr>
              <w:t xml:space="preserve">（1）投标人成立三年以上，至开标之日计算，注册资金不低于500万元人民币，具有独立法人资格，并具有良好信誉和业绩； </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（2）投标人应具有ERP开发运维服务的能力，需要提供2018年至今ERP开发运维支撑的合同案例，且合同案例金额不低于200万。</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（3）投标人遵守执业准则和执业规范，近3年内没有违法、违规或行业自律惩戒记录；</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（4）投标人须具有良好财务状况，需提供经会计师事务所出具的近</w:t>
            </w:r>
            <w:r>
              <w:rPr>
                <w:rFonts w:hint="eastAsia" w:ascii="宋体" w:hAnsi="宋体" w:eastAsia="宋体" w:cs="宋体"/>
                <w:szCs w:val="21"/>
                <w:lang w:val="en-US" w:eastAsia="zh-CN" w:bidi="ar"/>
              </w:rPr>
              <w:t>三</w:t>
            </w:r>
            <w:r>
              <w:rPr>
                <w:rFonts w:hint="eastAsia" w:ascii="宋体" w:hAnsi="宋体" w:eastAsia="宋体" w:cs="宋体"/>
                <w:szCs w:val="21"/>
                <w:lang w:bidi="ar"/>
              </w:rPr>
              <w:t>年的财务审计报告复印件加盖公章，原件备查。</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（5）出具信用中国网站信用信息报告加盖公章。</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（6）投标人应具有ISO27001与至少CMMI</w:t>
            </w:r>
            <w:r>
              <w:rPr>
                <w:rFonts w:hint="eastAsia" w:ascii="宋体" w:hAnsi="宋体" w:eastAsia="宋体" w:cs="宋体"/>
                <w:szCs w:val="21"/>
                <w:lang w:val="en-US" w:eastAsia="zh-CN" w:bidi="ar"/>
              </w:rPr>
              <w:t>3</w:t>
            </w:r>
            <w:r>
              <w:rPr>
                <w:rFonts w:hint="eastAsia" w:ascii="宋体" w:hAnsi="宋体" w:eastAsia="宋体" w:cs="宋体"/>
                <w:szCs w:val="21"/>
                <w:lang w:bidi="ar"/>
              </w:rPr>
              <w:t>级认证证书。</w:t>
            </w:r>
          </w:p>
          <w:p>
            <w:pPr>
              <w:tabs>
                <w:tab w:val="left" w:pos="2532"/>
              </w:tabs>
              <w:jc w:val="left"/>
              <w:rPr>
                <w:rFonts w:ascii="宋体" w:hAnsi="宋体" w:eastAsia="宋体" w:cs="宋体"/>
                <w:szCs w:val="21"/>
                <w:lang w:bidi="ar"/>
              </w:rPr>
            </w:pPr>
            <w:r>
              <w:rPr>
                <w:rFonts w:hint="eastAsia" w:ascii="宋体" w:hAnsi="宋体" w:eastAsia="宋体" w:cs="宋体"/>
                <w:szCs w:val="21"/>
                <w:lang w:bidi="ar"/>
              </w:rPr>
              <w:t>（</w:t>
            </w:r>
            <w:r>
              <w:rPr>
                <w:rFonts w:hint="eastAsia" w:ascii="宋体" w:hAnsi="宋体" w:eastAsia="宋体" w:cs="宋体"/>
                <w:szCs w:val="21"/>
                <w:lang w:val="en-US" w:eastAsia="zh-CN" w:bidi="ar"/>
              </w:rPr>
              <w:t>7</w:t>
            </w:r>
            <w:r>
              <w:rPr>
                <w:rFonts w:hint="eastAsia" w:ascii="宋体" w:hAnsi="宋体" w:eastAsia="宋体" w:cs="宋体"/>
                <w:szCs w:val="21"/>
                <w:lang w:bidi="ar"/>
              </w:rPr>
              <w:t>）投标人须是SAP产品授权的代理商，且需提供有效的授权证明。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lang w:bidi="ar"/>
              </w:rPr>
              <w:t>是否允许代理商投标</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000000"/>
                <w:szCs w:val="21"/>
              </w:rPr>
            </w:pPr>
            <w:r>
              <w:rPr>
                <w:rFonts w:hint="eastAsia" w:ascii="宋体" w:hAnsi="宋体" w:eastAsia="宋体" w:cs="宋体"/>
                <w:bCs/>
                <w:color w:val="000000"/>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lang w:bidi="ar"/>
              </w:rPr>
            </w:pPr>
            <w:r>
              <w:rPr>
                <w:rFonts w:hint="eastAsia" w:ascii="宋体" w:hAnsi="宋体" w:eastAsia="宋体" w:cs="宋体"/>
                <w:color w:val="000000"/>
                <w:szCs w:val="21"/>
                <w:lang w:bidi="ar"/>
              </w:rPr>
              <w:t>投标人应提交的</w:t>
            </w:r>
          </w:p>
          <w:p>
            <w:pPr>
              <w:jc w:val="left"/>
              <w:rPr>
                <w:rFonts w:ascii="宋体" w:hAnsi="宋体" w:eastAsia="宋体" w:cs="宋体"/>
                <w:color w:val="000000"/>
                <w:szCs w:val="21"/>
              </w:rPr>
            </w:pPr>
            <w:r>
              <w:rPr>
                <w:rFonts w:hint="eastAsia" w:ascii="宋体" w:hAnsi="宋体" w:eastAsia="宋体" w:cs="宋体"/>
                <w:color w:val="000000"/>
                <w:szCs w:val="21"/>
                <w:lang w:bidi="ar"/>
              </w:rPr>
              <w:t>商务文件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6"/>
              </w:numPr>
              <w:tabs>
                <w:tab w:val="left" w:pos="556"/>
              </w:tabs>
              <w:ind w:left="528" w:leftChars="-3" w:hanging="534" w:hangingChars="267"/>
              <w:jc w:val="left"/>
              <w:rPr>
                <w:rFonts w:ascii="宋体" w:hAnsi="Times New Roman" w:eastAsia="宋体" w:cs="宋体"/>
                <w:sz w:val="20"/>
                <w:szCs w:val="21"/>
              </w:rPr>
            </w:pPr>
            <w:r>
              <w:rPr>
                <w:rFonts w:hint="eastAsia" w:ascii="宋体" w:hAnsi="Times New Roman" w:eastAsia="宋体" w:cs="宋体"/>
                <w:sz w:val="20"/>
                <w:szCs w:val="21"/>
                <w:lang w:bidi="ar"/>
              </w:rPr>
              <w:t>法定代表人授权委托书；</w:t>
            </w:r>
          </w:p>
          <w:p>
            <w:pPr>
              <w:widowControl/>
              <w:numPr>
                <w:ilvl w:val="0"/>
                <w:numId w:val="6"/>
              </w:numPr>
              <w:tabs>
                <w:tab w:val="left" w:pos="556"/>
              </w:tabs>
              <w:ind w:left="528" w:leftChars="-3" w:hanging="534" w:hangingChars="267"/>
              <w:jc w:val="left"/>
              <w:rPr>
                <w:rFonts w:ascii="宋体" w:hAnsi="Times New Roman" w:eastAsia="宋体" w:cs="宋体"/>
                <w:sz w:val="20"/>
                <w:szCs w:val="21"/>
              </w:rPr>
            </w:pPr>
            <w:r>
              <w:rPr>
                <w:rFonts w:hint="eastAsia" w:ascii="宋体" w:hAnsi="Times New Roman" w:eastAsia="宋体" w:cs="宋体"/>
                <w:sz w:val="20"/>
                <w:szCs w:val="21"/>
                <w:lang w:bidi="ar"/>
              </w:rPr>
              <w:t>营业执照（投标人应提交有效的企业法人营业执照副本复印件，并加盖投标人公章，按规定需要年检的，年检章要清楚）；</w:t>
            </w:r>
          </w:p>
          <w:p>
            <w:pPr>
              <w:widowControl/>
              <w:numPr>
                <w:ilvl w:val="0"/>
                <w:numId w:val="6"/>
              </w:numPr>
              <w:tabs>
                <w:tab w:val="left" w:pos="556"/>
              </w:tabs>
              <w:ind w:left="528" w:leftChars="-3" w:hanging="534" w:hangingChars="267"/>
              <w:jc w:val="left"/>
              <w:rPr>
                <w:rFonts w:ascii="宋体" w:hAnsi="Times New Roman" w:eastAsia="宋体" w:cs="宋体"/>
                <w:sz w:val="20"/>
                <w:szCs w:val="21"/>
              </w:rPr>
            </w:pPr>
            <w:r>
              <w:rPr>
                <w:rFonts w:hint="eastAsia" w:ascii="宋体" w:hAnsi="Times New Roman" w:eastAsia="宋体" w:cs="宋体"/>
                <w:sz w:val="20"/>
                <w:szCs w:val="21"/>
                <w:lang w:bidi="ar"/>
              </w:rPr>
              <w:t>一般纳税人证明文件；</w:t>
            </w:r>
          </w:p>
          <w:p>
            <w:pPr>
              <w:widowControl/>
              <w:numPr>
                <w:ilvl w:val="0"/>
                <w:numId w:val="6"/>
              </w:numPr>
              <w:tabs>
                <w:tab w:val="left" w:pos="556"/>
              </w:tabs>
              <w:ind w:left="528" w:leftChars="-3" w:hanging="534" w:hangingChars="267"/>
              <w:jc w:val="left"/>
              <w:rPr>
                <w:rFonts w:ascii="宋体" w:hAnsi="Times New Roman" w:eastAsia="宋体" w:cs="宋体"/>
                <w:sz w:val="20"/>
                <w:szCs w:val="21"/>
              </w:rPr>
            </w:pPr>
            <w:r>
              <w:rPr>
                <w:rFonts w:hint="eastAsia" w:ascii="宋体" w:hAnsi="Times New Roman" w:eastAsia="宋体" w:cs="宋体"/>
                <w:sz w:val="20"/>
                <w:szCs w:val="21"/>
                <w:lang w:bidi="ar"/>
              </w:rPr>
              <w:t>案例合同复印件盖章；</w:t>
            </w:r>
          </w:p>
          <w:p>
            <w:pPr>
              <w:widowControl/>
              <w:numPr>
                <w:ilvl w:val="0"/>
                <w:numId w:val="6"/>
              </w:numPr>
              <w:tabs>
                <w:tab w:val="left" w:pos="556"/>
              </w:tabs>
              <w:ind w:left="528" w:leftChars="-3" w:hanging="534" w:hangingChars="267"/>
              <w:jc w:val="left"/>
              <w:rPr>
                <w:rFonts w:ascii="宋体" w:hAnsi="宋体" w:eastAsia="宋体" w:cs="宋体"/>
                <w:color w:val="000000"/>
                <w:szCs w:val="21"/>
              </w:rPr>
            </w:pPr>
            <w:r>
              <w:rPr>
                <w:rFonts w:hint="eastAsia" w:ascii="宋体" w:hAnsi="Times New Roman" w:eastAsia="宋体" w:cs="宋体"/>
                <w:sz w:val="20"/>
                <w:szCs w:val="21"/>
                <w:lang w:bidi="ar"/>
              </w:rPr>
              <w:t>要求的认证证书。</w:t>
            </w:r>
            <w:r>
              <w:rPr>
                <w:rFonts w:hint="eastAsia" w:ascii="宋体" w:hAnsi="Times New Roman" w:eastAsia="宋体" w:cs="宋体"/>
                <w:sz w:val="20"/>
                <w:szCs w:val="20"/>
              </w:rPr>
              <w:t>详见6.2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lang w:bidi="ar"/>
              </w:rPr>
              <w:t>服务说明</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532"/>
              </w:tabs>
              <w:jc w:val="left"/>
              <w:rPr>
                <w:rFonts w:ascii="宋体" w:hAnsi="宋体" w:eastAsia="宋体" w:cs="宋体"/>
                <w:szCs w:val="21"/>
              </w:rPr>
            </w:pPr>
            <w:r>
              <w:rPr>
                <w:rFonts w:hint="eastAsia" w:ascii="宋体" w:hAnsi="宋体" w:eastAsia="宋体" w:cs="宋体"/>
                <w:kern w:val="0"/>
                <w:szCs w:val="21"/>
                <w:lang w:bidi="ar"/>
              </w:rPr>
              <w:t>投标人</w:t>
            </w:r>
            <w:r>
              <w:rPr>
                <w:rFonts w:hint="eastAsia" w:ascii="宋体" w:hAnsi="宋体" w:eastAsia="宋体" w:cs="宋体"/>
                <w:kern w:val="0"/>
                <w:lang w:bidi="ar"/>
              </w:rPr>
              <w:t>有完善服务组织体系，并配有专业的技术队伍，能提供快捷的售后服务响应。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lang w:bidi="ar"/>
              </w:rPr>
            </w:pPr>
            <w:r>
              <w:rPr>
                <w:rFonts w:hint="eastAsia" w:ascii="宋体" w:hAnsi="宋体" w:eastAsia="宋体" w:cs="宋体"/>
                <w:color w:val="000000"/>
                <w:szCs w:val="21"/>
                <w:lang w:bidi="ar"/>
              </w:rPr>
              <w:t>投标人应提交的</w:t>
            </w:r>
          </w:p>
          <w:p>
            <w:pPr>
              <w:jc w:val="left"/>
              <w:rPr>
                <w:rFonts w:ascii="宋体" w:hAnsi="宋体" w:eastAsia="宋体" w:cs="宋体"/>
                <w:color w:val="000000"/>
                <w:szCs w:val="21"/>
              </w:rPr>
            </w:pPr>
            <w:r>
              <w:rPr>
                <w:rFonts w:hint="eastAsia" w:ascii="宋体" w:hAnsi="宋体" w:eastAsia="宋体" w:cs="宋体"/>
                <w:color w:val="000000"/>
                <w:szCs w:val="21"/>
                <w:lang w:bidi="ar"/>
              </w:rPr>
              <w:t>技术文件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lang w:bidi="ar"/>
              </w:rPr>
              <w:t>（1）投标人自行编写的技术文件；</w:t>
            </w:r>
          </w:p>
          <w:p>
            <w:pPr>
              <w:tabs>
                <w:tab w:val="left" w:pos="556"/>
              </w:tabs>
              <w:rPr>
                <w:rFonts w:ascii="宋体" w:hAnsi="宋体" w:eastAsia="宋体" w:cs="宋体"/>
                <w:color w:val="000000"/>
                <w:szCs w:val="21"/>
              </w:rPr>
            </w:pPr>
            <w:r>
              <w:rPr>
                <w:rFonts w:hint="eastAsia" w:ascii="宋体" w:hAnsi="宋体" w:eastAsia="宋体" w:cs="宋体"/>
                <w:color w:val="000000"/>
                <w:szCs w:val="21"/>
                <w:lang w:bidi="ar"/>
              </w:rPr>
              <w:t>（2）投标人认为需要提供的其它说明和资料。详见6.2节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lang w:bidi="ar"/>
              </w:rPr>
              <w:t>投标人自行编写的</w:t>
            </w:r>
          </w:p>
          <w:p>
            <w:pPr>
              <w:jc w:val="left"/>
              <w:rPr>
                <w:rFonts w:ascii="宋体" w:hAnsi="宋体" w:eastAsia="宋体" w:cs="宋体"/>
                <w:color w:val="000000"/>
                <w:szCs w:val="21"/>
              </w:rPr>
            </w:pPr>
            <w:r>
              <w:rPr>
                <w:rFonts w:hint="eastAsia" w:ascii="宋体" w:hAnsi="宋体" w:eastAsia="宋体" w:cs="宋体"/>
                <w:color w:val="000000"/>
                <w:szCs w:val="21"/>
                <w:lang w:bidi="ar"/>
              </w:rPr>
              <w:t>技术文件应包含内容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7"/>
              </w:numPr>
              <w:tabs>
                <w:tab w:val="left" w:pos="556"/>
                <w:tab w:val="left" w:pos="612"/>
              </w:tabs>
              <w:ind w:left="556" w:hanging="567"/>
              <w:rPr>
                <w:rFonts w:ascii="宋体" w:hAnsi="宋体" w:eastAsia="宋体" w:cs="宋体"/>
                <w:color w:val="000000"/>
                <w:szCs w:val="21"/>
              </w:rPr>
            </w:pPr>
            <w:r>
              <w:rPr>
                <w:rFonts w:hint="eastAsia" w:ascii="宋体" w:hAnsi="宋体" w:eastAsia="宋体" w:cs="宋体"/>
                <w:color w:val="000000"/>
                <w:szCs w:val="21"/>
                <w:lang w:bidi="ar"/>
              </w:rPr>
              <w:t>项目规划方案</w:t>
            </w:r>
          </w:p>
          <w:p>
            <w:pPr>
              <w:numPr>
                <w:ilvl w:val="0"/>
                <w:numId w:val="7"/>
              </w:numPr>
              <w:tabs>
                <w:tab w:val="left" w:pos="556"/>
                <w:tab w:val="left" w:pos="612"/>
              </w:tabs>
              <w:ind w:left="556" w:hanging="567"/>
              <w:rPr>
                <w:rFonts w:ascii="宋体" w:hAnsi="宋体" w:eastAsia="宋体" w:cs="宋体"/>
                <w:color w:val="000000"/>
                <w:szCs w:val="21"/>
              </w:rPr>
            </w:pPr>
            <w:r>
              <w:rPr>
                <w:rFonts w:hint="eastAsia" w:ascii="宋体" w:hAnsi="宋体" w:eastAsia="宋体" w:cs="宋体"/>
                <w:color w:val="000000"/>
                <w:szCs w:val="21"/>
                <w:lang w:bidi="ar"/>
              </w:rPr>
              <w:t>服务方案</w:t>
            </w:r>
          </w:p>
          <w:p>
            <w:pPr>
              <w:numPr>
                <w:ilvl w:val="0"/>
                <w:numId w:val="7"/>
              </w:numPr>
              <w:tabs>
                <w:tab w:val="left" w:pos="556"/>
                <w:tab w:val="left" w:pos="612"/>
              </w:tabs>
              <w:ind w:left="556" w:hanging="567"/>
              <w:rPr>
                <w:rFonts w:ascii="宋体" w:hAnsi="宋体" w:eastAsia="宋体" w:cs="宋体"/>
                <w:color w:val="000000"/>
                <w:szCs w:val="21"/>
              </w:rPr>
            </w:pPr>
            <w:r>
              <w:rPr>
                <w:rFonts w:hint="eastAsia" w:ascii="宋体" w:hAnsi="宋体" w:eastAsia="宋体" w:cs="宋体"/>
                <w:color w:val="000000"/>
                <w:szCs w:val="21"/>
                <w:lang w:bidi="ar"/>
              </w:rPr>
              <w:t>投标人所提供的服务，应符合本文件提出的要求，如果投标人对技术规格提出合理建议或更改，应在报价服务规格性能偏离表中注明；</w:t>
            </w:r>
          </w:p>
          <w:p>
            <w:pPr>
              <w:numPr>
                <w:ilvl w:val="0"/>
                <w:numId w:val="7"/>
              </w:numPr>
              <w:tabs>
                <w:tab w:val="left" w:pos="556"/>
                <w:tab w:val="left" w:pos="612"/>
              </w:tabs>
              <w:ind w:left="556" w:hanging="567"/>
              <w:rPr>
                <w:rFonts w:ascii="宋体" w:hAnsi="宋体" w:eastAsia="宋体" w:cs="宋体"/>
                <w:color w:val="000000"/>
                <w:szCs w:val="21"/>
              </w:rPr>
            </w:pPr>
            <w:r>
              <w:rPr>
                <w:rFonts w:hint="eastAsia" w:ascii="宋体" w:hAnsi="宋体" w:eastAsia="宋体" w:cs="宋体"/>
                <w:color w:val="000000"/>
                <w:szCs w:val="21"/>
                <w:lang w:bidi="ar"/>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lang w:bidi="ar"/>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000000"/>
                <w:szCs w:val="21"/>
              </w:rPr>
            </w:pPr>
            <w:r>
              <w:rPr>
                <w:rFonts w:hint="eastAsia" w:ascii="宋体" w:hAnsi="宋体" w:eastAsia="宋体" w:cs="宋体"/>
                <w:bCs/>
                <w:color w:val="000000"/>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lang w:bidi="ar"/>
              </w:rPr>
              <w:t>9</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lang w:bidi="ar"/>
              </w:rPr>
              <w:t>投标文件份数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Times New Roman" w:eastAsia="宋体" w:cs="宋体"/>
                <w:sz w:val="20"/>
                <w:szCs w:val="21"/>
              </w:rPr>
              <w:t>文件一式</w:t>
            </w:r>
            <w:r>
              <w:rPr>
                <w:rFonts w:hint="eastAsia" w:ascii="宋体" w:hAnsi="Times New Roman" w:eastAsia="宋体" w:cs="宋体"/>
                <w:sz w:val="20"/>
                <w:szCs w:val="21"/>
                <w:u w:val="single"/>
                <w:lang w:val="en-US" w:eastAsia="zh-CN"/>
              </w:rPr>
              <w:t>五</w:t>
            </w:r>
            <w:r>
              <w:rPr>
                <w:rFonts w:hint="eastAsia" w:ascii="宋体" w:hAnsi="Times New Roman" w:eastAsia="宋体" w:cs="宋体"/>
                <w:sz w:val="20"/>
                <w:szCs w:val="21"/>
                <w:u w:val="single"/>
              </w:rPr>
              <w:t>份</w:t>
            </w:r>
            <w:r>
              <w:rPr>
                <w:rFonts w:hint="eastAsia" w:ascii="宋体" w:hAnsi="Times New Roman" w:eastAsia="宋体" w:cs="宋体"/>
                <w:sz w:val="20"/>
                <w:szCs w:val="21"/>
              </w:rPr>
              <w:t>，其中正本</w:t>
            </w:r>
            <w:r>
              <w:rPr>
                <w:rFonts w:hint="eastAsia" w:ascii="宋体" w:hAnsi="Times New Roman" w:eastAsia="宋体" w:cs="宋体"/>
                <w:sz w:val="20"/>
                <w:szCs w:val="21"/>
                <w:u w:val="single"/>
              </w:rPr>
              <w:t>一份</w:t>
            </w:r>
            <w:r>
              <w:rPr>
                <w:rFonts w:hint="eastAsia" w:ascii="宋体" w:hAnsi="Times New Roman" w:eastAsia="宋体" w:cs="宋体"/>
                <w:sz w:val="20"/>
                <w:szCs w:val="21"/>
              </w:rPr>
              <w:t>，副本</w:t>
            </w:r>
            <w:r>
              <w:rPr>
                <w:rFonts w:hint="eastAsia" w:ascii="宋体" w:hAnsi="Times New Roman" w:eastAsia="宋体" w:cs="宋体"/>
                <w:sz w:val="20"/>
                <w:szCs w:val="21"/>
                <w:u w:val="single"/>
                <w:lang w:val="en-US" w:eastAsia="zh-CN"/>
              </w:rPr>
              <w:t>四</w:t>
            </w:r>
            <w:r>
              <w:rPr>
                <w:rFonts w:hint="eastAsia" w:ascii="宋体" w:hAnsi="Times New Roman" w:eastAsia="宋体" w:cs="宋体"/>
                <w:sz w:val="20"/>
                <w:szCs w:val="21"/>
                <w:u w:val="singl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lang w:bidi="ar"/>
              </w:rPr>
            </w:pPr>
            <w:r>
              <w:rPr>
                <w:rFonts w:hint="eastAsia" w:ascii="宋体" w:hAnsi="宋体" w:eastAsia="宋体" w:cs="宋体"/>
                <w:b/>
                <w:color w:val="000000"/>
                <w:szCs w:val="21"/>
                <w:lang w:bidi="ar"/>
              </w:rPr>
              <w:t>10</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Cs w:val="21"/>
                <w:lang w:bidi="ar"/>
              </w:rPr>
            </w:pPr>
            <w:r>
              <w:rPr>
                <w:rFonts w:hint="eastAsia" w:ascii="宋体" w:hAnsi="宋体" w:eastAsia="宋体" w:cs="宋体"/>
                <w:b/>
                <w:bCs/>
                <w:color w:val="000000" w:themeColor="text1"/>
                <w:sz w:val="24"/>
                <w:lang w:bidi="ar"/>
                <w14:textFill>
                  <w14:solidFill>
                    <w14:schemeClr w14:val="tx1"/>
                  </w14:solidFill>
                </w14:textFill>
              </w:rPr>
              <w:t>投标保证金</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投标方务必在开标前</w:t>
            </w: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天将保证金汇入中国重汽指定账户（备注项目名称），同时在邮件报名中需提供word版保证金缴纳信息（公司全称、开户行、银行账号）。缴纳投标保证金2万元。</w:t>
            </w:r>
          </w:p>
          <w:p>
            <w:pPr>
              <w:pStyle w:val="30"/>
              <w:autoSpaceDN w:val="0"/>
              <w:spacing w:before="138"/>
              <w:rPr>
                <w:rFonts w:ascii="Times New Roman" w:hAnsi="Times New Roman" w:cs="宋体"/>
                <w:sz w:val="24"/>
              </w:rPr>
            </w:pPr>
            <w:r>
              <w:rPr>
                <w:rFonts w:hint="eastAsia" w:ascii="Times New Roman" w:hAnsi="Times New Roman" w:cs="宋体"/>
                <w:sz w:val="24"/>
              </w:rPr>
              <w:t>开户银行：中国建设银行济南天桥支行</w:t>
            </w:r>
          </w:p>
          <w:p>
            <w:pPr>
              <w:spacing w:line="360" w:lineRule="auto"/>
              <w:rPr>
                <w:rFonts w:ascii="Times New Roman" w:hAnsi="Times New Roman" w:cs="宋体"/>
                <w:sz w:val="24"/>
              </w:rPr>
            </w:pPr>
            <w:r>
              <w:rPr>
                <w:rFonts w:hint="eastAsia" w:ascii="Times New Roman" w:hAnsi="Times New Roman" w:cs="宋体"/>
                <w:sz w:val="24"/>
              </w:rPr>
              <w:t>户名：中国重汽集团济南动力有限公司</w:t>
            </w:r>
          </w:p>
          <w:p>
            <w:pPr>
              <w:spacing w:line="360" w:lineRule="auto"/>
              <w:rPr>
                <w:rFonts w:ascii="Times New Roman" w:hAnsi="Times New Roman" w:cs="宋体"/>
                <w:sz w:val="24"/>
              </w:rPr>
            </w:pPr>
            <w:r>
              <w:rPr>
                <w:rFonts w:hint="eastAsia" w:ascii="Times New Roman" w:hAnsi="Times New Roman" w:cs="宋体"/>
                <w:sz w:val="24"/>
              </w:rPr>
              <w:t>账号：37001616508050150300</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Times New Roman" w:hAnsi="Times New Roman" w:cs="宋体"/>
                <w:sz w:val="24"/>
              </w:rPr>
              <w:t>纳税人识别号：91370100787411873C</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发生以下情况时,有权没收保证金:</w:t>
            </w:r>
          </w:p>
          <w:p>
            <w:pPr>
              <w:pStyle w:val="26"/>
              <w:numPr>
                <w:ilvl w:val="0"/>
                <w:numId w:val="8"/>
              </w:numPr>
              <w:spacing w:line="360" w:lineRule="auto"/>
              <w:ind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截至开标前</w:t>
            </w: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天,供应商无正当理由、未以书面形式递交说明而在投标截止日不来投标的;</w:t>
            </w:r>
          </w:p>
          <w:p>
            <w:pPr>
              <w:spacing w:line="360" w:lineRule="auto"/>
              <w:rPr>
                <w:rFonts w:ascii="宋体" w:hAnsi="Times New Roman" w:eastAsia="宋体" w:cs="宋体"/>
                <w:sz w:val="20"/>
                <w:szCs w:val="21"/>
              </w:rPr>
            </w:pPr>
            <w:r>
              <w:rPr>
                <w:rFonts w:hint="eastAsia" w:ascii="宋体" w:hAnsi="宋体" w:eastAsia="宋体" w:cs="宋体"/>
                <w:color w:val="000000" w:themeColor="text1"/>
                <w:sz w:val="24"/>
                <w14:textFill>
                  <w14:solidFill>
                    <w14:schemeClr w14:val="tx1"/>
                  </w14:solidFill>
                </w14:textFill>
              </w:rPr>
              <w:t>②供应商递送文件后,无正当理由放弃投标的;</w:t>
            </w:r>
          </w:p>
        </w:tc>
      </w:tr>
    </w:tbl>
    <w:p>
      <w:pPr>
        <w:pStyle w:val="22"/>
        <w:keepNext w:val="0"/>
        <w:widowControl/>
        <w:numPr>
          <w:ilvl w:val="1"/>
          <w:numId w:val="0"/>
        </w:numPr>
        <w:ind w:firstLine="562" w:firstLineChars="200"/>
        <w:rPr>
          <w:rFonts w:cs="宋体"/>
        </w:rPr>
      </w:pPr>
      <w:bookmarkStart w:id="25" w:name="_Toc18798"/>
      <w:bookmarkStart w:id="26" w:name="_Toc534087348"/>
      <w:bookmarkStart w:id="27" w:name="_Toc536867084"/>
      <w:bookmarkStart w:id="28" w:name="_Toc533413548"/>
      <w:bookmarkStart w:id="29" w:name="_Toc533998779"/>
      <w:bookmarkStart w:id="30" w:name="_Toc533413149"/>
      <w:r>
        <w:rPr>
          <w:rFonts w:hint="eastAsia" w:cs="宋体"/>
        </w:rPr>
        <w:t>5.2投标报价</w:t>
      </w:r>
      <w:bookmarkEnd w:id="25"/>
    </w:p>
    <w:p>
      <w:pPr>
        <w:pStyle w:val="23"/>
        <w:widowControl/>
        <w:numPr>
          <w:ilvl w:val="0"/>
          <w:numId w:val="9"/>
        </w:numPr>
        <w:rPr>
          <w:rFonts w:cs="宋体"/>
        </w:rPr>
      </w:pPr>
      <w:r>
        <w:rPr>
          <w:rFonts w:hint="eastAsia" w:cs="宋体"/>
        </w:rPr>
        <w:t>本次招投标为</w:t>
      </w:r>
      <w:r>
        <w:rPr>
          <w:rFonts w:hint="eastAsia" w:cs="宋体"/>
          <w:b/>
          <w:bCs/>
        </w:rPr>
        <w:t>公开招标</w:t>
      </w:r>
      <w:r>
        <w:rPr>
          <w:rFonts w:hint="eastAsia" w:cs="宋体"/>
        </w:rPr>
        <w:t>，投标总报价应包括项目实施服务、及相关资料、保险、税费、运杂、差旅等全部费用，并对各主要报价构成项列报价清单。</w:t>
      </w:r>
    </w:p>
    <w:p>
      <w:pPr>
        <w:pStyle w:val="23"/>
        <w:widowControl/>
        <w:numPr>
          <w:ilvl w:val="0"/>
          <w:numId w:val="9"/>
        </w:numPr>
        <w:rPr>
          <w:rFonts w:cs="宋体"/>
        </w:rPr>
      </w:pPr>
      <w:r>
        <w:rPr>
          <w:rFonts w:hint="eastAsia" w:cs="宋体"/>
        </w:rPr>
        <w:t>所有参加投标的单位必须结合自身的实际情况，对此次招标项目建设周期与实施难度的估量以及所制定的实施组织计划，以实际产生的费用，据实报价。每包至少包含三个级别工程师价格。</w:t>
      </w:r>
    </w:p>
    <w:p>
      <w:pPr>
        <w:pStyle w:val="23"/>
        <w:widowControl/>
        <w:numPr>
          <w:ilvl w:val="0"/>
          <w:numId w:val="9"/>
        </w:numPr>
        <w:rPr>
          <w:rFonts w:cs="宋体"/>
        </w:rPr>
      </w:pPr>
      <w:r>
        <w:rPr>
          <w:rFonts w:hint="eastAsia" w:cs="宋体"/>
        </w:rPr>
        <w:t>供应商免费提供的项目，应先填写该项目的实际价格，并注明免费。此项不计入总报价。</w:t>
      </w:r>
    </w:p>
    <w:p>
      <w:pPr>
        <w:pStyle w:val="23"/>
        <w:widowControl/>
        <w:numPr>
          <w:ilvl w:val="0"/>
          <w:numId w:val="9"/>
        </w:numPr>
        <w:rPr>
          <w:rFonts w:cs="宋体"/>
        </w:rPr>
      </w:pPr>
      <w:r>
        <w:rPr>
          <w:rFonts w:hint="eastAsia" w:cs="宋体"/>
        </w:rPr>
        <w:t>项目的报价货币单位为：人民币（含税）。</w:t>
      </w:r>
    </w:p>
    <w:p>
      <w:pPr>
        <w:pStyle w:val="23"/>
        <w:widowControl/>
        <w:numPr>
          <w:ilvl w:val="0"/>
          <w:numId w:val="9"/>
        </w:numPr>
        <w:rPr>
          <w:rFonts w:cs="宋体"/>
        </w:rPr>
      </w:pPr>
      <w:r>
        <w:rPr>
          <w:rFonts w:hint="eastAsia" w:cs="宋体"/>
        </w:rPr>
        <w:t>最后磋商报价在合同执行过程中是固定不变的，不得以任何理由予以变更。</w:t>
      </w:r>
    </w:p>
    <w:p>
      <w:pPr>
        <w:pStyle w:val="22"/>
        <w:keepNext w:val="0"/>
        <w:widowControl/>
        <w:numPr>
          <w:ilvl w:val="1"/>
          <w:numId w:val="0"/>
        </w:numPr>
        <w:ind w:firstLine="562" w:firstLineChars="200"/>
      </w:pPr>
      <w:bookmarkStart w:id="31" w:name="_Toc14874"/>
      <w:bookmarkStart w:id="32" w:name="_Toc18645"/>
      <w:r>
        <w:rPr>
          <w:rFonts w:hint="eastAsia" w:cs="宋体"/>
        </w:rPr>
        <w:t>5.3招标文件的组成</w:t>
      </w:r>
      <w:bookmarkEnd w:id="31"/>
      <w:bookmarkEnd w:id="32"/>
    </w:p>
    <w:p>
      <w:pPr>
        <w:pStyle w:val="23"/>
        <w:widowControl/>
        <w:numPr>
          <w:ilvl w:val="0"/>
          <w:numId w:val="9"/>
        </w:numPr>
      </w:pPr>
      <w:r>
        <w:rPr>
          <w:rFonts w:hint="eastAsia" w:cs="宋体"/>
        </w:rPr>
        <w:t>招标文件由招标文件总目录所列内容组成。</w:t>
      </w:r>
    </w:p>
    <w:p>
      <w:pPr>
        <w:pStyle w:val="23"/>
        <w:widowControl/>
        <w:numPr>
          <w:ilvl w:val="0"/>
          <w:numId w:val="9"/>
        </w:numPr>
      </w:pPr>
      <w:r>
        <w:rPr>
          <w:rFonts w:hint="eastAsia" w:cs="宋体"/>
        </w:rPr>
        <w:t>投标人详细阅读招标文件的全部内容。不按招标文件的要求提供的投标文件和资料，可能导致投标被拒绝。</w:t>
      </w:r>
    </w:p>
    <w:p>
      <w:pPr>
        <w:pStyle w:val="22"/>
        <w:keepNext w:val="0"/>
        <w:widowControl/>
        <w:numPr>
          <w:ilvl w:val="1"/>
          <w:numId w:val="0"/>
        </w:numPr>
        <w:ind w:firstLine="562" w:firstLineChars="200"/>
      </w:pPr>
      <w:bookmarkStart w:id="33" w:name="_Toc12989"/>
      <w:r>
        <w:rPr>
          <w:rFonts w:hint="eastAsia" w:cs="宋体"/>
        </w:rPr>
        <w:t>5.4招标文件的澄清</w:t>
      </w:r>
      <w:bookmarkEnd w:id="26"/>
      <w:bookmarkEnd w:id="27"/>
      <w:bookmarkEnd w:id="28"/>
      <w:bookmarkEnd w:id="29"/>
      <w:bookmarkEnd w:id="30"/>
      <w:bookmarkEnd w:id="33"/>
    </w:p>
    <w:p>
      <w:pPr>
        <w:pStyle w:val="19"/>
        <w:widowControl/>
        <w:ind w:firstLine="480"/>
      </w:pPr>
      <w:r>
        <w:rPr>
          <w:rFonts w:hint="eastAsia" w:cs="宋体"/>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pPr>
        <w:pStyle w:val="22"/>
        <w:keepNext w:val="0"/>
        <w:widowControl/>
        <w:numPr>
          <w:ilvl w:val="1"/>
          <w:numId w:val="0"/>
        </w:numPr>
        <w:ind w:firstLine="562" w:firstLineChars="200"/>
      </w:pPr>
      <w:bookmarkStart w:id="34" w:name="_Toc533998780"/>
      <w:bookmarkStart w:id="35" w:name="_Toc32336"/>
      <w:bookmarkStart w:id="36" w:name="_Toc533413150"/>
      <w:bookmarkStart w:id="37" w:name="_Toc534087349"/>
      <w:bookmarkStart w:id="38" w:name="_Toc533413549"/>
      <w:bookmarkStart w:id="39" w:name="_Toc536867085"/>
      <w:r>
        <w:rPr>
          <w:rFonts w:hint="eastAsia" w:cs="宋体"/>
        </w:rPr>
        <w:t>5.5招标文件的修改</w:t>
      </w:r>
      <w:bookmarkEnd w:id="34"/>
      <w:bookmarkEnd w:id="35"/>
      <w:bookmarkEnd w:id="36"/>
      <w:bookmarkEnd w:id="37"/>
      <w:bookmarkEnd w:id="38"/>
      <w:bookmarkEnd w:id="39"/>
    </w:p>
    <w:p>
      <w:pPr>
        <w:pStyle w:val="23"/>
        <w:widowControl/>
        <w:numPr>
          <w:ilvl w:val="0"/>
          <w:numId w:val="10"/>
        </w:numPr>
      </w:pPr>
      <w:r>
        <w:rPr>
          <w:rFonts w:hint="eastAsia" w:cs="宋体"/>
        </w:rPr>
        <w:t>在投标截止时间前</w:t>
      </w:r>
      <w:r>
        <w:t>5</w:t>
      </w:r>
      <w:r>
        <w:rPr>
          <w:rFonts w:hint="eastAsia" w:cs="宋体"/>
        </w:rPr>
        <w:t>天，招标人无论出于自己的考虑，还是出于对投标人提问的澄清，均可对招标文件用补充文件的方式进行修改。</w:t>
      </w:r>
    </w:p>
    <w:p>
      <w:pPr>
        <w:pStyle w:val="23"/>
        <w:widowControl/>
        <w:numPr>
          <w:ilvl w:val="0"/>
          <w:numId w:val="10"/>
        </w:numPr>
      </w:pPr>
      <w:r>
        <w:rPr>
          <w:rFonts w:hint="eastAsia" w:cs="宋体"/>
        </w:rPr>
        <w:t>对招标文件的修改，将以书面或传真的形式通知已收到招标文件的每一投标人。补充文件将作为招标文件的组成部分，对所有投标人有约束力。</w:t>
      </w:r>
    </w:p>
    <w:p>
      <w:pPr>
        <w:pStyle w:val="23"/>
        <w:widowControl/>
        <w:numPr>
          <w:ilvl w:val="0"/>
          <w:numId w:val="10"/>
        </w:numPr>
      </w:pPr>
      <w:r>
        <w:rPr>
          <w:rFonts w:hint="eastAsia" w:cs="宋体"/>
        </w:rPr>
        <w:t>为使投标人有足够的时间按招标文件的修改要求考虑修正投标文件，招标人可酌情推迟投标和开标日期，并将这些变更通知上述每一投标人。</w:t>
      </w:r>
    </w:p>
    <w:p>
      <w:pPr>
        <w:pStyle w:val="20"/>
        <w:keepNext w:val="0"/>
        <w:widowControl/>
        <w:numPr>
          <w:ilvl w:val="0"/>
          <w:numId w:val="0"/>
        </w:numPr>
      </w:pPr>
      <w:bookmarkStart w:id="40" w:name="_Toc31442"/>
      <w:bookmarkStart w:id="41" w:name="_Toc265850578"/>
      <w:bookmarkStart w:id="42" w:name="_Toc234922353"/>
      <w:bookmarkStart w:id="43" w:name="_Toc264881858"/>
      <w:r>
        <w:rPr>
          <w:rFonts w:hint="eastAsia" w:cs="宋体"/>
        </w:rPr>
        <w:t>6投标文件的内容和要求</w:t>
      </w:r>
      <w:bookmarkEnd w:id="40"/>
      <w:bookmarkEnd w:id="41"/>
      <w:bookmarkEnd w:id="42"/>
      <w:bookmarkEnd w:id="43"/>
    </w:p>
    <w:p>
      <w:pPr>
        <w:pStyle w:val="22"/>
        <w:keepNext w:val="0"/>
        <w:widowControl/>
        <w:numPr>
          <w:ilvl w:val="1"/>
          <w:numId w:val="0"/>
        </w:numPr>
        <w:ind w:firstLine="562" w:firstLineChars="200"/>
      </w:pPr>
      <w:bookmarkStart w:id="44" w:name="_Toc10378"/>
      <w:r>
        <w:rPr>
          <w:rFonts w:hint="eastAsia" w:cs="宋体"/>
        </w:rPr>
        <w:t>6.1投标文件计量单位</w:t>
      </w:r>
      <w:bookmarkEnd w:id="44"/>
    </w:p>
    <w:p>
      <w:pPr>
        <w:pStyle w:val="19"/>
        <w:widowControl/>
        <w:ind w:firstLine="480"/>
      </w:pPr>
      <w:r>
        <w:rPr>
          <w:rFonts w:hint="eastAsia" w:cs="宋体"/>
        </w:rPr>
        <w:t>投标文件中所使用的计量单位，除招标文件中有特殊要求外，应采用国家法定计量单位。</w:t>
      </w:r>
    </w:p>
    <w:p>
      <w:pPr>
        <w:pStyle w:val="22"/>
        <w:keepNext w:val="0"/>
        <w:widowControl/>
        <w:numPr>
          <w:ilvl w:val="1"/>
          <w:numId w:val="0"/>
        </w:numPr>
        <w:ind w:firstLine="562" w:firstLineChars="200"/>
      </w:pPr>
      <w:bookmarkStart w:id="45" w:name="_Toc13017"/>
      <w:r>
        <w:rPr>
          <w:rFonts w:hint="eastAsia" w:cs="宋体"/>
        </w:rPr>
        <w:t>6.2投标文件组成</w:t>
      </w:r>
      <w:bookmarkEnd w:id="45"/>
    </w:p>
    <w:p>
      <w:pPr>
        <w:pStyle w:val="19"/>
        <w:widowControl/>
        <w:ind w:firstLine="480"/>
        <w:rPr>
          <w:rFonts w:cs="宋体"/>
        </w:rPr>
      </w:pPr>
      <w:r>
        <w:rPr>
          <w:rFonts w:hint="eastAsia" w:cs="宋体"/>
        </w:rPr>
        <w:t>投标文件由以下部分组成（请按照下述组织投标书各章节内容）：</w:t>
      </w:r>
    </w:p>
    <w:p>
      <w:pPr>
        <w:pStyle w:val="19"/>
        <w:widowControl/>
        <w:ind w:left="480" w:firstLine="0" w:firstLineChars="0"/>
        <w:rPr>
          <w:rFonts w:cs="宋体"/>
        </w:rPr>
      </w:pPr>
      <w:r>
        <w:rPr>
          <w:rFonts w:hint="eastAsia"/>
        </w:rPr>
        <w:t>1.资质文件（独立封装在一个档案袋，一式两份）：</w:t>
      </w:r>
    </w:p>
    <w:p>
      <w:pPr>
        <w:pStyle w:val="23"/>
        <w:widowControl/>
        <w:numPr>
          <w:ilvl w:val="0"/>
          <w:numId w:val="11"/>
        </w:numPr>
        <w:tabs>
          <w:tab w:val="left" w:pos="420"/>
          <w:tab w:val="clear" w:pos="0"/>
        </w:tabs>
        <w:adjustRightInd w:val="0"/>
        <w:snapToGrid w:val="0"/>
        <w:spacing w:line="300" w:lineRule="auto"/>
        <w:ind w:left="630" w:leftChars="300"/>
        <w:rPr>
          <w:rFonts w:cs="宋体"/>
        </w:rPr>
      </w:pPr>
      <w:r>
        <w:rPr>
          <w:rFonts w:hint="eastAsia" w:cs="宋体"/>
        </w:rPr>
        <w:t>法定代表人授权委托书（见附件</w:t>
      </w:r>
      <w:r>
        <w:rPr>
          <w:rFonts w:cs="宋体"/>
        </w:rPr>
        <w:t>2</w:t>
      </w:r>
      <w:r>
        <w:rPr>
          <w:rFonts w:hint="eastAsia" w:cs="宋体"/>
        </w:rPr>
        <w:t>）（见附录）；</w:t>
      </w:r>
    </w:p>
    <w:p>
      <w:pPr>
        <w:pStyle w:val="23"/>
        <w:widowControl/>
        <w:numPr>
          <w:ilvl w:val="0"/>
          <w:numId w:val="11"/>
        </w:numPr>
        <w:tabs>
          <w:tab w:val="left" w:pos="420"/>
          <w:tab w:val="clear" w:pos="0"/>
        </w:tabs>
        <w:adjustRightInd w:val="0"/>
        <w:snapToGrid w:val="0"/>
        <w:spacing w:line="300" w:lineRule="auto"/>
        <w:ind w:left="630" w:leftChars="300"/>
        <w:rPr>
          <w:rFonts w:cs="宋体"/>
        </w:rPr>
      </w:pPr>
      <w:r>
        <w:rPr>
          <w:rFonts w:hint="eastAsia" w:cs="宋体"/>
        </w:rPr>
        <w:t>企业营业执照副本复印件（加盖法人单位公章）；</w:t>
      </w:r>
    </w:p>
    <w:p>
      <w:pPr>
        <w:pStyle w:val="23"/>
        <w:widowControl/>
        <w:numPr>
          <w:ilvl w:val="0"/>
          <w:numId w:val="11"/>
        </w:numPr>
        <w:tabs>
          <w:tab w:val="left" w:pos="420"/>
          <w:tab w:val="clear" w:pos="0"/>
        </w:tabs>
        <w:adjustRightInd w:val="0"/>
        <w:snapToGrid w:val="0"/>
        <w:spacing w:line="300" w:lineRule="auto"/>
        <w:ind w:left="630" w:leftChars="300"/>
        <w:rPr>
          <w:rFonts w:cs="宋体"/>
        </w:rPr>
      </w:pPr>
      <w:r>
        <w:rPr>
          <w:rFonts w:hint="eastAsia" w:cs="宋体"/>
        </w:rPr>
        <w:t>法人代表或授权代表有效身份证（盖有法人单位公章的复印件，包括正反两面）；</w:t>
      </w:r>
    </w:p>
    <w:p>
      <w:pPr>
        <w:pStyle w:val="23"/>
        <w:widowControl/>
        <w:numPr>
          <w:ilvl w:val="0"/>
          <w:numId w:val="11"/>
        </w:numPr>
        <w:tabs>
          <w:tab w:val="left" w:pos="420"/>
          <w:tab w:val="clear" w:pos="0"/>
        </w:tabs>
        <w:adjustRightInd w:val="0"/>
        <w:snapToGrid w:val="0"/>
        <w:spacing w:line="300" w:lineRule="auto"/>
        <w:ind w:left="630" w:leftChars="300"/>
        <w:rPr>
          <w:rFonts w:cs="宋体"/>
        </w:rPr>
      </w:pPr>
      <w:r>
        <w:rPr>
          <w:rFonts w:hint="eastAsia" w:cs="宋体"/>
        </w:rPr>
        <w:t>投标方经营业绩情况，至少应包括近二年的年度财务报表审计报告、近二年的财务报表；</w:t>
      </w:r>
    </w:p>
    <w:p>
      <w:pPr>
        <w:pStyle w:val="23"/>
        <w:widowControl/>
        <w:numPr>
          <w:ilvl w:val="0"/>
          <w:numId w:val="11"/>
        </w:numPr>
        <w:tabs>
          <w:tab w:val="left" w:pos="420"/>
          <w:tab w:val="clear" w:pos="0"/>
        </w:tabs>
        <w:adjustRightInd w:val="0"/>
        <w:snapToGrid w:val="0"/>
        <w:spacing w:line="300" w:lineRule="auto"/>
        <w:ind w:left="630" w:leftChars="300"/>
        <w:rPr>
          <w:rFonts w:cs="宋体"/>
        </w:rPr>
      </w:pPr>
      <w:r>
        <w:rPr>
          <w:rFonts w:hint="eastAsia" w:cs="宋体"/>
        </w:rPr>
        <w:t>成功案例。列举与此招标项目类似的成功案例，包括项目实施时间、单位、应用范围、投标人参与的核心成员等。</w:t>
      </w:r>
    </w:p>
    <w:p>
      <w:pPr>
        <w:pStyle w:val="23"/>
        <w:widowControl/>
        <w:numPr>
          <w:ilvl w:val="0"/>
          <w:numId w:val="11"/>
        </w:numPr>
        <w:tabs>
          <w:tab w:val="left" w:pos="420"/>
          <w:tab w:val="clear" w:pos="0"/>
        </w:tabs>
        <w:adjustRightInd w:val="0"/>
        <w:snapToGrid w:val="0"/>
        <w:spacing w:line="300" w:lineRule="auto"/>
        <w:ind w:left="630" w:leftChars="300"/>
        <w:rPr>
          <w:rFonts w:cs="宋体"/>
        </w:rPr>
      </w:pPr>
      <w:r>
        <w:rPr>
          <w:rFonts w:hint="eastAsia" w:cs="宋体"/>
        </w:rPr>
        <w:t>其他需要证明的资料文件。</w:t>
      </w:r>
    </w:p>
    <w:p>
      <w:pPr>
        <w:pStyle w:val="19"/>
        <w:widowControl/>
        <w:ind w:firstLine="480"/>
      </w:pPr>
      <w:r>
        <w:t>2.</w:t>
      </w:r>
      <w:r>
        <w:rPr>
          <w:rFonts w:hint="eastAsia"/>
        </w:rPr>
        <w:t>技术标（独立封装在一个档案袋，一式</w:t>
      </w:r>
      <w:r>
        <w:rPr>
          <w:rFonts w:hint="eastAsia"/>
          <w:lang w:val="en-US" w:eastAsia="zh-CN"/>
        </w:rPr>
        <w:t>五</w:t>
      </w:r>
      <w:r>
        <w:rPr>
          <w:rFonts w:hint="eastAsia"/>
        </w:rPr>
        <w:t>份，其中正本一份，副本</w:t>
      </w:r>
      <w:r>
        <w:rPr>
          <w:rFonts w:hint="eastAsia"/>
          <w:lang w:val="en-US" w:eastAsia="zh-CN"/>
        </w:rPr>
        <w:t>四</w:t>
      </w:r>
      <w:r>
        <w:rPr>
          <w:rFonts w:hint="eastAsia"/>
        </w:rPr>
        <w:t>份）：</w:t>
      </w:r>
    </w:p>
    <w:p>
      <w:pPr>
        <w:pStyle w:val="23"/>
        <w:widowControl/>
        <w:numPr>
          <w:ilvl w:val="0"/>
          <w:numId w:val="12"/>
        </w:numPr>
        <w:tabs>
          <w:tab w:val="left" w:pos="420"/>
          <w:tab w:val="clear" w:pos="0"/>
        </w:tabs>
        <w:adjustRightInd w:val="0"/>
        <w:snapToGrid w:val="0"/>
        <w:spacing w:line="300" w:lineRule="auto"/>
        <w:ind w:left="1110" w:leftChars="300" w:hanging="480" w:hangingChars="200"/>
        <w:rPr>
          <w:rFonts w:cs="宋体"/>
        </w:rPr>
      </w:pPr>
      <w:r>
        <w:rPr>
          <w:rFonts w:hint="eastAsia" w:cs="宋体"/>
        </w:rPr>
        <w:t>项目实施方案（见附件</w:t>
      </w:r>
      <w:r>
        <w:rPr>
          <w:rFonts w:cs="宋体"/>
        </w:rPr>
        <w:t>8</w:t>
      </w:r>
      <w:r>
        <w:rPr>
          <w:rFonts w:hint="eastAsia" w:cs="宋体"/>
        </w:rPr>
        <w:t>）。针对招标文件项目技术要求，提出相应的解决方案。</w:t>
      </w:r>
    </w:p>
    <w:p>
      <w:pPr>
        <w:pStyle w:val="23"/>
        <w:widowControl/>
        <w:numPr>
          <w:ilvl w:val="0"/>
          <w:numId w:val="12"/>
        </w:numPr>
        <w:tabs>
          <w:tab w:val="left" w:pos="420"/>
          <w:tab w:val="clear" w:pos="0"/>
        </w:tabs>
        <w:adjustRightInd w:val="0"/>
        <w:snapToGrid w:val="0"/>
        <w:spacing w:line="300" w:lineRule="auto"/>
        <w:ind w:left="1110" w:leftChars="300" w:hanging="480" w:hangingChars="200"/>
        <w:rPr>
          <w:rFonts w:cs="宋体"/>
        </w:rPr>
      </w:pPr>
      <w:r>
        <w:rPr>
          <w:rFonts w:hint="eastAsia" w:cs="宋体"/>
        </w:rPr>
        <w:t>项目团队。列示拟参与项目的团队成员及工作简历。</w:t>
      </w:r>
    </w:p>
    <w:p>
      <w:pPr>
        <w:pStyle w:val="23"/>
        <w:widowControl/>
        <w:numPr>
          <w:ilvl w:val="0"/>
          <w:numId w:val="12"/>
        </w:numPr>
        <w:tabs>
          <w:tab w:val="left" w:pos="420"/>
          <w:tab w:val="clear" w:pos="0"/>
        </w:tabs>
        <w:adjustRightInd w:val="0"/>
        <w:snapToGrid w:val="0"/>
        <w:spacing w:line="300" w:lineRule="auto"/>
        <w:ind w:left="1110" w:leftChars="300" w:hanging="480" w:hangingChars="200"/>
        <w:rPr>
          <w:rFonts w:cs="宋体"/>
        </w:rPr>
      </w:pPr>
      <w:r>
        <w:rPr>
          <w:rFonts w:hint="eastAsia" w:cs="宋体"/>
        </w:rPr>
        <w:t>项目报名表（见附件</w:t>
      </w:r>
      <w:r>
        <w:rPr>
          <w:rFonts w:cs="宋体"/>
        </w:rPr>
        <w:t>9</w:t>
      </w:r>
      <w:r>
        <w:rPr>
          <w:rFonts w:hint="eastAsia" w:cs="宋体"/>
        </w:rPr>
        <w:t>）。</w:t>
      </w:r>
    </w:p>
    <w:p>
      <w:pPr>
        <w:pStyle w:val="23"/>
        <w:widowControl/>
        <w:numPr>
          <w:ilvl w:val="0"/>
          <w:numId w:val="12"/>
        </w:numPr>
        <w:tabs>
          <w:tab w:val="left" w:pos="420"/>
          <w:tab w:val="clear" w:pos="0"/>
        </w:tabs>
        <w:adjustRightInd w:val="0"/>
        <w:snapToGrid w:val="0"/>
        <w:spacing w:line="300" w:lineRule="auto"/>
        <w:ind w:left="1110" w:leftChars="300" w:hanging="480" w:hangingChars="200"/>
        <w:rPr>
          <w:rFonts w:cs="宋体"/>
        </w:rPr>
      </w:pPr>
      <w:r>
        <w:rPr>
          <w:rFonts w:hint="eastAsia"/>
        </w:rPr>
        <w:t>综合说明</w:t>
      </w:r>
    </w:p>
    <w:p>
      <w:pPr>
        <w:pStyle w:val="19"/>
        <w:widowControl/>
        <w:ind w:firstLine="480"/>
      </w:pPr>
      <w:r>
        <w:t>3</w:t>
      </w:r>
      <w:r>
        <w:rPr>
          <w:rFonts w:hint="eastAsia"/>
        </w:rPr>
        <w:t>．商务标（独立封装在一个档案袋，一式</w:t>
      </w:r>
      <w:r>
        <w:rPr>
          <w:rFonts w:hint="eastAsia"/>
          <w:lang w:val="en-US" w:eastAsia="zh-CN"/>
        </w:rPr>
        <w:t>五</w:t>
      </w:r>
      <w:r>
        <w:rPr>
          <w:rFonts w:hint="eastAsia"/>
        </w:rPr>
        <w:t>份，其中正本一份，副本</w:t>
      </w:r>
      <w:r>
        <w:rPr>
          <w:rFonts w:hint="eastAsia"/>
          <w:lang w:val="en-US" w:eastAsia="zh-CN"/>
        </w:rPr>
        <w:t>四</w:t>
      </w:r>
      <w:r>
        <w:rPr>
          <w:rFonts w:hint="eastAsia"/>
        </w:rPr>
        <w:t>份，并附存有电子版招标文件的</w:t>
      </w:r>
      <w:r>
        <w:t>U</w:t>
      </w:r>
      <w:r>
        <w:rPr>
          <w:rFonts w:hint="eastAsia"/>
        </w:rPr>
        <w:t>盘，电子版要求详见第二章投标文件格式）：</w:t>
      </w:r>
    </w:p>
    <w:p>
      <w:pPr>
        <w:pStyle w:val="23"/>
        <w:widowControl/>
        <w:numPr>
          <w:ilvl w:val="0"/>
          <w:numId w:val="13"/>
        </w:numPr>
        <w:tabs>
          <w:tab w:val="left" w:pos="420"/>
          <w:tab w:val="clear" w:pos="0"/>
        </w:tabs>
        <w:adjustRightInd w:val="0"/>
        <w:snapToGrid w:val="0"/>
        <w:spacing w:line="300" w:lineRule="auto"/>
        <w:ind w:left="1110" w:leftChars="300" w:hanging="480" w:hangingChars="200"/>
        <w:rPr>
          <w:rFonts w:cs="宋体"/>
        </w:rPr>
      </w:pPr>
      <w:r>
        <w:rPr>
          <w:rFonts w:hint="eastAsia" w:cs="宋体"/>
        </w:rPr>
        <w:t>投标函（见附件格式</w:t>
      </w:r>
      <w:r>
        <w:rPr>
          <w:rFonts w:cs="宋体"/>
        </w:rPr>
        <w:t>1</w:t>
      </w:r>
      <w:r>
        <w:rPr>
          <w:rFonts w:hint="eastAsia" w:cs="宋体"/>
        </w:rPr>
        <w:t>）。</w:t>
      </w:r>
    </w:p>
    <w:p>
      <w:pPr>
        <w:pStyle w:val="23"/>
        <w:widowControl/>
        <w:numPr>
          <w:ilvl w:val="0"/>
          <w:numId w:val="13"/>
        </w:numPr>
        <w:tabs>
          <w:tab w:val="left" w:pos="420"/>
          <w:tab w:val="clear" w:pos="0"/>
        </w:tabs>
        <w:adjustRightInd w:val="0"/>
        <w:snapToGrid w:val="0"/>
        <w:spacing w:line="300" w:lineRule="auto"/>
        <w:ind w:left="1110" w:leftChars="300" w:hanging="480" w:hangingChars="200"/>
        <w:rPr>
          <w:rFonts w:cs="宋体"/>
        </w:rPr>
      </w:pPr>
      <w:r>
        <w:rPr>
          <w:rFonts w:hint="eastAsia" w:cs="宋体"/>
        </w:rPr>
        <w:t>开标一览表（见附件</w:t>
      </w:r>
      <w:r>
        <w:rPr>
          <w:rFonts w:cs="宋体"/>
        </w:rPr>
        <w:t>4</w:t>
      </w:r>
      <w:r>
        <w:rPr>
          <w:rFonts w:hint="eastAsia" w:cs="宋体"/>
        </w:rPr>
        <w:t>）。</w:t>
      </w:r>
    </w:p>
    <w:p>
      <w:pPr>
        <w:pStyle w:val="23"/>
        <w:widowControl/>
        <w:numPr>
          <w:ilvl w:val="0"/>
          <w:numId w:val="0"/>
        </w:numPr>
        <w:adjustRightInd w:val="0"/>
        <w:snapToGrid w:val="0"/>
        <w:spacing w:line="300" w:lineRule="auto"/>
        <w:ind w:left="-105" w:firstLine="420" w:firstLineChars="175"/>
      </w:pPr>
      <w:r>
        <w:rPr>
          <w:rFonts w:hint="eastAsia" w:cs="宋体"/>
          <w:szCs w:val="24"/>
        </w:rPr>
        <w:t>开标一览表中所有报价均采用人民币报价，其金额应包括：1项目总价格，2人天单价，3税金（增值税票、明确税率）等一切费用。</w:t>
      </w:r>
    </w:p>
    <w:p>
      <w:pPr>
        <w:pStyle w:val="23"/>
        <w:widowControl/>
        <w:numPr>
          <w:ilvl w:val="0"/>
          <w:numId w:val="13"/>
        </w:numPr>
        <w:tabs>
          <w:tab w:val="left" w:pos="420"/>
          <w:tab w:val="clear" w:pos="0"/>
        </w:tabs>
        <w:adjustRightInd w:val="0"/>
        <w:snapToGrid w:val="0"/>
        <w:spacing w:line="300" w:lineRule="auto"/>
        <w:ind w:left="1110" w:leftChars="300" w:hanging="480" w:hangingChars="200"/>
        <w:rPr>
          <w:rFonts w:cs="宋体"/>
        </w:rPr>
      </w:pPr>
      <w:r>
        <w:rPr>
          <w:rFonts w:hint="eastAsia" w:cs="宋体"/>
        </w:rPr>
        <w:t>投标价格分解表。针对招标文件的要求，提供产品的详细信息，对于软件应包括模块功能介绍及报价（见附件</w:t>
      </w:r>
      <w:r>
        <w:rPr>
          <w:rFonts w:cs="宋体"/>
        </w:rPr>
        <w:t>5</w:t>
      </w:r>
      <w:r>
        <w:rPr>
          <w:rFonts w:hint="eastAsia" w:cs="宋体"/>
        </w:rPr>
        <w:t>）。</w:t>
      </w:r>
    </w:p>
    <w:p>
      <w:pPr>
        <w:pStyle w:val="23"/>
        <w:widowControl/>
        <w:numPr>
          <w:ilvl w:val="0"/>
          <w:numId w:val="13"/>
        </w:numPr>
        <w:tabs>
          <w:tab w:val="left" w:pos="420"/>
          <w:tab w:val="clear" w:pos="0"/>
        </w:tabs>
        <w:adjustRightInd w:val="0"/>
        <w:snapToGrid w:val="0"/>
        <w:spacing w:line="300" w:lineRule="auto"/>
        <w:ind w:left="1110" w:leftChars="300" w:hanging="480" w:hangingChars="200"/>
        <w:rPr>
          <w:rFonts w:cs="宋体"/>
        </w:rPr>
      </w:pPr>
      <w:r>
        <w:rPr>
          <w:rFonts w:hint="eastAsia" w:cs="宋体"/>
        </w:rPr>
        <w:t>商务条款偏离表（见附件</w:t>
      </w:r>
      <w:r>
        <w:rPr>
          <w:rFonts w:cs="宋体"/>
        </w:rPr>
        <w:t>6</w:t>
      </w:r>
      <w:r>
        <w:rPr>
          <w:rFonts w:hint="eastAsia" w:cs="宋体"/>
        </w:rPr>
        <w:t>）、技术规则、参数偏离表（见附件</w:t>
      </w:r>
      <w:r>
        <w:rPr>
          <w:rFonts w:cs="宋体"/>
        </w:rPr>
        <w:t>7</w:t>
      </w:r>
      <w:r>
        <w:rPr>
          <w:rFonts w:hint="eastAsia" w:cs="宋体"/>
        </w:rPr>
        <w:t>）。</w:t>
      </w:r>
    </w:p>
    <w:p>
      <w:pPr>
        <w:pStyle w:val="23"/>
        <w:widowControl/>
        <w:numPr>
          <w:ilvl w:val="0"/>
          <w:numId w:val="13"/>
        </w:numPr>
        <w:tabs>
          <w:tab w:val="left" w:pos="420"/>
          <w:tab w:val="clear" w:pos="0"/>
        </w:tabs>
        <w:adjustRightInd w:val="0"/>
        <w:snapToGrid w:val="0"/>
        <w:spacing w:line="300" w:lineRule="auto"/>
        <w:ind w:left="1110" w:leftChars="300" w:hanging="480" w:hangingChars="200"/>
        <w:rPr>
          <w:rFonts w:cs="宋体"/>
        </w:rPr>
      </w:pPr>
      <w:r>
        <w:rPr>
          <w:rFonts w:hint="eastAsia" w:cs="宋体"/>
        </w:rPr>
        <w:t>服务承诺及优惠条件。</w:t>
      </w:r>
    </w:p>
    <w:p>
      <w:pPr>
        <w:pStyle w:val="23"/>
        <w:widowControl/>
        <w:numPr>
          <w:ilvl w:val="0"/>
          <w:numId w:val="13"/>
        </w:numPr>
        <w:tabs>
          <w:tab w:val="left" w:pos="420"/>
          <w:tab w:val="clear" w:pos="0"/>
        </w:tabs>
        <w:adjustRightInd w:val="0"/>
        <w:snapToGrid w:val="0"/>
        <w:spacing w:line="300" w:lineRule="auto"/>
        <w:ind w:left="1110" w:leftChars="300" w:hanging="480" w:hangingChars="200"/>
        <w:rPr>
          <w:rFonts w:cs="宋体"/>
        </w:rPr>
      </w:pPr>
      <w:r>
        <w:rPr>
          <w:rFonts w:hint="eastAsia" w:cs="宋体"/>
        </w:rPr>
        <w:t>其它需要说明的事项。</w:t>
      </w:r>
    </w:p>
    <w:p>
      <w:pPr>
        <w:pStyle w:val="22"/>
        <w:keepNext w:val="0"/>
        <w:widowControl/>
        <w:numPr>
          <w:ilvl w:val="1"/>
          <w:numId w:val="0"/>
        </w:numPr>
        <w:ind w:firstLine="562" w:firstLineChars="200"/>
      </w:pPr>
      <w:bookmarkStart w:id="46" w:name="_Toc8696"/>
      <w:r>
        <w:rPr>
          <w:rFonts w:hint="eastAsia" w:cs="宋体"/>
        </w:rPr>
        <w:t>6.3有效期</w:t>
      </w:r>
      <w:bookmarkEnd w:id="46"/>
    </w:p>
    <w:p>
      <w:pPr>
        <w:pStyle w:val="23"/>
        <w:widowControl/>
        <w:numPr>
          <w:ilvl w:val="0"/>
          <w:numId w:val="14"/>
        </w:numPr>
      </w:pPr>
      <w:r>
        <w:rPr>
          <w:rFonts w:hint="eastAsia" w:cs="宋体"/>
        </w:rPr>
        <w:t>自开标日起</w:t>
      </w:r>
      <w:r>
        <w:t>30</w:t>
      </w:r>
      <w:r>
        <w:rPr>
          <w:rFonts w:hint="eastAsia" w:cs="宋体"/>
        </w:rPr>
        <w:t>天内，投标书应保持有效。有效期短于这个规定期限的投标将被拒绝。</w:t>
      </w:r>
    </w:p>
    <w:p>
      <w:pPr>
        <w:pStyle w:val="23"/>
        <w:widowControl/>
        <w:numPr>
          <w:ilvl w:val="0"/>
          <w:numId w:val="14"/>
        </w:numPr>
      </w:pPr>
      <w:r>
        <w:rPr>
          <w:rFonts w:hint="eastAsia" w:cs="宋体"/>
        </w:rPr>
        <w:t>在特殊情况下，招标人可与投标人协商延长投标书的有效期。这种要求和答复都应以书面、传真的形式进行。</w:t>
      </w:r>
    </w:p>
    <w:p>
      <w:pPr>
        <w:pStyle w:val="22"/>
        <w:keepNext w:val="0"/>
        <w:widowControl/>
        <w:numPr>
          <w:ilvl w:val="1"/>
          <w:numId w:val="0"/>
        </w:numPr>
        <w:ind w:firstLine="562" w:firstLineChars="200"/>
      </w:pPr>
      <w:bookmarkStart w:id="47" w:name="_Toc4396"/>
      <w:r>
        <w:rPr>
          <w:rFonts w:hint="eastAsia" w:cs="宋体"/>
        </w:rPr>
        <w:t>6.4投标文件格式</w:t>
      </w:r>
      <w:bookmarkEnd w:id="47"/>
    </w:p>
    <w:p>
      <w:pPr>
        <w:pStyle w:val="23"/>
        <w:widowControl/>
        <w:numPr>
          <w:ilvl w:val="0"/>
          <w:numId w:val="15"/>
        </w:numPr>
      </w:pPr>
      <w:r>
        <w:rPr>
          <w:rFonts w:hint="eastAsia" w:ascii="宋体" w:cs="宋体"/>
        </w:rPr>
        <w:t>投标文件语言应采用中文。</w:t>
      </w:r>
    </w:p>
    <w:p>
      <w:pPr>
        <w:pStyle w:val="23"/>
        <w:widowControl/>
        <w:numPr>
          <w:ilvl w:val="0"/>
          <w:numId w:val="15"/>
        </w:numPr>
      </w:pPr>
      <w:r>
        <w:rPr>
          <w:rFonts w:hint="eastAsia" w:cs="宋体"/>
        </w:rPr>
        <w:t>投标文件字体书写必须工整清楚，易于辨认，文义明白准确。投标文件不得涂改和增删。如因字迹潦草或表达不清所引起的后果由投标人负责。</w:t>
      </w:r>
    </w:p>
    <w:p>
      <w:pPr>
        <w:pStyle w:val="23"/>
        <w:widowControl/>
        <w:numPr>
          <w:ilvl w:val="0"/>
          <w:numId w:val="15"/>
        </w:numPr>
      </w:pPr>
      <w:r>
        <w:rPr>
          <w:rFonts w:hint="eastAsia" w:cs="宋体"/>
        </w:rPr>
        <w:t>投标文件必须用不褪色的墨水填写或打印。</w:t>
      </w:r>
    </w:p>
    <w:p>
      <w:pPr>
        <w:pStyle w:val="23"/>
        <w:widowControl/>
        <w:numPr>
          <w:ilvl w:val="0"/>
          <w:numId w:val="15"/>
        </w:numPr>
      </w:pPr>
      <w:r>
        <w:rPr>
          <w:rFonts w:hint="eastAsia" w:cs="宋体"/>
        </w:rPr>
        <w:t>投标文件必须由法人代表或授权代表签署，投标人应填写全称，并加盖公章（含骑缝章）。</w:t>
      </w:r>
    </w:p>
    <w:p>
      <w:pPr>
        <w:pStyle w:val="23"/>
        <w:widowControl/>
        <w:numPr>
          <w:ilvl w:val="0"/>
          <w:numId w:val="15"/>
        </w:numPr>
        <w:rPr>
          <w:rFonts w:ascii="宋体" w:cs="宋体"/>
        </w:rPr>
      </w:pPr>
      <w:r>
        <w:rPr>
          <w:rFonts w:hint="eastAsia" w:ascii="宋体" w:cs="宋体"/>
        </w:rPr>
        <w:t>不按上述规定编写的投标文件将视为主动放弃，不予评标。</w:t>
      </w:r>
    </w:p>
    <w:p>
      <w:pPr>
        <w:pStyle w:val="22"/>
        <w:keepNext w:val="0"/>
        <w:widowControl/>
        <w:numPr>
          <w:ilvl w:val="1"/>
          <w:numId w:val="0"/>
        </w:numPr>
        <w:ind w:firstLine="562" w:firstLineChars="200"/>
      </w:pPr>
      <w:bookmarkStart w:id="48" w:name="_Toc264881859"/>
      <w:bookmarkStart w:id="49" w:name="_Toc265850579"/>
      <w:bookmarkStart w:id="50" w:name="_Toc6599"/>
      <w:bookmarkStart w:id="51" w:name="_Toc234922354"/>
      <w:r>
        <w:rPr>
          <w:rFonts w:hint="eastAsia" w:cs="宋体"/>
        </w:rPr>
        <w:t>6.5投标文件的装袋、密封和递交</w:t>
      </w:r>
      <w:bookmarkEnd w:id="48"/>
      <w:bookmarkEnd w:id="49"/>
      <w:bookmarkEnd w:id="50"/>
      <w:bookmarkEnd w:id="51"/>
    </w:p>
    <w:p>
      <w:pPr>
        <w:pStyle w:val="23"/>
        <w:widowControl/>
        <w:numPr>
          <w:ilvl w:val="0"/>
          <w:numId w:val="16"/>
        </w:numPr>
      </w:pPr>
      <w:r>
        <w:rPr>
          <w:rFonts w:hint="eastAsia" w:cs="宋体"/>
        </w:rPr>
        <w:t>投标文件在封页正面右上角标明“正本”、“副本”字样，保证正本与副本的内容一致。如果正本与副本内容不一致以正本为准。提交电子版标书一份。</w:t>
      </w:r>
    </w:p>
    <w:p>
      <w:pPr>
        <w:pStyle w:val="23"/>
        <w:widowControl/>
        <w:numPr>
          <w:ilvl w:val="0"/>
          <w:numId w:val="16"/>
        </w:numPr>
      </w:pPr>
      <w:r>
        <w:rPr>
          <w:rFonts w:hint="eastAsia" w:cs="宋体"/>
        </w:rPr>
        <w:t>正面封皮应标明投标人单位名称、地址，并在单位名称处加盖公章。</w:t>
      </w:r>
    </w:p>
    <w:p>
      <w:pPr>
        <w:pStyle w:val="23"/>
        <w:widowControl/>
        <w:numPr>
          <w:ilvl w:val="0"/>
          <w:numId w:val="16"/>
        </w:numPr>
      </w:pPr>
      <w:r>
        <w:rPr>
          <w:rFonts w:hint="eastAsia" w:cs="宋体"/>
        </w:rPr>
        <w:t>投标书正本内封和投标书副本内封封口处</w:t>
      </w:r>
      <w:r>
        <w:rPr>
          <w:rFonts w:hint="eastAsia" w:ascii="宋体" w:hAnsi="宋体" w:cs="宋体"/>
        </w:rPr>
        <w:t>应有投标全权代表的签字或</w:t>
      </w:r>
      <w:r>
        <w:rPr>
          <w:rFonts w:hint="eastAsia" w:cs="宋体"/>
        </w:rPr>
        <w:t>投标单位公章，</w:t>
      </w:r>
      <w:r>
        <w:rPr>
          <w:rFonts w:hint="eastAsia" w:ascii="宋体" w:hAnsi="宋体" w:cs="宋体"/>
        </w:rPr>
        <w:t>并注明“开标时启封”字样。</w:t>
      </w:r>
    </w:p>
    <w:p>
      <w:pPr>
        <w:pStyle w:val="23"/>
        <w:widowControl/>
        <w:numPr>
          <w:ilvl w:val="0"/>
          <w:numId w:val="16"/>
        </w:numPr>
      </w:pPr>
      <w:r>
        <w:rPr>
          <w:rFonts w:hint="eastAsia" w:cs="宋体"/>
        </w:rPr>
        <w:t>开标一览表内封封口处应加盖投标单位公章。</w:t>
      </w:r>
    </w:p>
    <w:p>
      <w:pPr>
        <w:pStyle w:val="23"/>
        <w:widowControl/>
        <w:numPr>
          <w:ilvl w:val="0"/>
          <w:numId w:val="16"/>
        </w:numPr>
      </w:pPr>
      <w:r>
        <w:rPr>
          <w:rFonts w:hint="eastAsia" w:cs="宋体"/>
        </w:rPr>
        <w:t>投标文件由投标人在开标日自行带到开标现场，在开标时当场交与招标负责人。</w:t>
      </w:r>
    </w:p>
    <w:p>
      <w:pPr>
        <w:pStyle w:val="22"/>
        <w:keepNext w:val="0"/>
        <w:widowControl/>
        <w:numPr>
          <w:ilvl w:val="1"/>
          <w:numId w:val="0"/>
        </w:numPr>
        <w:ind w:firstLine="562" w:firstLineChars="200"/>
      </w:pPr>
      <w:bookmarkStart w:id="52" w:name="_Toc6523"/>
      <w:r>
        <w:rPr>
          <w:rFonts w:hint="eastAsia" w:cs="宋体"/>
        </w:rPr>
        <w:t>6.6投标文件的澄清</w:t>
      </w:r>
      <w:bookmarkEnd w:id="52"/>
    </w:p>
    <w:p>
      <w:pPr>
        <w:pStyle w:val="19"/>
        <w:widowControl/>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对招标文件如有疑点要求澄清，或认为有必要与招标人进行技术交流时，可用书面、传真形式通知招标人，招标人将视情况以书面形式予以答复，如有必要时可将答复内容包括原提出的问题（但不标明问题查询的来源），分发给所有取得同一招标文件的投标人。</w:t>
      </w:r>
    </w:p>
    <w:p>
      <w:pPr>
        <w:pStyle w:val="20"/>
        <w:keepNext w:val="0"/>
        <w:widowControl/>
        <w:numPr>
          <w:ilvl w:val="0"/>
          <w:numId w:val="0"/>
        </w:numPr>
        <w:rPr>
          <w:rFonts w:cs="宋体"/>
        </w:rPr>
      </w:pPr>
      <w:bookmarkStart w:id="53" w:name="_Toc14661"/>
      <w:r>
        <w:rPr>
          <w:rFonts w:hint="eastAsia" w:cs="宋体"/>
        </w:rPr>
        <w:t>7开标</w:t>
      </w:r>
      <w:bookmarkEnd w:id="53"/>
    </w:p>
    <w:p>
      <w:pPr>
        <w:pStyle w:val="23"/>
        <w:widowControl/>
        <w:numPr>
          <w:ilvl w:val="0"/>
          <w:numId w:val="17"/>
        </w:numPr>
      </w:pPr>
      <w:r>
        <w:rPr>
          <w:rFonts w:hint="eastAsia" w:cs="宋体"/>
        </w:rPr>
        <w:t>招标人按招标文件规定的时间、地点主持公开开标。开标仪式由招标人主持。</w:t>
      </w:r>
    </w:p>
    <w:p>
      <w:pPr>
        <w:pStyle w:val="23"/>
        <w:widowControl/>
        <w:numPr>
          <w:ilvl w:val="0"/>
          <w:numId w:val="17"/>
        </w:numPr>
      </w:pPr>
      <w:r>
        <w:rPr>
          <w:rFonts w:hint="eastAsia" w:cs="宋体"/>
        </w:rPr>
        <w:t>投标人派代表参加开标仪式。若需讲标，须由拟担任招标项目建设的项目经理及项目组成员负责讲标。</w:t>
      </w:r>
    </w:p>
    <w:p>
      <w:pPr>
        <w:pStyle w:val="23"/>
        <w:widowControl/>
        <w:numPr>
          <w:ilvl w:val="0"/>
          <w:numId w:val="17"/>
        </w:numPr>
      </w:pPr>
      <w:r>
        <w:rPr>
          <w:rFonts w:hint="eastAsia" w:cs="宋体"/>
        </w:rPr>
        <w:t>开标时查验投标文件密封情况，确认无误后拆封唱标。</w:t>
      </w:r>
    </w:p>
    <w:p>
      <w:pPr>
        <w:pStyle w:val="23"/>
        <w:widowControl/>
        <w:numPr>
          <w:ilvl w:val="0"/>
          <w:numId w:val="0"/>
        </w:numPr>
        <w:rPr>
          <w:rFonts w:cs="宋体"/>
        </w:rPr>
      </w:pPr>
      <w:r>
        <w:rPr>
          <w:rFonts w:hint="eastAsia" w:cs="宋体"/>
        </w:rPr>
        <w:t>招标人在开标仪式上，将公布投标人的名称、投标产品或服务、投标项目、投标价格及其投标的修改、投标的撤回及其有关声明等，招标人将做唱标记录。</w:t>
      </w:r>
    </w:p>
    <w:p>
      <w:pPr>
        <w:pStyle w:val="23"/>
        <w:widowControl/>
        <w:numPr>
          <w:ilvl w:val="0"/>
          <w:numId w:val="0"/>
        </w:numPr>
        <w:rPr>
          <w:rFonts w:cs="宋体"/>
        </w:rPr>
      </w:pPr>
    </w:p>
    <w:p>
      <w:pPr>
        <w:pStyle w:val="23"/>
        <w:widowControl/>
        <w:numPr>
          <w:ilvl w:val="0"/>
          <w:numId w:val="0"/>
        </w:numPr>
        <w:rPr>
          <w:rFonts w:cs="宋体"/>
        </w:rPr>
      </w:pPr>
    </w:p>
    <w:p>
      <w:pPr>
        <w:pStyle w:val="23"/>
        <w:widowControl/>
        <w:numPr>
          <w:ilvl w:val="0"/>
          <w:numId w:val="0"/>
        </w:numPr>
        <w:rPr>
          <w:rFonts w:cs="宋体"/>
        </w:rPr>
      </w:pPr>
    </w:p>
    <w:p>
      <w:pPr>
        <w:pStyle w:val="23"/>
        <w:widowControl/>
        <w:numPr>
          <w:ilvl w:val="0"/>
          <w:numId w:val="0"/>
        </w:numPr>
        <w:rPr>
          <w:rFonts w:cs="宋体"/>
        </w:rPr>
      </w:pPr>
    </w:p>
    <w:p>
      <w:pPr>
        <w:pStyle w:val="23"/>
        <w:widowControl/>
        <w:numPr>
          <w:ilvl w:val="0"/>
          <w:numId w:val="0"/>
        </w:numPr>
        <w:rPr>
          <w:rFonts w:cs="宋体"/>
        </w:rPr>
      </w:pPr>
    </w:p>
    <w:p>
      <w:pPr>
        <w:pStyle w:val="23"/>
        <w:widowControl/>
        <w:numPr>
          <w:ilvl w:val="0"/>
          <w:numId w:val="0"/>
        </w:numPr>
        <w:rPr>
          <w:rFonts w:cs="宋体"/>
        </w:rPr>
      </w:pPr>
    </w:p>
    <w:p>
      <w:pPr>
        <w:pStyle w:val="20"/>
        <w:keepNext w:val="0"/>
        <w:widowControl/>
        <w:numPr>
          <w:ilvl w:val="0"/>
          <w:numId w:val="0"/>
        </w:numPr>
        <w:rPr>
          <w:rFonts w:cs="宋体"/>
        </w:rPr>
      </w:pPr>
      <w:bookmarkStart w:id="54" w:name="_Toc31467"/>
      <w:bookmarkStart w:id="55" w:name="_Toc290401052"/>
      <w:bookmarkStart w:id="56" w:name="_Toc533251933"/>
      <w:r>
        <w:rPr>
          <w:rFonts w:hint="eastAsia" w:cs="宋体"/>
        </w:rPr>
        <w:t>8讲标及评标</w:t>
      </w:r>
      <w:bookmarkEnd w:id="54"/>
    </w:p>
    <w:p>
      <w:pPr>
        <w:tabs>
          <w:tab w:val="left" w:pos="0"/>
        </w:tabs>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为保证项目顺利实施，由招标人组织、按国家法律法规及公司相关规章制度要求，设立评标工作小组，投标人在讲标时，须由拟担任招标项目建设的项目经理及项目组成员讲标，</w:t>
      </w:r>
      <w:r>
        <w:rPr>
          <w:rFonts w:hint="eastAsia" w:ascii="宋体" w:hAnsi="宋体" w:eastAsia="宋体" w:cs="宋体"/>
          <w:b/>
          <w:kern w:val="0"/>
          <w:sz w:val="24"/>
          <w:lang w:bidi="ar"/>
        </w:rPr>
        <w:t>其中讲标答疑时间2</w:t>
      </w:r>
      <w:r>
        <w:rPr>
          <w:rFonts w:ascii="宋体" w:hAnsi="宋体" w:eastAsia="宋体" w:cs="宋体"/>
          <w:b/>
          <w:kern w:val="0"/>
          <w:sz w:val="24"/>
          <w:lang w:bidi="ar"/>
        </w:rPr>
        <w:t>0</w:t>
      </w:r>
      <w:r>
        <w:rPr>
          <w:rFonts w:hint="eastAsia" w:ascii="宋体" w:hAnsi="宋体" w:eastAsia="宋体" w:cs="宋体"/>
          <w:b/>
          <w:kern w:val="0"/>
          <w:sz w:val="24"/>
          <w:lang w:bidi="ar"/>
        </w:rPr>
        <w:t>分钟。</w:t>
      </w:r>
      <w:r>
        <w:rPr>
          <w:rFonts w:hint="eastAsia" w:ascii="宋体" w:hAnsi="宋体" w:eastAsia="宋体" w:cs="宋体"/>
          <w:kern w:val="0"/>
          <w:sz w:val="24"/>
          <w:lang w:bidi="ar"/>
        </w:rPr>
        <w:t>采用综合评定法，本着公平、公正、公开的原则，在最大限度地满足招标文件实质性要求的前提下，对招标文件中规定的各项因素进行综合评审，确定中标候选供应商或者中标供应商</w:t>
      </w:r>
      <w:r>
        <w:rPr>
          <w:rFonts w:hint="eastAsia" w:ascii="宋体" w:hAnsi="宋体" w:eastAsia="宋体" w:cs="宋体"/>
          <w:b/>
          <w:kern w:val="0"/>
          <w:sz w:val="24"/>
          <w:lang w:bidi="ar"/>
        </w:rPr>
        <w:t>（不保证最低价格中标）</w:t>
      </w:r>
      <w:r>
        <w:rPr>
          <w:rFonts w:hint="eastAsia" w:ascii="宋体" w:hAnsi="宋体" w:eastAsia="宋体" w:cs="宋体"/>
          <w:kern w:val="0"/>
          <w:sz w:val="24"/>
          <w:lang w:bidi="ar"/>
        </w:rPr>
        <w:t>。</w:t>
      </w:r>
      <w:bookmarkStart w:id="57" w:name="OLE_LINK4"/>
    </w:p>
    <w:p>
      <w:pPr>
        <w:spacing w:line="360" w:lineRule="auto"/>
        <w:ind w:firstLine="480" w:firstLineChars="200"/>
        <w:rPr>
          <w:rFonts w:cs="宋体"/>
          <w:kern w:val="0"/>
          <w:sz w:val="24"/>
        </w:rPr>
      </w:pPr>
      <w:r>
        <w:rPr>
          <w:rFonts w:cs="宋体"/>
          <w:kern w:val="0"/>
          <w:sz w:val="24"/>
        </w:rPr>
        <w:t>1</w:t>
      </w:r>
      <w:r>
        <w:rPr>
          <w:rFonts w:hint="eastAsia" w:ascii="Calibri" w:hAnsi="Calibri" w:eastAsia="宋体" w:cs="宋体"/>
          <w:kern w:val="0"/>
          <w:sz w:val="24"/>
        </w:rPr>
        <w:t>本次招标的开标、评标由招标人依法组织实施，本次招标采用技术标和商务标分级开标的模式。</w:t>
      </w:r>
    </w:p>
    <w:p>
      <w:pPr>
        <w:spacing w:line="360" w:lineRule="auto"/>
        <w:ind w:firstLine="480" w:firstLineChars="200"/>
        <w:rPr>
          <w:rFonts w:cs="宋体"/>
          <w:kern w:val="0"/>
          <w:sz w:val="24"/>
        </w:rPr>
      </w:pPr>
      <w:r>
        <w:rPr>
          <w:rFonts w:cs="宋体"/>
          <w:kern w:val="0"/>
          <w:sz w:val="24"/>
        </w:rPr>
        <w:t>2</w:t>
      </w:r>
      <w:r>
        <w:rPr>
          <w:rFonts w:hint="eastAsia" w:ascii="Calibri" w:hAnsi="Calibri" w:eastAsia="宋体" w:cs="宋体"/>
          <w:kern w:val="0"/>
          <w:sz w:val="24"/>
        </w:rPr>
        <w:t>本项目开标时间和地点见投标人须知前附表。开标会议由招标人组织并主持。招标人邀请各投标人派员参加开标会议。投标人未参加开标的，视同认可开标结果。</w:t>
      </w:r>
    </w:p>
    <w:p>
      <w:pPr>
        <w:spacing w:line="360" w:lineRule="auto"/>
        <w:ind w:firstLine="480" w:firstLineChars="200"/>
        <w:rPr>
          <w:rFonts w:cs="宋体"/>
          <w:kern w:val="0"/>
          <w:sz w:val="24"/>
        </w:rPr>
      </w:pPr>
      <w:r>
        <w:rPr>
          <w:rFonts w:cs="宋体"/>
          <w:kern w:val="0"/>
          <w:sz w:val="24"/>
        </w:rPr>
        <w:t>3</w:t>
      </w:r>
      <w:r>
        <w:rPr>
          <w:rFonts w:hint="eastAsia" w:ascii="Calibri" w:hAnsi="Calibri" w:eastAsia="宋体" w:cs="宋体"/>
          <w:kern w:val="0"/>
          <w:sz w:val="24"/>
        </w:rPr>
        <w:t>开标程序</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1</w:t>
      </w:r>
      <w:r>
        <w:rPr>
          <w:rFonts w:hint="eastAsia" w:ascii="Calibri" w:hAnsi="Calibri" w:eastAsia="宋体" w:cs="宋体"/>
          <w:kern w:val="0"/>
          <w:sz w:val="24"/>
        </w:rPr>
        <w:t>）宣布开标会议开始。</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2</w:t>
      </w:r>
      <w:r>
        <w:rPr>
          <w:rFonts w:hint="eastAsia" w:ascii="Calibri" w:hAnsi="Calibri" w:eastAsia="宋体" w:cs="宋体"/>
          <w:kern w:val="0"/>
          <w:sz w:val="24"/>
        </w:rPr>
        <w:t>）介绍与会人员。</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3</w:t>
      </w:r>
      <w:r>
        <w:rPr>
          <w:rFonts w:hint="eastAsia" w:ascii="Calibri" w:hAnsi="Calibri" w:eastAsia="宋体" w:cs="宋体"/>
          <w:kern w:val="0"/>
          <w:sz w:val="24"/>
        </w:rPr>
        <w:t>）核验投标人资格证件。</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4</w:t>
      </w:r>
      <w:r>
        <w:rPr>
          <w:rFonts w:hint="eastAsia" w:ascii="Calibri" w:hAnsi="Calibri" w:eastAsia="宋体" w:cs="宋体"/>
          <w:kern w:val="0"/>
          <w:sz w:val="24"/>
        </w:rPr>
        <w:t>）投标人或投标人推选的代表对投标文件密封情况进行检查（投标人未参加开标会议的，视同认可投标文件密封完好）。</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5</w:t>
      </w:r>
      <w:r>
        <w:rPr>
          <w:rFonts w:hint="eastAsia" w:ascii="Calibri" w:hAnsi="Calibri" w:eastAsia="宋体" w:cs="宋体"/>
          <w:kern w:val="0"/>
          <w:sz w:val="24"/>
        </w:rPr>
        <w:t>）经确认无误后，由工作人员当众拆封，先拆启技术标书，开标一览表及商务标书暂时不拆启，由招标人指定专人保管。由评标专家组对所有投标方的技术方案进行综合评定和打分，确定进入商务标评阶段的投标方。</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6</w:t>
      </w:r>
      <w:r>
        <w:rPr>
          <w:rFonts w:hint="eastAsia" w:ascii="Calibri" w:hAnsi="Calibri" w:eastAsia="宋体" w:cs="宋体"/>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7</w:t>
      </w:r>
      <w:r>
        <w:rPr>
          <w:rFonts w:hint="eastAsia" w:ascii="Calibri" w:hAnsi="Calibri" w:eastAsia="宋体" w:cs="宋体"/>
          <w:kern w:val="0"/>
          <w:sz w:val="24"/>
        </w:rPr>
        <w:t>）根据技术标及商务标综合得分，形成专家意见汇总，推荐性价比最优的投标方。</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8</w:t>
      </w:r>
      <w:r>
        <w:rPr>
          <w:rFonts w:hint="eastAsia" w:ascii="Calibri" w:hAnsi="Calibri" w:eastAsia="宋体" w:cs="宋体"/>
          <w:kern w:val="0"/>
          <w:sz w:val="24"/>
        </w:rPr>
        <w:t>）招标人有权根据项目情况，采取多级评标模式，最终确定投标人排序。</w:t>
      </w:r>
    </w:p>
    <w:p>
      <w:pPr>
        <w:spacing w:line="360" w:lineRule="auto"/>
        <w:ind w:firstLine="480" w:firstLineChars="200"/>
        <w:rPr>
          <w:rFonts w:ascii="宋体" w:hAnsi="宋体" w:eastAsia="宋体" w:cs="宋体"/>
          <w:kern w:val="0"/>
          <w:sz w:val="24"/>
          <w:lang w:bidi="ar"/>
        </w:rPr>
      </w:pPr>
      <w:r>
        <w:rPr>
          <w:rFonts w:hint="eastAsia" w:ascii="Calibri" w:hAnsi="Calibri" w:eastAsia="宋体" w:cs="宋体"/>
          <w:kern w:val="0"/>
          <w:sz w:val="24"/>
        </w:rPr>
        <w:t>（</w:t>
      </w:r>
      <w:r>
        <w:rPr>
          <w:rFonts w:cs="宋体"/>
          <w:kern w:val="0"/>
          <w:sz w:val="24"/>
        </w:rPr>
        <w:t>9</w:t>
      </w:r>
      <w:r>
        <w:rPr>
          <w:rFonts w:hint="eastAsia" w:ascii="Calibri" w:hAnsi="Calibri" w:eastAsia="宋体" w:cs="宋体"/>
          <w:kern w:val="0"/>
          <w:sz w:val="24"/>
        </w:rPr>
        <w:t>）投标前请各投标方按照招标文件要求对项目方案进行充分准备，投标单位已默认认可上述开标、评标过程，无异议。招标人无义务对未入围投标方及未中标方做任何解释。</w:t>
      </w:r>
    </w:p>
    <w:p>
      <w:pPr>
        <w:tabs>
          <w:tab w:val="left" w:pos="0"/>
        </w:tabs>
        <w:spacing w:line="360" w:lineRule="auto"/>
        <w:ind w:firstLine="482" w:firstLineChars="200"/>
        <w:jc w:val="center"/>
        <w:rPr>
          <w:rFonts w:ascii="Calibri" w:hAnsi="宋体" w:eastAsia="宋体" w:cs="宋体"/>
          <w:b/>
          <w:bCs/>
          <w:kern w:val="0"/>
          <w:sz w:val="24"/>
          <w:lang w:bidi="ar"/>
        </w:rPr>
      </w:pPr>
      <w:r>
        <w:rPr>
          <w:rFonts w:hint="eastAsia" w:ascii="Calibri" w:hAnsi="宋体" w:eastAsia="宋体" w:cs="宋体"/>
          <w:b/>
          <w:bCs/>
          <w:kern w:val="0"/>
          <w:sz w:val="24"/>
          <w:lang w:bidi="ar"/>
        </w:rPr>
        <w:t>评分标准如下（第一包）：</w:t>
      </w:r>
      <w:bookmarkEnd w:id="55"/>
      <w:bookmarkEnd w:id="56"/>
      <w:bookmarkEnd w:id="57"/>
    </w:p>
    <w:p>
      <w:pPr>
        <w:tabs>
          <w:tab w:val="left" w:pos="0"/>
        </w:tabs>
        <w:spacing w:line="360" w:lineRule="auto"/>
        <w:ind w:firstLine="482" w:firstLineChars="200"/>
        <w:jc w:val="center"/>
        <w:rPr>
          <w:rFonts w:ascii="Calibri" w:hAnsi="宋体" w:eastAsia="宋体" w:cs="宋体"/>
          <w:b/>
          <w:bCs/>
          <w:kern w:val="0"/>
          <w:sz w:val="24"/>
          <w:lang w:bidi="ar"/>
        </w:rPr>
      </w:pPr>
    </w:p>
    <w:tbl>
      <w:tblPr>
        <w:tblStyle w:val="15"/>
        <w:tblW w:w="5268"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89"/>
        <w:gridCol w:w="748"/>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0"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评审项目</w:t>
            </w:r>
          </w:p>
        </w:tc>
        <w:tc>
          <w:tcPr>
            <w:tcW w:w="1286"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评审内容</w:t>
            </w:r>
          </w:p>
        </w:tc>
        <w:tc>
          <w:tcPr>
            <w:tcW w:w="743"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分值</w:t>
            </w:r>
          </w:p>
        </w:tc>
        <w:tc>
          <w:tcPr>
            <w:tcW w:w="6081"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0" w:type="dxa"/>
            <w:vMerge w:val="restart"/>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企业综合实力（</w:t>
            </w:r>
            <w:r>
              <w:rPr>
                <w:rFonts w:ascii="宋体" w:hAnsi="宋体" w:eastAsia="宋体" w:cs="宋体"/>
                <w:kern w:val="0"/>
                <w:szCs w:val="21"/>
                <w:lang w:bidi="ar"/>
              </w:rPr>
              <w:t>15</w:t>
            </w:r>
            <w:r>
              <w:rPr>
                <w:rFonts w:hint="eastAsia" w:ascii="宋体" w:hAnsi="宋体" w:eastAsia="宋体" w:cs="宋体"/>
                <w:kern w:val="0"/>
                <w:szCs w:val="21"/>
                <w:lang w:bidi="ar"/>
              </w:rPr>
              <w:t>分）</w:t>
            </w: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资质</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ascii="宋体" w:hAnsi="宋体" w:eastAsia="宋体" w:cs="宋体"/>
                <w:kern w:val="0"/>
                <w:szCs w:val="21"/>
                <w:lang w:bidi="ar"/>
              </w:rPr>
              <w:t>5</w:t>
            </w:r>
            <w:r>
              <w:rPr>
                <w:rFonts w:hint="eastAsia" w:ascii="宋体" w:hAnsi="宋体" w:eastAsia="宋体" w:cs="宋体"/>
                <w:kern w:val="0"/>
                <w:szCs w:val="21"/>
                <w:lang w:bidi="ar"/>
              </w:rPr>
              <w:t>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考察应答人资质。具备CMMI（能力成熟度模型集成）证书三级及以下得1分、四级得</w:t>
            </w:r>
            <w:r>
              <w:rPr>
                <w:rFonts w:ascii="宋体" w:hAnsi="宋体" w:eastAsia="宋体" w:cs="宋体"/>
                <w:kern w:val="0"/>
                <w:szCs w:val="21"/>
                <w:lang w:bidi="ar"/>
              </w:rPr>
              <w:t>3</w:t>
            </w:r>
            <w:r>
              <w:rPr>
                <w:rFonts w:hint="eastAsia" w:ascii="宋体" w:hAnsi="宋体" w:eastAsia="宋体" w:cs="宋体"/>
                <w:kern w:val="0"/>
                <w:szCs w:val="21"/>
                <w:lang w:bidi="ar"/>
              </w:rPr>
              <w:t>分、五级得</w:t>
            </w:r>
            <w:r>
              <w:rPr>
                <w:rFonts w:ascii="宋体" w:hAnsi="宋体" w:eastAsia="宋体" w:cs="宋体"/>
                <w:kern w:val="0"/>
                <w:szCs w:val="21"/>
                <w:lang w:bidi="ar"/>
              </w:rPr>
              <w:t>5</w:t>
            </w:r>
            <w:r>
              <w:rPr>
                <w:rFonts w:hint="eastAsia" w:ascii="宋体" w:hAnsi="宋体" w:eastAsia="宋体" w:cs="宋体"/>
                <w:kern w:val="0"/>
                <w:szCs w:val="21"/>
                <w:lang w:bidi="ar"/>
              </w:rPr>
              <w:t>分，提供证书扫描件。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0" w:type="dxa"/>
            <w:vMerge w:val="continue"/>
            <w:vAlign w:val="center"/>
          </w:tcPr>
          <w:p>
            <w:pPr>
              <w:tabs>
                <w:tab w:val="left" w:pos="0"/>
              </w:tabs>
              <w:spacing w:line="360" w:lineRule="auto"/>
              <w:rPr>
                <w:rFonts w:ascii="宋体" w:hAnsi="宋体" w:eastAsia="宋体" w:cs="宋体"/>
                <w:kern w:val="0"/>
                <w:szCs w:val="21"/>
                <w:lang w:bidi="ar"/>
              </w:rPr>
            </w:pP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公司技术团队实力</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10分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要求应答人具有一支稳定的、有一定规模的、具有足够技术服务能务的技术专家团队。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A、技术服务团队规模：公司本地服务团队人数在40人 及以上得5分，30人 及以上得2分，其余不得分。提供社保证明。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B、公司具有OCM证书的专业技术人员，15人及以上得5分，10人-14人得3分，6人-9人得1分，其余不得分。提供社保证明、认证证书扫描件。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社保证明指提供2021年1月份至今至少1个月的缴纳社会保险证明（如为本单位缴纳的，缴纳社保主体名称与供应商名称一致；社保证明清单中必须有明确的起始时间和截止时间信息，否则不予认可）。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300" w:type="dxa"/>
            <w:vMerge w:val="restart"/>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服务能力（</w:t>
            </w:r>
            <w:r>
              <w:rPr>
                <w:rFonts w:ascii="宋体" w:hAnsi="宋体" w:eastAsia="宋体" w:cs="宋体"/>
                <w:kern w:val="0"/>
                <w:szCs w:val="21"/>
                <w:lang w:bidi="ar"/>
              </w:rPr>
              <w:t>2</w:t>
            </w:r>
            <w:r>
              <w:rPr>
                <w:rFonts w:hint="eastAsia" w:ascii="宋体" w:hAnsi="宋体" w:eastAsia="宋体" w:cs="宋体"/>
                <w:kern w:val="0"/>
                <w:szCs w:val="21"/>
                <w:lang w:bidi="ar"/>
              </w:rPr>
              <w:t>0分）</w:t>
            </w: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团队项目负责人</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5分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考察项目负责人（1名）能力，要求经验3年及以上，需有PMP管理资质、OracleOCM资质和TOGAF架构师资质，以上三种认证均要求3年及以上，经验时间以资质证书发证时间为准。全部满足得5分，每一项不满足扣3分，扣完为止。人员可与企业综合实力中的人员复用。提供社保证明、认证证书扫描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社保证明指提供2021年1月份至今至少1个月的缴纳社会保险证明，须为本单位缴纳，缴纳社保主体名称与供应商名称一致。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00"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驻场技术人员能力</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ascii="宋体" w:hAnsi="宋体" w:eastAsia="宋体" w:cs="宋体"/>
                <w:kern w:val="0"/>
                <w:szCs w:val="21"/>
                <w:lang w:bidi="ar"/>
              </w:rPr>
              <w:t>10</w:t>
            </w:r>
            <w:r>
              <w:rPr>
                <w:rFonts w:hint="eastAsia" w:ascii="宋体" w:hAnsi="宋体" w:eastAsia="宋体" w:cs="宋体"/>
                <w:kern w:val="0"/>
                <w:szCs w:val="21"/>
                <w:lang w:bidi="ar"/>
              </w:rPr>
              <w:t>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考察应答人为本项目提供的驻场工程师数量及资格（不含项目负责人）。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A、具有5年（含）及以上资格OCM的工程师，每人</w:t>
            </w:r>
            <w:r>
              <w:rPr>
                <w:rFonts w:ascii="宋体" w:hAnsi="宋体" w:eastAsia="宋体" w:cs="宋体"/>
                <w:kern w:val="0"/>
                <w:szCs w:val="21"/>
                <w:lang w:bidi="ar"/>
              </w:rPr>
              <w:t>3</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B、具有2年（含）至5年（不含）资格OCM的工程师，每人</w:t>
            </w:r>
            <w:r>
              <w:rPr>
                <w:rFonts w:ascii="宋体" w:hAnsi="宋体" w:eastAsia="宋体" w:cs="宋体"/>
                <w:kern w:val="0"/>
                <w:szCs w:val="21"/>
                <w:lang w:bidi="ar"/>
              </w:rPr>
              <w:t>2</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C、2年（不含）以内资格OCM的工程师，每人</w:t>
            </w:r>
            <w:r>
              <w:rPr>
                <w:rFonts w:ascii="宋体" w:hAnsi="宋体" w:eastAsia="宋体" w:cs="宋体"/>
                <w:kern w:val="0"/>
                <w:szCs w:val="21"/>
                <w:lang w:bidi="ar"/>
              </w:rPr>
              <w:t>1</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提供社保证明、认证证书扫描件。人员可与企业综合实力中的人员复用。经验时间以OCM资质证书发证时间为准。社保证明同“企业综合实力”中人员的社保要求。本项最高得</w:t>
            </w:r>
            <w:r>
              <w:rPr>
                <w:rFonts w:ascii="宋体" w:hAnsi="宋体" w:eastAsia="宋体" w:cs="宋体"/>
                <w:kern w:val="0"/>
                <w:szCs w:val="21"/>
                <w:lang w:bidi="ar"/>
              </w:rPr>
              <w:t>10</w:t>
            </w:r>
            <w:r>
              <w:rPr>
                <w:rFonts w:hint="eastAsia" w:ascii="宋体" w:hAnsi="宋体" w:eastAsia="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300" w:type="dxa"/>
            <w:vMerge w:val="continue"/>
            <w:vAlign w:val="center"/>
          </w:tcPr>
          <w:p>
            <w:pPr>
              <w:tabs>
                <w:tab w:val="left" w:pos="0"/>
              </w:tabs>
              <w:spacing w:line="360" w:lineRule="auto"/>
              <w:rPr>
                <w:rFonts w:ascii="宋体" w:hAnsi="宋体" w:eastAsia="宋体" w:cs="宋体"/>
                <w:kern w:val="0"/>
                <w:szCs w:val="21"/>
                <w:lang w:bidi="ar"/>
              </w:rPr>
            </w:pP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自动化监控</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5分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在服务期间，应答人能够提供数据库自动化监控服务工具，具有告警自动化预处理及集中化图形展现的功能。提供自动化工具监控录屏，录屏须体现告警自动化预处理及集中化图形展现的功能。满足得5分，不满足及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00" w:type="dxa"/>
            <w:vMerge w:val="restart"/>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 xml:space="preserve"> 技术支持和保障方案（</w:t>
            </w:r>
            <w:r>
              <w:rPr>
                <w:rFonts w:ascii="宋体" w:hAnsi="宋体" w:eastAsia="宋体" w:cs="宋体"/>
                <w:kern w:val="0"/>
                <w:szCs w:val="21"/>
                <w:lang w:bidi="ar"/>
              </w:rPr>
              <w:t>35</w:t>
            </w:r>
            <w:r>
              <w:rPr>
                <w:rFonts w:hint="eastAsia" w:ascii="宋体" w:hAnsi="宋体" w:eastAsia="宋体" w:cs="宋体"/>
                <w:kern w:val="0"/>
                <w:szCs w:val="21"/>
                <w:lang w:bidi="ar"/>
              </w:rPr>
              <w:t>分）</w:t>
            </w: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运维服务体系方案</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ascii="宋体" w:hAnsi="宋体" w:eastAsia="宋体" w:cs="宋体"/>
                <w:kern w:val="0"/>
                <w:szCs w:val="21"/>
                <w:lang w:bidi="ar"/>
              </w:rPr>
              <w:t>10</w:t>
            </w:r>
            <w:r>
              <w:rPr>
                <w:rFonts w:hint="eastAsia" w:ascii="宋体" w:hAnsi="宋体" w:eastAsia="宋体" w:cs="宋体"/>
                <w:kern w:val="0"/>
                <w:szCs w:val="21"/>
                <w:lang w:bidi="ar"/>
              </w:rPr>
              <w:t>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应答人应具有完善的数据库运维服务体系，包括运维操作流程、操作标准、服务报告标准、应急流程、应急预案、知识库、故障升级流程等：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A、服务方案中有完善的数据库运维服务体系描述，各种流程清晰可行，能够提供相应的案例且案例详细清晰的，得[</w:t>
            </w:r>
            <w:r>
              <w:rPr>
                <w:rFonts w:ascii="宋体" w:hAnsi="宋体" w:eastAsia="宋体" w:cs="宋体"/>
                <w:kern w:val="0"/>
                <w:szCs w:val="21"/>
                <w:lang w:bidi="ar"/>
              </w:rPr>
              <w:t>7</w:t>
            </w:r>
            <w:r>
              <w:rPr>
                <w:rFonts w:hint="eastAsia" w:ascii="宋体" w:hAnsi="宋体" w:eastAsia="宋体" w:cs="宋体"/>
                <w:kern w:val="0"/>
                <w:szCs w:val="21"/>
                <w:lang w:bidi="ar"/>
              </w:rPr>
              <w:t>-</w:t>
            </w:r>
            <w:r>
              <w:rPr>
                <w:rFonts w:ascii="宋体" w:hAnsi="宋体" w:eastAsia="宋体" w:cs="宋体"/>
                <w:kern w:val="0"/>
                <w:szCs w:val="21"/>
                <w:lang w:bidi="ar"/>
              </w:rPr>
              <w:t>10</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B、服务方案中有较完善的数据库运维服务体系描述，各种流程较清晰，相应的案例说明或者案例较清晰的，得[</w:t>
            </w:r>
            <w:r>
              <w:rPr>
                <w:rFonts w:ascii="宋体" w:hAnsi="宋体" w:eastAsia="宋体" w:cs="宋体"/>
                <w:kern w:val="0"/>
                <w:szCs w:val="21"/>
                <w:lang w:bidi="ar"/>
              </w:rPr>
              <w:t>3</w:t>
            </w:r>
            <w:r>
              <w:rPr>
                <w:rFonts w:hint="eastAsia" w:ascii="宋体" w:hAnsi="宋体" w:eastAsia="宋体" w:cs="宋体"/>
                <w:kern w:val="0"/>
                <w:szCs w:val="21"/>
                <w:lang w:bidi="ar"/>
              </w:rPr>
              <w:t>-</w:t>
            </w:r>
            <w:r>
              <w:rPr>
                <w:rFonts w:ascii="宋体" w:hAnsi="宋体" w:eastAsia="宋体" w:cs="宋体"/>
                <w:kern w:val="0"/>
                <w:szCs w:val="21"/>
                <w:lang w:bidi="ar"/>
              </w:rPr>
              <w:t>6</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C、服务方案中数据库运维服务体系描述一般，流程可执行性一般，缺乏相应的案例说明或者案例一般，得[</w:t>
            </w:r>
            <w:r>
              <w:rPr>
                <w:rFonts w:ascii="宋体" w:hAnsi="宋体" w:eastAsia="宋体" w:cs="宋体"/>
                <w:kern w:val="0"/>
                <w:szCs w:val="21"/>
                <w:lang w:bidi="ar"/>
              </w:rPr>
              <w:t>0</w:t>
            </w:r>
            <w:r>
              <w:rPr>
                <w:rFonts w:hint="eastAsia" w:ascii="宋体" w:hAnsi="宋体" w:eastAsia="宋体" w:cs="宋体"/>
                <w:kern w:val="0"/>
                <w:szCs w:val="21"/>
                <w:lang w:bidi="ar"/>
              </w:rPr>
              <w:t>-</w:t>
            </w:r>
            <w:r>
              <w:rPr>
                <w:rFonts w:ascii="宋体" w:hAnsi="宋体" w:eastAsia="宋体" w:cs="宋体"/>
                <w:kern w:val="0"/>
                <w:szCs w:val="21"/>
                <w:lang w:bidi="ar"/>
              </w:rPr>
              <w:t>2</w:t>
            </w:r>
            <w:r>
              <w:rPr>
                <w:rFonts w:hint="eastAsia" w:ascii="宋体" w:hAnsi="宋体" w:eastAsia="宋体" w:cs="宋体"/>
                <w:kern w:val="0"/>
                <w:szCs w:val="21"/>
                <w:lang w:bidi="ar"/>
              </w:rPr>
              <w:t>]分。分差以1分为基本单位。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数据库服务方案</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ascii="宋体" w:hAnsi="宋体" w:eastAsia="宋体" w:cs="宋体"/>
                <w:kern w:val="0"/>
                <w:szCs w:val="21"/>
                <w:lang w:bidi="ar"/>
              </w:rPr>
              <w:t>10</w:t>
            </w:r>
            <w:r>
              <w:rPr>
                <w:rFonts w:hint="eastAsia" w:ascii="宋体" w:hAnsi="宋体" w:eastAsia="宋体" w:cs="宋体"/>
                <w:kern w:val="0"/>
                <w:szCs w:val="21"/>
                <w:lang w:bidi="ar"/>
              </w:rPr>
              <w:t>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根据供应商对我方数据库现状了解情况，对数据库第三方支持服务的工作方案、工作目标、服务内容、资源配备、工具、国产化选型等服务方案进行评审：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A、对现状非常熟悉，服务方案详实充分，针对性强，能有效保障服务质量，得[</w:t>
            </w:r>
            <w:r>
              <w:rPr>
                <w:rFonts w:ascii="宋体" w:hAnsi="宋体" w:eastAsia="宋体" w:cs="宋体"/>
                <w:kern w:val="0"/>
                <w:szCs w:val="21"/>
                <w:lang w:bidi="ar"/>
              </w:rPr>
              <w:t>7</w:t>
            </w:r>
            <w:r>
              <w:rPr>
                <w:rFonts w:hint="eastAsia" w:ascii="宋体" w:hAnsi="宋体" w:eastAsia="宋体" w:cs="宋体"/>
                <w:kern w:val="0"/>
                <w:szCs w:val="21"/>
                <w:lang w:bidi="ar"/>
              </w:rPr>
              <w:t>-</w:t>
            </w:r>
            <w:r>
              <w:rPr>
                <w:rFonts w:ascii="宋体" w:hAnsi="宋体" w:eastAsia="宋体" w:cs="宋体"/>
                <w:kern w:val="0"/>
                <w:szCs w:val="21"/>
                <w:lang w:bidi="ar"/>
              </w:rPr>
              <w:t>10</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B、对现状较为熟悉，服务方案较充分，有一定针对性，能较好满足我方保障要求，得[</w:t>
            </w:r>
            <w:r>
              <w:rPr>
                <w:rFonts w:ascii="宋体" w:hAnsi="宋体" w:eastAsia="宋体" w:cs="宋体"/>
                <w:kern w:val="0"/>
                <w:szCs w:val="21"/>
                <w:lang w:bidi="ar"/>
              </w:rPr>
              <w:t>3</w:t>
            </w:r>
            <w:r>
              <w:rPr>
                <w:rFonts w:hint="eastAsia" w:ascii="宋体" w:hAnsi="宋体" w:eastAsia="宋体" w:cs="宋体"/>
                <w:kern w:val="0"/>
                <w:szCs w:val="21"/>
                <w:lang w:bidi="ar"/>
              </w:rPr>
              <w:t>-</w:t>
            </w:r>
            <w:r>
              <w:rPr>
                <w:rFonts w:ascii="宋体" w:hAnsi="宋体" w:eastAsia="宋体" w:cs="宋体"/>
                <w:kern w:val="0"/>
                <w:szCs w:val="21"/>
                <w:lang w:bidi="ar"/>
              </w:rPr>
              <w:t>6</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C、对现状熟悉程度一般，服务方案较为简单，针对性一般，得[0-</w:t>
            </w:r>
            <w:r>
              <w:rPr>
                <w:rFonts w:ascii="宋体" w:hAnsi="宋体" w:eastAsia="宋体" w:cs="宋体"/>
                <w:kern w:val="0"/>
                <w:szCs w:val="21"/>
                <w:lang w:bidi="ar"/>
              </w:rPr>
              <w:t>2</w:t>
            </w:r>
            <w:r>
              <w:rPr>
                <w:rFonts w:hint="eastAsia" w:ascii="宋体" w:hAnsi="宋体" w:eastAsia="宋体" w:cs="宋体"/>
                <w:kern w:val="0"/>
                <w:szCs w:val="21"/>
                <w:lang w:bidi="ar"/>
              </w:rPr>
              <w:t>]分。分差以1分为基本单位。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300" w:type="dxa"/>
            <w:vMerge w:val="continue"/>
            <w:vAlign w:val="center"/>
          </w:tcPr>
          <w:p>
            <w:pPr>
              <w:tabs>
                <w:tab w:val="left" w:pos="0"/>
              </w:tabs>
              <w:spacing w:line="360" w:lineRule="auto"/>
              <w:rPr>
                <w:rFonts w:ascii="宋体" w:hAnsi="宋体" w:eastAsia="宋体" w:cs="宋体"/>
                <w:kern w:val="0"/>
                <w:szCs w:val="21"/>
                <w:lang w:bidi="ar"/>
              </w:rPr>
            </w:pP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产品服务支持方案</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ascii="宋体" w:hAnsi="宋体" w:eastAsia="宋体" w:cs="宋体"/>
                <w:kern w:val="0"/>
                <w:szCs w:val="21"/>
                <w:lang w:bidi="ar"/>
              </w:rPr>
              <w:t>10</w:t>
            </w:r>
            <w:r>
              <w:rPr>
                <w:rFonts w:hint="eastAsia" w:ascii="宋体" w:hAnsi="宋体" w:eastAsia="宋体" w:cs="宋体"/>
                <w:kern w:val="0"/>
                <w:szCs w:val="21"/>
                <w:lang w:bidi="ar"/>
              </w:rPr>
              <w:t>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考察服务方案的全面性，符合需求方实际情况。服务产品覆盖ORACLE DB、MySQL、SQLserver、PGDB、HANA产品的支持：</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A、服务方案详实，可行性强，服务产品范围全面覆盖，提供的每类产品服务案例详细清晰，得[</w:t>
            </w:r>
            <w:r>
              <w:rPr>
                <w:rFonts w:ascii="宋体" w:hAnsi="宋体" w:eastAsia="宋体" w:cs="宋体"/>
                <w:kern w:val="0"/>
                <w:szCs w:val="21"/>
                <w:lang w:bidi="ar"/>
              </w:rPr>
              <w:t>7</w:t>
            </w:r>
            <w:r>
              <w:rPr>
                <w:rFonts w:hint="eastAsia" w:ascii="宋体" w:hAnsi="宋体" w:eastAsia="宋体" w:cs="宋体"/>
                <w:kern w:val="0"/>
                <w:szCs w:val="21"/>
                <w:lang w:bidi="ar"/>
              </w:rPr>
              <w:t>-</w:t>
            </w:r>
            <w:r>
              <w:rPr>
                <w:rFonts w:ascii="宋体" w:hAnsi="宋体" w:eastAsia="宋体" w:cs="宋体"/>
                <w:kern w:val="0"/>
                <w:szCs w:val="21"/>
                <w:lang w:bidi="ar"/>
              </w:rPr>
              <w:t>10</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B、服务方案较详细，可行性较强，服务产品范围覆盖较好，服务案例较详细，得[</w:t>
            </w:r>
            <w:r>
              <w:rPr>
                <w:rFonts w:ascii="宋体" w:hAnsi="宋体" w:eastAsia="宋体" w:cs="宋体"/>
                <w:kern w:val="0"/>
                <w:szCs w:val="21"/>
                <w:lang w:bidi="ar"/>
              </w:rPr>
              <w:t>3</w:t>
            </w:r>
            <w:r>
              <w:rPr>
                <w:rFonts w:hint="eastAsia" w:ascii="宋体" w:hAnsi="宋体" w:eastAsia="宋体" w:cs="宋体"/>
                <w:kern w:val="0"/>
                <w:szCs w:val="21"/>
                <w:lang w:bidi="ar"/>
              </w:rPr>
              <w:t>-</w:t>
            </w:r>
            <w:r>
              <w:rPr>
                <w:rFonts w:ascii="宋体" w:hAnsi="宋体" w:eastAsia="宋体" w:cs="宋体"/>
                <w:kern w:val="0"/>
                <w:szCs w:val="21"/>
                <w:lang w:bidi="ar"/>
              </w:rPr>
              <w:t>6</w:t>
            </w:r>
            <w:r>
              <w:rPr>
                <w:rFonts w:hint="eastAsia" w:ascii="宋体" w:hAnsi="宋体" w:eastAsia="宋体" w:cs="宋体"/>
                <w:kern w:val="0"/>
                <w:szCs w:val="21"/>
                <w:lang w:bidi="ar"/>
              </w:rPr>
              <w:t>]分；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C、服务方案一般，服务范围覆盖不全的，得[0-</w:t>
            </w:r>
            <w:r>
              <w:rPr>
                <w:rFonts w:ascii="宋体" w:hAnsi="宋体" w:eastAsia="宋体" w:cs="宋体"/>
                <w:kern w:val="0"/>
                <w:szCs w:val="21"/>
                <w:lang w:bidi="ar"/>
              </w:rPr>
              <w:t>2</w:t>
            </w:r>
            <w:r>
              <w:rPr>
                <w:rFonts w:hint="eastAsia" w:ascii="宋体" w:hAnsi="宋体" w:eastAsia="宋体" w:cs="宋体"/>
                <w:kern w:val="0"/>
                <w:szCs w:val="21"/>
                <w:lang w:bidi="ar"/>
              </w:rPr>
              <w:t>]分。分差以1分为基本单位。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300" w:type="dxa"/>
            <w:vMerge w:val="continue"/>
            <w:vAlign w:val="center"/>
          </w:tcPr>
          <w:p>
            <w:pPr>
              <w:tabs>
                <w:tab w:val="left" w:pos="0"/>
              </w:tabs>
              <w:spacing w:line="360" w:lineRule="auto"/>
              <w:rPr>
                <w:rFonts w:ascii="宋体" w:hAnsi="宋体" w:eastAsia="宋体" w:cs="宋体"/>
                <w:kern w:val="0"/>
                <w:szCs w:val="21"/>
                <w:lang w:bidi="ar"/>
              </w:rPr>
            </w:pP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信息安全保障措施</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5分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根据应答人提供的信息安全保障措施进行打分：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A、优秀：信息安全保障措施科学、合理，预案完整可行，得[4,5]分；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B、普通：信息安全保障措施基本合理、各项预案基本可行，得[2,3]分；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C、较差：信息安全保障措施不科学，不合理，预案可行性差，得[0,1]分。分差以1分为基本单位。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注：未提供不得分。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1300" w:type="dxa"/>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价格（30分）</w:t>
            </w:r>
          </w:p>
        </w:tc>
        <w:tc>
          <w:tcPr>
            <w:tcW w:w="1286"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价格比重</w:t>
            </w:r>
          </w:p>
        </w:tc>
        <w:tc>
          <w:tcPr>
            <w:tcW w:w="743"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30分</w:t>
            </w:r>
          </w:p>
        </w:tc>
        <w:tc>
          <w:tcPr>
            <w:tcW w:w="6081"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cs="仿宋_GB2312"/>
                <w:b w:val="0"/>
                <w:lang w:val="en-US" w:eastAsia="zh-CN"/>
              </w:rPr>
              <w:t>1.</w:t>
            </w:r>
            <w:r>
              <w:rPr>
                <w:rFonts w:hint="eastAsia" w:cs="仿宋_GB2312"/>
                <w:b w:val="0"/>
              </w:rPr>
              <w:t>经初审合格的投标文件其投标报价为有效报价。满足招标文件要求且投标报价最低的投标报价为评标基准价，其价格分为满分（标准分）。其他投标人的价格分统一按照下列公式计算：投标报价得分=(评标基准价／投标报价)×30。2.评标价格均以元（RMB）为单位计算，百分率、得分值小数点后保留二位，第三位四舍五入。</w:t>
            </w:r>
          </w:p>
        </w:tc>
      </w:tr>
    </w:tbl>
    <w:p>
      <w:pPr>
        <w:tabs>
          <w:tab w:val="left" w:pos="0"/>
        </w:tabs>
        <w:spacing w:line="360" w:lineRule="auto"/>
        <w:ind w:firstLine="480" w:firstLineChars="200"/>
        <w:rPr>
          <w:rFonts w:ascii="Calibri" w:hAnsi="宋体" w:eastAsia="宋体" w:cs="宋体"/>
          <w:kern w:val="0"/>
          <w:sz w:val="24"/>
          <w:lang w:bidi="ar"/>
        </w:rPr>
      </w:pPr>
    </w:p>
    <w:p>
      <w:pPr>
        <w:tabs>
          <w:tab w:val="left" w:pos="0"/>
        </w:tabs>
        <w:spacing w:line="360" w:lineRule="auto"/>
        <w:ind w:firstLine="482" w:firstLineChars="200"/>
        <w:jc w:val="center"/>
        <w:rPr>
          <w:rFonts w:ascii="Calibri" w:hAnsi="宋体" w:eastAsia="宋体" w:cs="宋体"/>
          <w:b/>
          <w:bCs/>
          <w:kern w:val="0"/>
          <w:sz w:val="24"/>
          <w:lang w:bidi="ar"/>
        </w:rPr>
      </w:pPr>
      <w:r>
        <w:rPr>
          <w:rFonts w:hint="eastAsia" w:ascii="Calibri" w:hAnsi="宋体" w:eastAsia="宋体" w:cs="宋体"/>
          <w:b/>
          <w:bCs/>
          <w:kern w:val="0"/>
          <w:sz w:val="24"/>
          <w:lang w:bidi="ar"/>
        </w:rPr>
        <w:t>评分标准如下（第二包）：</w:t>
      </w:r>
    </w:p>
    <w:p>
      <w:pPr>
        <w:tabs>
          <w:tab w:val="left" w:pos="0"/>
        </w:tabs>
        <w:spacing w:line="360" w:lineRule="auto"/>
        <w:ind w:firstLine="480" w:firstLineChars="200"/>
        <w:rPr>
          <w:rFonts w:ascii="Calibri" w:hAnsi="宋体" w:eastAsia="宋体" w:cs="宋体"/>
          <w:kern w:val="0"/>
          <w:sz w:val="24"/>
          <w:lang w:bidi="ar"/>
        </w:rPr>
      </w:pPr>
    </w:p>
    <w:tbl>
      <w:tblPr>
        <w:tblStyle w:val="15"/>
        <w:tblW w:w="9390" w:type="dxa"/>
        <w:tblInd w:w="0" w:type="dxa"/>
        <w:tblLayout w:type="fixed"/>
        <w:tblCellMar>
          <w:top w:w="0" w:type="dxa"/>
          <w:left w:w="0" w:type="dxa"/>
          <w:bottom w:w="0" w:type="dxa"/>
          <w:right w:w="0" w:type="dxa"/>
        </w:tblCellMar>
      </w:tblPr>
      <w:tblGrid>
        <w:gridCol w:w="1300"/>
        <w:gridCol w:w="1979"/>
        <w:gridCol w:w="6111"/>
      </w:tblGrid>
      <w:tr>
        <w:tblPrEx>
          <w:tblCellMar>
            <w:top w:w="0" w:type="dxa"/>
            <w:left w:w="0" w:type="dxa"/>
            <w:bottom w:w="0" w:type="dxa"/>
            <w:right w:w="0" w:type="dxa"/>
          </w:tblCellMar>
        </w:tblPrEx>
        <w:trPr>
          <w:trHeight w:val="55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D6DCE5" w:themeFill="text2" w:themeFillTint="32"/>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项目</w:t>
            </w:r>
          </w:p>
        </w:tc>
        <w:tc>
          <w:tcPr>
            <w:tcW w:w="1979" w:type="dxa"/>
            <w:tcBorders>
              <w:top w:val="single" w:color="000000" w:sz="4" w:space="0"/>
              <w:left w:val="single" w:color="000000" w:sz="4" w:space="0"/>
              <w:bottom w:val="single" w:color="000000" w:sz="4" w:space="0"/>
              <w:right w:val="single" w:color="000000" w:sz="4" w:space="0"/>
            </w:tcBorders>
            <w:shd w:val="clear" w:color="auto" w:fill="D6DCE5" w:themeFill="text2" w:themeFillTint="32"/>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评分明细</w:t>
            </w:r>
          </w:p>
        </w:tc>
        <w:tc>
          <w:tcPr>
            <w:tcW w:w="6111" w:type="dxa"/>
            <w:tcBorders>
              <w:top w:val="single" w:color="000000" w:sz="4" w:space="0"/>
              <w:left w:val="single" w:color="000000" w:sz="4" w:space="0"/>
              <w:bottom w:val="single" w:color="000000" w:sz="4" w:space="0"/>
              <w:right w:val="single" w:color="000000" w:sz="4" w:space="0"/>
            </w:tcBorders>
            <w:shd w:val="clear" w:color="auto" w:fill="D6DCE5" w:themeFill="text2" w:themeFillTint="32"/>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评分说明</w:t>
            </w:r>
          </w:p>
        </w:tc>
      </w:tr>
      <w:tr>
        <w:tblPrEx>
          <w:tblCellMar>
            <w:top w:w="0" w:type="dxa"/>
            <w:left w:w="0" w:type="dxa"/>
            <w:bottom w:w="0" w:type="dxa"/>
            <w:right w:w="0" w:type="dxa"/>
          </w:tblCellMar>
        </w:tblPrEx>
        <w:trPr>
          <w:trHeight w:val="1152"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供应商的资质和水平 （20分)</w:t>
            </w:r>
          </w:p>
          <w:p>
            <w:pPr>
              <w:tabs>
                <w:tab w:val="left" w:pos="0"/>
              </w:tabs>
              <w:spacing w:line="360" w:lineRule="auto"/>
              <w:rPr>
                <w:rFonts w:ascii="宋体" w:hAnsi="宋体" w:eastAsia="宋体" w:cs="宋体"/>
                <w:kern w:val="0"/>
                <w:szCs w:val="21"/>
                <w:lang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企业资质及行业影响力（5分）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8"/>
              </w:numPr>
              <w:tabs>
                <w:tab w:val="left" w:pos="0"/>
                <w:tab w:val="clear" w:pos="312"/>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公司注册资本(大于5000万得3分，2000万-5000万得1分，其余不得分)</w:t>
            </w:r>
          </w:p>
          <w:p>
            <w:pPr>
              <w:numPr>
                <w:ilvl w:val="0"/>
                <w:numId w:val="18"/>
              </w:numPr>
              <w:tabs>
                <w:tab w:val="left" w:pos="0"/>
                <w:tab w:val="clear" w:pos="312"/>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公司两年来须保持良好的财务状况。（公司财务状况良好得1分，其余不得分。）</w:t>
            </w:r>
          </w:p>
          <w:p>
            <w:pPr>
              <w:numPr>
                <w:ilvl w:val="0"/>
                <w:numId w:val="18"/>
              </w:numPr>
              <w:tabs>
                <w:tab w:val="left" w:pos="0"/>
                <w:tab w:val="clear" w:pos="312"/>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公司在运维行业具备较高的影响力。（具备优秀的生态环境得1分。）</w:t>
            </w:r>
          </w:p>
        </w:tc>
      </w:tr>
      <w:tr>
        <w:tblPrEx>
          <w:tblCellMar>
            <w:top w:w="0" w:type="dxa"/>
            <w:left w:w="0" w:type="dxa"/>
            <w:bottom w:w="0" w:type="dxa"/>
            <w:right w:w="0" w:type="dxa"/>
          </w:tblCellMar>
        </w:tblPrEx>
        <w:trPr>
          <w:trHeight w:val="34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项目实施案例（10分）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提供2018年至今第三方运维支撑合同案例，单个合同金额不低于100万元，每个合同案例得0.5分，最多不超过5分。</w:t>
            </w:r>
          </w:p>
        </w:tc>
      </w:tr>
      <w:tr>
        <w:tblPrEx>
          <w:tblCellMar>
            <w:top w:w="0" w:type="dxa"/>
            <w:left w:w="0" w:type="dxa"/>
            <w:bottom w:w="0" w:type="dxa"/>
            <w:right w:w="0" w:type="dxa"/>
          </w:tblCellMar>
        </w:tblPrEx>
        <w:trPr>
          <w:trHeight w:val="929"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提供2018年至今至少一个制造业运维支撑服务类的合同案例，单个合同案例金额不低于100万，满足得5分。</w:t>
            </w:r>
          </w:p>
        </w:tc>
      </w:tr>
      <w:tr>
        <w:tblPrEx>
          <w:tblCellMar>
            <w:top w:w="0" w:type="dxa"/>
            <w:left w:w="0" w:type="dxa"/>
            <w:bottom w:w="0" w:type="dxa"/>
            <w:right w:w="0" w:type="dxa"/>
          </w:tblCellMar>
        </w:tblPrEx>
        <w:trPr>
          <w:trHeight w:val="658"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具有体系认证资质（5分）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厂家需具备ISO9001质量管理体系认证证书（1分）、ISO20000信息技术服务管理体系认证证书（1分）、ITSS信息技术服务标准贰级以上（1分）与CMMI5认证（2分）。</w:t>
            </w:r>
          </w:p>
        </w:tc>
      </w:tr>
      <w:tr>
        <w:tblPrEx>
          <w:tblCellMar>
            <w:top w:w="0" w:type="dxa"/>
            <w:left w:w="0" w:type="dxa"/>
            <w:bottom w:w="0" w:type="dxa"/>
            <w:right w:w="0" w:type="dxa"/>
          </w:tblCellMar>
        </w:tblPrEx>
        <w:trPr>
          <w:trHeight w:val="554"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方案可行性(50分)</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整体方案的可行性 10分</w:t>
            </w:r>
          </w:p>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对项目目标及范围理解准确，实施路线可行。</w:t>
            </w:r>
          </w:p>
        </w:tc>
      </w:tr>
      <w:tr>
        <w:tblPrEx>
          <w:tblCellMar>
            <w:top w:w="0" w:type="dxa"/>
            <w:left w:w="0" w:type="dxa"/>
            <w:bottom w:w="0" w:type="dxa"/>
            <w:right w:w="0" w:type="dxa"/>
          </w:tblCellMar>
        </w:tblPrEx>
        <w:trPr>
          <w:trHeight w:val="533"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对系统定位及理解准确，需求准确到位。</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有完整并具备可行性的IT运维体系建设方案</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有信息安全保障措施。</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专项方案可行性30分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基础运维保障服务。</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性能优化服务。</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集中管控平台服务。</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流程管控平台服务。</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故障处理方案。</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61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紧急特殊事项支持方案。</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服务团队 10分</w:t>
            </w:r>
          </w:p>
          <w:p>
            <w:pPr>
              <w:tabs>
                <w:tab w:val="left" w:pos="0"/>
              </w:tabs>
              <w:spacing w:line="360" w:lineRule="auto"/>
              <w:rPr>
                <w:rFonts w:ascii="宋体" w:hAnsi="宋体" w:eastAsia="宋体" w:cs="宋体"/>
                <w:kern w:val="0"/>
                <w:szCs w:val="21"/>
                <w:lang w:bidi="ar"/>
              </w:rPr>
            </w:pPr>
          </w:p>
        </w:tc>
        <w:tc>
          <w:tcPr>
            <w:tcW w:w="6111"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供应商须具备一支长期稳定的本地工程师队伍。</w:t>
            </w:r>
          </w:p>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在济南具有本地化服务机构，或承诺中选后30日在济南设立本地服务机构，得1分；否则得0分。（需提供本地机构的房产证明或办公场所租赁协议；或出具承诺）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2、具备充足的本地支持团队且人员数量在40（含）人以上得4分，20（含）人以上的得2分，不满20人的得0分。（后台支撑团队需提供人员清单、和近3个月任意一月缴纳在济南本单位的社保证明。</w:t>
            </w:r>
          </w:p>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3、项目经理1名，项目经验3年及以上，需有PMP管理资质、OracleOCM资质和TOGAF架构师资质；以PMP、TOGAF和OCM资质证书发证时间为准。满足上述要求得5分，不满足不得分。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备注：1、需提供身份证复印件、TOGAF、PMP及OCM资质证书复印件、毕业证书复印件、近3个月任意一个月的社保证明。2、社保证明清单要求：如为本单位缴纳的，缴纳社保主体名称与供应商名称一致；如为专业人事代理机构缴纳的，须同时提供相应的人事代理合同或协议，且在协议中应明确包含供应商所提供的团队人员名单或有人事代理机构盖章的人员清单证明。</w:t>
            </w:r>
          </w:p>
        </w:tc>
      </w:tr>
      <w:tr>
        <w:tblPrEx>
          <w:tblCellMar>
            <w:top w:w="0" w:type="dxa"/>
            <w:left w:w="0" w:type="dxa"/>
            <w:bottom w:w="0" w:type="dxa"/>
            <w:right w:w="0" w:type="dxa"/>
          </w:tblCellMar>
        </w:tblPrEx>
        <w:trPr>
          <w:trHeight w:val="51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实施价格及商务条款(30)</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项目报价30分</w:t>
            </w:r>
          </w:p>
        </w:tc>
        <w:tc>
          <w:tcPr>
            <w:tcW w:w="6111"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tabs>
                <w:tab w:val="left" w:pos="0"/>
              </w:tabs>
              <w:spacing w:line="360" w:lineRule="auto"/>
              <w:rPr>
                <w:rFonts w:ascii="宋体" w:hAnsi="宋体" w:eastAsia="宋体" w:cs="宋体"/>
                <w:kern w:val="0"/>
                <w:szCs w:val="21"/>
                <w:lang w:bidi="ar"/>
              </w:rPr>
            </w:pPr>
            <w:r>
              <w:rPr>
                <w:rFonts w:hint="eastAsia" w:cs="仿宋_GB2312"/>
                <w:b w:val="0"/>
                <w:lang w:val="en-US" w:eastAsia="zh-CN"/>
              </w:rPr>
              <w:t>1</w:t>
            </w:r>
            <w:r>
              <w:rPr>
                <w:rFonts w:hint="eastAsia" w:cs="仿宋_GB2312"/>
                <w:b w:val="0"/>
              </w:rPr>
              <w:t>.经初审合格的投标文件其投标报价为有效报价。满足招标文件要求且投标报价最低的投标报价为评标基准价，其价格分为满分（标准分）。其他投标人的价格分统一按照下列公式计算：投标报价得分=(评标基准价／投标报价)×30。2.评标价格均以元（RMB）为单位计算，百分率、得分值小数点后保留二位，第三位四舍五入。</w:t>
            </w:r>
          </w:p>
        </w:tc>
      </w:tr>
    </w:tbl>
    <w:p>
      <w:pPr>
        <w:tabs>
          <w:tab w:val="left" w:pos="0"/>
        </w:tabs>
        <w:spacing w:line="360" w:lineRule="auto"/>
        <w:ind w:firstLine="480" w:firstLineChars="200"/>
        <w:rPr>
          <w:rFonts w:ascii="Calibri" w:hAnsi="宋体" w:eastAsia="宋体" w:cs="宋体"/>
          <w:kern w:val="0"/>
          <w:sz w:val="24"/>
          <w:lang w:bidi="ar"/>
        </w:rPr>
      </w:pPr>
    </w:p>
    <w:p>
      <w:pPr>
        <w:tabs>
          <w:tab w:val="left" w:pos="0"/>
        </w:tabs>
        <w:spacing w:line="360" w:lineRule="auto"/>
        <w:ind w:firstLine="482" w:firstLineChars="200"/>
        <w:jc w:val="center"/>
        <w:rPr>
          <w:rFonts w:asciiTheme="majorEastAsia" w:hAnsiTheme="majorEastAsia" w:eastAsiaTheme="majorEastAsia" w:cstheme="majorEastAsia"/>
          <w:b/>
          <w:bCs/>
          <w:kern w:val="0"/>
          <w:sz w:val="24"/>
          <w:lang w:bidi="ar"/>
        </w:rPr>
      </w:pPr>
      <w:r>
        <w:rPr>
          <w:rFonts w:hint="eastAsia" w:asciiTheme="majorEastAsia" w:hAnsiTheme="majorEastAsia" w:eastAsiaTheme="majorEastAsia" w:cstheme="majorEastAsia"/>
          <w:b/>
          <w:bCs/>
          <w:kern w:val="0"/>
          <w:sz w:val="24"/>
          <w:lang w:bidi="ar"/>
        </w:rPr>
        <w:t>评分标准（第三包）:</w:t>
      </w:r>
    </w:p>
    <w:tbl>
      <w:tblPr>
        <w:tblStyle w:val="16"/>
        <w:tblpPr w:leftFromText="180" w:rightFromText="180" w:vertAnchor="text" w:horzAnchor="page" w:tblpX="1844" w:tblpY="495"/>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09"/>
        <w:gridCol w:w="1357"/>
        <w:gridCol w:w="772"/>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1209"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评审项目</w:t>
            </w:r>
          </w:p>
        </w:tc>
        <w:tc>
          <w:tcPr>
            <w:tcW w:w="1357"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评审内容</w:t>
            </w:r>
          </w:p>
        </w:tc>
        <w:tc>
          <w:tcPr>
            <w:tcW w:w="772"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分值</w:t>
            </w:r>
          </w:p>
        </w:tc>
        <w:tc>
          <w:tcPr>
            <w:tcW w:w="6042" w:type="dxa"/>
            <w:shd w:val="clear" w:color="auto" w:fill="D6DCE5" w:themeFill="text2" w:themeFillTint="32"/>
            <w:vAlign w:val="center"/>
          </w:tcPr>
          <w:p>
            <w:pPr>
              <w:tabs>
                <w:tab w:val="left" w:pos="0"/>
              </w:tabs>
              <w:spacing w:line="360" w:lineRule="auto"/>
              <w:jc w:val="center"/>
              <w:rPr>
                <w:rFonts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209" w:type="dxa"/>
            <w:vMerge w:val="restart"/>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u w:val="none"/>
                <w:lang w:bidi="ar"/>
              </w:rPr>
              <w:t>企业综合实力（15分）</w:t>
            </w: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资质</w:t>
            </w:r>
          </w:p>
        </w:tc>
        <w:tc>
          <w:tcPr>
            <w:tcW w:w="772" w:type="dxa"/>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bidi="ar"/>
              </w:rPr>
            </w:pPr>
            <w:r>
              <w:rPr>
                <w:rFonts w:hint="eastAsia" w:ascii="宋体" w:hAnsi="宋体" w:eastAsia="宋体" w:cs="宋体"/>
                <w:i w:val="0"/>
                <w:iCs w:val="0"/>
                <w:color w:val="000000"/>
                <w:kern w:val="0"/>
                <w:sz w:val="22"/>
                <w:szCs w:val="22"/>
                <w:u w:val="none"/>
                <w:lang w:val="en-US" w:eastAsia="zh-CN" w:bidi="ar"/>
              </w:rPr>
              <w:t>4分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根据应答人提供的公司专业资质证书进行评分：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1.具备有效的ISO9000/9001质量管理体系认证证书，得1分；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2.具备有效的ISO27000/27001质量管理体系认证证书得1分；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3.具备有效的CMMI-3及以上认证证书，得2分。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注：投标人须提供相关证书扫描件及网上查询截图，原件备查，未提供完整有效证明材料的不得分。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209"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357" w:type="dxa"/>
            <w:shd w:val="clear" w:color="auto" w:fill="auto"/>
            <w:vAlign w:val="center"/>
          </w:tcPr>
          <w:p>
            <w:pPr>
              <w:keepNext w:val="0"/>
              <w:keepLines w:val="0"/>
              <w:widowControl/>
              <w:suppressLineNumbers w:val="0"/>
              <w:jc w:val="both"/>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1"/>
                <w:szCs w:val="21"/>
                <w:u w:val="none"/>
                <w:lang w:val="en-US" w:eastAsia="zh-CN" w:bidi="ar"/>
              </w:rPr>
              <w:t>公司团队规模</w:t>
            </w:r>
          </w:p>
        </w:tc>
        <w:tc>
          <w:tcPr>
            <w:tcW w:w="772" w:type="dxa"/>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bidi="ar"/>
              </w:rPr>
            </w:pPr>
            <w:r>
              <w:rPr>
                <w:rFonts w:hint="eastAsia" w:ascii="宋体" w:hAnsi="宋体" w:eastAsia="宋体" w:cs="宋体"/>
                <w:i w:val="0"/>
                <w:iCs w:val="0"/>
                <w:color w:val="000000"/>
                <w:kern w:val="0"/>
                <w:sz w:val="22"/>
                <w:szCs w:val="22"/>
                <w:u w:val="none"/>
                <w:lang w:val="en-US" w:eastAsia="zh-CN" w:bidi="ar"/>
              </w:rPr>
              <w:t>5分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要求应答人具有一支稳定的、有一定规模的、具有足够技术服务能务的技术团队。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A、技术服务团队规模：公司java开发团队人数在300人 及以上得5分，200人 及以上得3分，100人以上得1分，其余不得分。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1209"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同类项目经验</w:t>
            </w:r>
          </w:p>
        </w:tc>
        <w:tc>
          <w:tcPr>
            <w:tcW w:w="772" w:type="dxa"/>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bidi="ar"/>
              </w:rPr>
            </w:pPr>
            <w:r>
              <w:rPr>
                <w:rFonts w:hint="eastAsia" w:ascii="宋体" w:hAnsi="宋体" w:eastAsia="宋体" w:cs="宋体"/>
                <w:i w:val="0"/>
                <w:iCs w:val="0"/>
                <w:color w:val="000000"/>
                <w:kern w:val="0"/>
                <w:sz w:val="22"/>
                <w:szCs w:val="22"/>
                <w:u w:val="none"/>
                <w:lang w:val="en-US" w:eastAsia="zh-CN" w:bidi="ar"/>
              </w:rPr>
              <w:t>6分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自2018年1月1日至今，与本项目相关的平台开发或平台技术支撑服务类项目业绩数量，要求单个合同金额不低于200万元。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业绩合同2个及以下不得分，2个合同的基础上，每增加1个合同得1分，本项最高得6分。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必须提供①合同，需包含含甲乙双方主体、服务内容、签字盖章页等关键页信息②合同至少一张结算发票/甲方盖章的至少一张结算单/甲方盖章的至少一张相应的订单（或委托书）(②中的三份材料中选其中一份提供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合同中无合同开始时间的以甲乙双方签署日期按较迟的签署日计。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40" w:hRule="atLeast"/>
        </w:trPr>
        <w:tc>
          <w:tcPr>
            <w:tcW w:w="1209" w:type="dxa"/>
            <w:vMerge w:val="restart"/>
            <w:shd w:val="clear" w:color="auto" w:fill="auto"/>
            <w:vAlign w:val="center"/>
          </w:tcPr>
          <w:p>
            <w:pPr>
              <w:tabs>
                <w:tab w:val="left" w:pos="0"/>
              </w:tabs>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团队服务能力25</w:t>
            </w:r>
            <w:r>
              <w:rPr>
                <w:rFonts w:hint="eastAsia" w:ascii="宋体" w:hAnsi="宋体" w:eastAsia="宋体" w:cs="宋体"/>
                <w:kern w:val="0"/>
                <w:szCs w:val="21"/>
                <w:lang w:val="en-US" w:eastAsia="zh-CN" w:bidi="ar"/>
              </w:rPr>
              <w:t>分</w:t>
            </w: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服务能力</w:t>
            </w:r>
          </w:p>
        </w:tc>
        <w:tc>
          <w:tcPr>
            <w:tcW w:w="772" w:type="dxa"/>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bidi="ar"/>
              </w:rPr>
            </w:pPr>
            <w:r>
              <w:rPr>
                <w:rFonts w:hint="eastAsia" w:ascii="宋体" w:hAnsi="宋体" w:eastAsia="宋体" w:cs="宋体"/>
                <w:i w:val="0"/>
                <w:iCs w:val="0"/>
                <w:color w:val="000000"/>
                <w:kern w:val="0"/>
                <w:sz w:val="22"/>
                <w:szCs w:val="22"/>
                <w:u w:val="none"/>
                <w:lang w:val="en-US" w:eastAsia="zh-CN" w:bidi="ar"/>
              </w:rPr>
              <w:t>6分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1.承诺可在采购方现场提供7*24小时驻场服务的得3分；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2.承诺可在特殊情况下4小时内进行响应并安排人员到达现场的，得3分.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1、2得分累加。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40" w:hRule="atLeast"/>
        </w:trPr>
        <w:tc>
          <w:tcPr>
            <w:tcW w:w="1209"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企业文化认同</w:t>
            </w:r>
          </w:p>
        </w:tc>
        <w:tc>
          <w:tcPr>
            <w:tcW w:w="772" w:type="dxa"/>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bidi="ar"/>
              </w:rPr>
            </w:pPr>
            <w:r>
              <w:rPr>
                <w:rFonts w:hint="eastAsia" w:ascii="宋体" w:hAnsi="宋体" w:eastAsia="宋体" w:cs="宋体"/>
                <w:i w:val="0"/>
                <w:iCs w:val="0"/>
                <w:color w:val="000000"/>
                <w:kern w:val="0"/>
                <w:sz w:val="22"/>
                <w:szCs w:val="22"/>
                <w:u w:val="none"/>
                <w:lang w:val="en-US" w:eastAsia="zh-CN" w:bidi="ar"/>
              </w:rPr>
              <w:t>5分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 xml:space="preserve">团队服务人员应遵守甲方的规章制度和管理办法，维护人员做到：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 遵守中国重汽的作息制度上下班，不得无故旷工；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服从甲方项目工作安排，并积极主动完成任务，具备良好的敬业精神；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3</w:t>
            </w:r>
            <w:r>
              <w:rPr>
                <w:rFonts w:hint="eastAsia" w:ascii="宋体" w:hAnsi="宋体" w:eastAsia="宋体" w:cs="宋体"/>
                <w:kern w:val="0"/>
                <w:szCs w:val="21"/>
                <w:lang w:eastAsia="zh-CN" w:bidi="ar"/>
              </w:rPr>
              <w:t>）</w:t>
            </w:r>
            <w:r>
              <w:rPr>
                <w:rFonts w:hint="eastAsia" w:ascii="宋体" w:hAnsi="宋体" w:eastAsia="宋体" w:cs="宋体"/>
                <w:i w:val="0"/>
                <w:iCs w:val="0"/>
                <w:color w:val="000000"/>
                <w:kern w:val="0"/>
                <w:sz w:val="22"/>
                <w:szCs w:val="22"/>
                <w:u w:val="none"/>
                <w:lang w:val="en-US" w:eastAsia="zh-CN" w:bidi="ar"/>
              </w:rPr>
              <w:t xml:space="preserve"> 如有特殊情况需要回公司或短时间内出差解决其他问题，必须向甲方项目经理申请，得到批准后方可离开；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现场服务人员应保证手机畅通，提供7×24小时的响应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满足得5分，不满足不得分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40" w:hRule="atLeast"/>
        </w:trPr>
        <w:tc>
          <w:tcPr>
            <w:tcW w:w="1209"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color w:val="0000FF"/>
                <w:kern w:val="0"/>
                <w:szCs w:val="21"/>
                <w:lang w:bidi="ar"/>
              </w:rPr>
            </w:pPr>
            <w:r>
              <w:rPr>
                <w:rFonts w:hint="eastAsia" w:ascii="宋体" w:hAnsi="宋体" w:eastAsia="宋体" w:cs="宋体"/>
                <w:i w:val="0"/>
                <w:iCs w:val="0"/>
                <w:color w:val="000000"/>
                <w:kern w:val="0"/>
                <w:sz w:val="22"/>
                <w:szCs w:val="22"/>
                <w:u w:val="none"/>
                <w:lang w:val="en-US" w:eastAsia="zh-CN" w:bidi="ar"/>
              </w:rPr>
              <w:t>本地化服务机构</w:t>
            </w:r>
          </w:p>
        </w:tc>
        <w:tc>
          <w:tcPr>
            <w:tcW w:w="772" w:type="dxa"/>
            <w:shd w:val="clear" w:color="auto" w:fill="auto"/>
            <w:vAlign w:val="center"/>
          </w:tcPr>
          <w:p>
            <w:pPr>
              <w:keepNext w:val="0"/>
              <w:keepLines w:val="0"/>
              <w:widowControl/>
              <w:suppressLineNumbers w:val="0"/>
              <w:jc w:val="left"/>
              <w:textAlignment w:val="center"/>
              <w:rPr>
                <w:rFonts w:hint="default" w:ascii="宋体" w:hAnsi="宋体" w:eastAsia="宋体" w:cs="宋体"/>
                <w:color w:val="0000FF"/>
                <w:kern w:val="0"/>
                <w:szCs w:val="21"/>
                <w:lang w:val="en-US" w:bidi="ar"/>
              </w:rPr>
            </w:pPr>
            <w:r>
              <w:rPr>
                <w:rFonts w:hint="eastAsia" w:ascii="宋体" w:hAnsi="宋体" w:eastAsia="宋体" w:cs="宋体"/>
                <w:i w:val="0"/>
                <w:iCs w:val="0"/>
                <w:color w:val="000000"/>
                <w:kern w:val="0"/>
                <w:sz w:val="22"/>
                <w:szCs w:val="22"/>
                <w:u w:val="none"/>
                <w:lang w:val="en-US" w:eastAsia="zh-CN" w:bidi="ar"/>
              </w:rPr>
              <w:t>9分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color w:val="0000FF"/>
                <w:kern w:val="0"/>
                <w:szCs w:val="21"/>
                <w:lang w:bidi="ar"/>
              </w:rPr>
            </w:pPr>
            <w:r>
              <w:rPr>
                <w:rFonts w:hint="eastAsia" w:ascii="宋体" w:hAnsi="宋体" w:eastAsia="宋体" w:cs="宋体"/>
                <w:i w:val="0"/>
                <w:iCs w:val="0"/>
                <w:color w:val="000000"/>
                <w:kern w:val="0"/>
                <w:sz w:val="22"/>
                <w:szCs w:val="22"/>
                <w:u w:val="none"/>
                <w:lang w:val="en-US" w:eastAsia="zh-CN" w:bidi="ar"/>
              </w:rPr>
              <w:t>1.投标人在济南有本地化服务机构，或承诺中标后10日内成立的，得6分；其他不得分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2.本地化人员超过70人得3分，50人得2分其他不得分。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40" w:hRule="atLeast"/>
        </w:trPr>
        <w:tc>
          <w:tcPr>
            <w:tcW w:w="1209"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提供咨询服务</w:t>
            </w:r>
          </w:p>
        </w:tc>
        <w:tc>
          <w:tcPr>
            <w:tcW w:w="772" w:type="dxa"/>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bidi="ar"/>
              </w:rPr>
            </w:pPr>
            <w:r>
              <w:rPr>
                <w:rFonts w:hint="eastAsia" w:ascii="宋体" w:hAnsi="宋体" w:eastAsia="宋体" w:cs="宋体"/>
                <w:i w:val="0"/>
                <w:iCs w:val="0"/>
                <w:color w:val="000000"/>
                <w:kern w:val="0"/>
                <w:sz w:val="22"/>
                <w:szCs w:val="22"/>
                <w:u w:val="none"/>
                <w:lang w:val="en-US" w:eastAsia="zh-CN" w:bidi="ar"/>
              </w:rPr>
              <w:t>5分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1.投标人能够提供项目行业优秀解决方案得3分，提供一般解决方案得1分不能提供不得分。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2.投标人能够提供项目架构选型、能够提供正向开发流程体系得2分，不能提供得1分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10" w:hRule="atLeast"/>
        </w:trPr>
        <w:tc>
          <w:tcPr>
            <w:tcW w:w="1209" w:type="dxa"/>
            <w:vMerge w:val="restart"/>
            <w:shd w:val="clear" w:color="auto" w:fill="auto"/>
            <w:vAlign w:val="center"/>
          </w:tcPr>
          <w:p>
            <w:pPr>
              <w:tabs>
                <w:tab w:val="left" w:pos="0"/>
              </w:tabs>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人员综合能力30</w:t>
            </w:r>
            <w:r>
              <w:rPr>
                <w:rFonts w:hint="eastAsia" w:ascii="宋体" w:hAnsi="宋体" w:eastAsia="宋体" w:cs="宋体"/>
                <w:kern w:val="0"/>
                <w:szCs w:val="21"/>
                <w:lang w:val="en-US" w:eastAsia="zh-CN" w:bidi="ar"/>
              </w:rPr>
              <w:t>分</w:t>
            </w: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人员技术要求</w:t>
            </w:r>
          </w:p>
        </w:tc>
        <w:tc>
          <w:tcPr>
            <w:tcW w:w="772" w:type="dxa"/>
            <w:shd w:val="clear" w:color="auto" w:fill="auto"/>
            <w:vAlign w:val="center"/>
          </w:tcPr>
          <w:p>
            <w:pPr>
              <w:jc w:val="left"/>
              <w:rPr>
                <w:rFonts w:hint="default" w:ascii="宋体" w:hAnsi="宋体" w:eastAsia="宋体" w:cs="宋体"/>
                <w:kern w:val="0"/>
                <w:szCs w:val="21"/>
                <w:lang w:val="en-US" w:bidi="ar"/>
              </w:rPr>
            </w:pPr>
            <w:r>
              <w:rPr>
                <w:rFonts w:hint="eastAsia" w:ascii="宋体" w:hAnsi="宋体" w:eastAsia="宋体" w:cs="宋体"/>
                <w:i w:val="0"/>
                <w:iCs w:val="0"/>
                <w:color w:val="000000"/>
                <w:kern w:val="0"/>
                <w:sz w:val="22"/>
                <w:szCs w:val="22"/>
                <w:u w:val="none"/>
                <w:lang w:val="en-US" w:eastAsia="zh-CN" w:bidi="ar"/>
              </w:rPr>
              <w:t>9分</w:t>
            </w:r>
          </w:p>
        </w:tc>
        <w:tc>
          <w:tcPr>
            <w:tcW w:w="6042"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投标人为本项目提供的支撑项目的人员名单：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1.精通云原生开发技术，精通pass组件、精通微服务开发、精通微前端开发，精通Vue+Element每提供一人得3分，最高9分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2.云原生pass组件、微服务开发、微前端开发、Vue+Element掌握其中两个及以上，每提供一人得2分，最高6分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1、2得分不能累加。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1" w:hRule="atLeast"/>
        </w:trPr>
        <w:tc>
          <w:tcPr>
            <w:tcW w:w="1209" w:type="dxa"/>
            <w:vMerge w:val="continue"/>
            <w:shd w:val="clear" w:color="auto" w:fill="auto"/>
            <w:vAlign w:val="center"/>
          </w:tcPr>
          <w:p>
            <w:pPr>
              <w:tabs>
                <w:tab w:val="left" w:pos="0"/>
              </w:tabs>
              <w:spacing w:line="360" w:lineRule="auto"/>
              <w:rPr>
                <w:rFonts w:ascii="宋体" w:hAnsi="宋体" w:eastAsia="宋体" w:cs="宋体"/>
                <w:kern w:val="0"/>
                <w:szCs w:val="21"/>
                <w:lang w:bidi="ar"/>
              </w:rPr>
            </w:pPr>
          </w:p>
        </w:tc>
        <w:tc>
          <w:tcPr>
            <w:tcW w:w="1357" w:type="dxa"/>
            <w:shd w:val="clear" w:color="auto" w:fill="auto"/>
            <w:vAlign w:val="center"/>
          </w:tcPr>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人员项目经验</w:t>
            </w:r>
          </w:p>
        </w:tc>
        <w:tc>
          <w:tcPr>
            <w:tcW w:w="772" w:type="dxa"/>
            <w:shd w:val="clear" w:color="auto" w:fill="auto"/>
            <w:vAlign w:val="center"/>
          </w:tcPr>
          <w:p>
            <w:pPr>
              <w:jc w:val="left"/>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21分</w:t>
            </w:r>
          </w:p>
        </w:tc>
        <w:tc>
          <w:tcPr>
            <w:tcW w:w="60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投标人为本项目提供的支撑项目的人员名单：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1.具有汽车行业项目经验，每提供一人得2分，最高6分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2.人员入职公司在本公司服务3年得3分，2年得2分，一年的1分，每提供一人累计，总分9分。</w:t>
            </w:r>
          </w:p>
          <w:p>
            <w:pPr>
              <w:keepNext w:val="0"/>
              <w:keepLines w:val="0"/>
              <w:widowControl/>
              <w:suppressLineNumbers w:val="0"/>
              <w:jc w:val="left"/>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3.每提供一名本科以上学历得2分，总分不得高于6分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1、2、3累加不得高于21分。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人员名单应包含至少姓名、工种、级别、学历或学位、工作经历等信息。且需提供团队高级人员与应答人的劳务合同或近3个月内其中1个月的缴纳社保证明、学历或学位证书，未提供的视为该成员信息无效。工作年限以学历或学位证书颁发时间作为起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 w:hRule="atLeast"/>
        </w:trPr>
        <w:tc>
          <w:tcPr>
            <w:tcW w:w="1209"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价格（30分）</w:t>
            </w:r>
          </w:p>
        </w:tc>
        <w:tc>
          <w:tcPr>
            <w:tcW w:w="1357"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价格比重</w:t>
            </w:r>
          </w:p>
        </w:tc>
        <w:tc>
          <w:tcPr>
            <w:tcW w:w="772"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bidi="ar"/>
              </w:rPr>
              <w:t>30分</w:t>
            </w:r>
          </w:p>
        </w:tc>
        <w:tc>
          <w:tcPr>
            <w:tcW w:w="6042" w:type="dxa"/>
            <w:shd w:val="clear" w:color="auto" w:fill="auto"/>
            <w:vAlign w:val="center"/>
          </w:tcPr>
          <w:p>
            <w:pPr>
              <w:tabs>
                <w:tab w:val="left" w:pos="0"/>
              </w:tabs>
              <w:spacing w:line="360" w:lineRule="auto"/>
              <w:rPr>
                <w:rFonts w:ascii="宋体" w:hAnsi="宋体" w:eastAsia="宋体" w:cs="宋体"/>
                <w:kern w:val="0"/>
                <w:szCs w:val="21"/>
                <w:lang w:bidi="ar"/>
              </w:rPr>
            </w:pPr>
            <w:r>
              <w:rPr>
                <w:rFonts w:hint="eastAsia" w:ascii="宋体" w:hAnsi="宋体" w:eastAsia="宋体" w:cs="宋体"/>
                <w:kern w:val="0"/>
                <w:szCs w:val="21"/>
                <w:lang w:val="en-US" w:eastAsia="zh-CN" w:bidi="ar"/>
              </w:rPr>
              <w:t>1</w:t>
            </w:r>
            <w:r>
              <w:rPr>
                <w:rFonts w:hint="eastAsia" w:ascii="宋体" w:hAnsi="宋体" w:eastAsia="宋体" w:cs="宋体"/>
                <w:kern w:val="0"/>
                <w:szCs w:val="21"/>
                <w:lang w:bidi="ar"/>
              </w:rPr>
              <w:t>.经初审合格的投标文件其投标报价为有效报价。满足招标文件要求且投标报价最低的投标报价为评标基准价，其价格分为满分（标准分）。其他投标人的价格分统一按照下列公式计算：投标报价得分=(评标基准价／投标报价)×30。2.评标价格均以元（RMB）为单位计算，百分率、得分值小数点后保留二位，第三位四舍五入。</w:t>
            </w:r>
          </w:p>
        </w:tc>
      </w:tr>
    </w:tbl>
    <w:p>
      <w:pPr>
        <w:tabs>
          <w:tab w:val="left" w:pos="0"/>
        </w:tabs>
        <w:spacing w:line="360" w:lineRule="auto"/>
        <w:rPr>
          <w:rFonts w:ascii="宋体" w:hAnsi="宋体" w:eastAsia="宋体" w:cs="宋体"/>
          <w:kern w:val="0"/>
          <w:szCs w:val="21"/>
          <w:lang w:bidi="ar"/>
        </w:rPr>
      </w:pPr>
    </w:p>
    <w:p>
      <w:pPr>
        <w:tabs>
          <w:tab w:val="left" w:pos="0"/>
        </w:tabs>
        <w:spacing w:line="360" w:lineRule="auto"/>
        <w:jc w:val="center"/>
        <w:rPr>
          <w:rFonts w:ascii="宋体" w:hAnsi="宋体" w:eastAsia="宋体" w:cs="宋体"/>
          <w:b/>
          <w:bCs/>
          <w:kern w:val="0"/>
          <w:sz w:val="24"/>
          <w:lang w:bidi="ar"/>
        </w:rPr>
      </w:pPr>
      <w:r>
        <w:rPr>
          <w:rFonts w:hint="eastAsia" w:ascii="宋体" w:hAnsi="宋体" w:eastAsia="宋体" w:cs="宋体"/>
          <w:b/>
          <w:bCs/>
          <w:kern w:val="0"/>
          <w:sz w:val="24"/>
          <w:lang w:bidi="ar"/>
        </w:rPr>
        <w:t>评分标准（第四包）</w:t>
      </w:r>
    </w:p>
    <w:p>
      <w:pPr>
        <w:tabs>
          <w:tab w:val="left" w:pos="0"/>
        </w:tabs>
        <w:spacing w:line="360" w:lineRule="auto"/>
        <w:jc w:val="center"/>
        <w:rPr>
          <w:rFonts w:ascii="宋体" w:hAnsi="宋体" w:eastAsia="宋体" w:cs="宋体"/>
          <w:b/>
          <w:bCs/>
          <w:kern w:val="0"/>
          <w:sz w:val="24"/>
          <w:lang w:bidi="ar"/>
        </w:rPr>
      </w:pPr>
    </w:p>
    <w:tbl>
      <w:tblPr>
        <w:tblStyle w:val="15"/>
        <w:tblW w:w="5236"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70"/>
        <w:gridCol w:w="741"/>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1"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评审项目</w:t>
            </w: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评审内容</w:t>
            </w:r>
          </w:p>
        </w:tc>
        <w:tc>
          <w:tcPr>
            <w:tcW w:w="396"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分值</w:t>
            </w:r>
          </w:p>
        </w:tc>
        <w:tc>
          <w:tcPr>
            <w:tcW w:w="3229"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41" w:type="pct"/>
            <w:vMerge w:val="restar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企业综合实力（</w:t>
            </w:r>
            <w:r>
              <w:rPr>
                <w:rFonts w:ascii="宋体" w:hAnsi="宋体" w:eastAsia="宋体" w:cs="宋体"/>
                <w:kern w:val="0"/>
                <w:szCs w:val="21"/>
                <w:lang w:bidi="ar"/>
              </w:rPr>
              <w:t>1</w:t>
            </w:r>
            <w:r>
              <w:rPr>
                <w:rFonts w:hint="eastAsia" w:ascii="宋体" w:hAnsi="宋体" w:eastAsia="宋体" w:cs="宋体"/>
                <w:kern w:val="0"/>
                <w:szCs w:val="21"/>
                <w:lang w:val="en-US" w:eastAsia="zh-CN" w:bidi="ar"/>
              </w:rPr>
              <w:t>9</w:t>
            </w:r>
            <w:r>
              <w:rPr>
                <w:rFonts w:hint="eastAsia" w:ascii="宋体" w:hAnsi="宋体" w:eastAsia="宋体" w:cs="宋体"/>
                <w:kern w:val="0"/>
                <w:szCs w:val="21"/>
                <w:lang w:bidi="ar"/>
              </w:rPr>
              <w:t>分）</w:t>
            </w: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资质</w:t>
            </w:r>
          </w:p>
        </w:tc>
        <w:tc>
          <w:tcPr>
            <w:tcW w:w="396" w:type="pct"/>
            <w:shd w:val="clear" w:color="auto" w:fill="auto"/>
            <w:vAlign w:val="center"/>
          </w:tcPr>
          <w:p>
            <w:pPr>
              <w:widowControl/>
              <w:tabs>
                <w:tab w:val="left" w:pos="0"/>
              </w:tabs>
              <w:spacing w:line="360" w:lineRule="auto"/>
              <w:jc w:val="left"/>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根据应答人提供的公司专业资质证书进行评分：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1.具备有效的ISO9000/9001质量管理体系认证证书，得1分；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2.具备有效的ISO27000/27001质量管理体系认证证书得</w:t>
            </w:r>
            <w:r>
              <w:rPr>
                <w:rFonts w:hint="eastAsia" w:ascii="宋体" w:hAnsi="宋体" w:eastAsia="宋体" w:cs="宋体"/>
                <w:kern w:val="0"/>
                <w:szCs w:val="21"/>
                <w:lang w:val="en-US" w:eastAsia="zh-CN" w:bidi="ar"/>
              </w:rPr>
              <w:t>1</w:t>
            </w:r>
            <w:r>
              <w:rPr>
                <w:rFonts w:hint="eastAsia" w:ascii="宋体" w:hAnsi="宋体" w:eastAsia="宋体" w:cs="宋体"/>
                <w:kern w:val="0"/>
                <w:szCs w:val="21"/>
                <w:lang w:bidi="ar"/>
              </w:rPr>
              <w:t>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3.具备有效的CMMI-3及以上认证证书，得</w:t>
            </w:r>
            <w:r>
              <w:rPr>
                <w:rFonts w:hint="eastAsia" w:ascii="宋体" w:hAnsi="宋体" w:eastAsia="宋体" w:cs="宋体"/>
                <w:kern w:val="0"/>
                <w:szCs w:val="21"/>
                <w:lang w:val="en-US" w:eastAsia="zh-CN" w:bidi="ar"/>
              </w:rPr>
              <w:t>1</w:t>
            </w:r>
            <w:r>
              <w:rPr>
                <w:rFonts w:hint="eastAsia" w:ascii="宋体" w:hAnsi="宋体" w:eastAsia="宋体" w:cs="宋体"/>
                <w:kern w:val="0"/>
                <w:szCs w:val="21"/>
                <w:lang w:bidi="ar"/>
              </w:rPr>
              <w:t>分。</w:t>
            </w:r>
          </w:p>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注：投标人须提供相关证书扫描件及网上查询截图，原件备查，未提供完整有效证明材料的不得分。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1" w:type="pct"/>
            <w:vMerge w:val="continue"/>
            <w:vAlign w:val="center"/>
          </w:tcPr>
          <w:p>
            <w:pPr>
              <w:widowControl/>
              <w:tabs>
                <w:tab w:val="left" w:pos="0"/>
              </w:tabs>
              <w:spacing w:line="360" w:lineRule="auto"/>
              <w:jc w:val="left"/>
              <w:rPr>
                <w:rFonts w:ascii="宋体" w:hAnsi="宋体" w:eastAsia="宋体" w:cs="宋体"/>
                <w:kern w:val="0"/>
                <w:sz w:val="21"/>
                <w:szCs w:val="21"/>
                <w:lang w:bidi="ar"/>
              </w:rPr>
            </w:pP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公司技术团队实力</w:t>
            </w:r>
          </w:p>
        </w:tc>
        <w:tc>
          <w:tcPr>
            <w:tcW w:w="396" w:type="pct"/>
            <w:shd w:val="clear" w:color="auto" w:fill="auto"/>
            <w:vAlign w:val="center"/>
          </w:tcPr>
          <w:p>
            <w:pPr>
              <w:widowControl/>
              <w:tabs>
                <w:tab w:val="left" w:pos="0"/>
              </w:tabs>
              <w:spacing w:line="360" w:lineRule="auto"/>
              <w:jc w:val="left"/>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10分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要求应答人具有一支稳定的、有一定规模的、具有足够技术服务能务的技术团队。</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A、技术服务团队规模：公司ABAP服务团队人数在40人 及以上得5分，30人 及以上得4分，20人 及以上得2分，其余不得分。提供社保证明。</w:t>
            </w:r>
          </w:p>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B、公司具有PA证书的专业技术人员，5人及以上得5分，2人-4人得3分，1人-2人得1分，其余不得分。提供社保证明、认证证书扫描件。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641" w:type="pct"/>
            <w:vMerge w:val="continue"/>
            <w:vAlign w:val="center"/>
          </w:tcPr>
          <w:p>
            <w:pPr>
              <w:widowControl/>
              <w:tabs>
                <w:tab w:val="left" w:pos="0"/>
              </w:tabs>
              <w:spacing w:line="360" w:lineRule="auto"/>
              <w:jc w:val="left"/>
              <w:rPr>
                <w:rFonts w:ascii="宋体" w:hAnsi="宋体" w:eastAsia="宋体" w:cs="宋体"/>
                <w:kern w:val="0"/>
                <w:sz w:val="21"/>
                <w:szCs w:val="21"/>
                <w:lang w:bidi="ar"/>
              </w:rPr>
            </w:pP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同类项目经验</w:t>
            </w:r>
          </w:p>
        </w:tc>
        <w:tc>
          <w:tcPr>
            <w:tcW w:w="396"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val="en-US" w:eastAsia="zh-CN" w:bidi="ar"/>
              </w:rPr>
            </w:pPr>
            <w:r>
              <w:rPr>
                <w:rFonts w:ascii="宋体" w:hAnsi="宋体" w:eastAsia="宋体" w:cs="宋体"/>
                <w:kern w:val="0"/>
                <w:szCs w:val="21"/>
                <w:lang w:bidi="ar"/>
              </w:rPr>
              <w:t>6</w:t>
            </w:r>
            <w:r>
              <w:rPr>
                <w:rFonts w:hint="eastAsia" w:ascii="宋体" w:hAnsi="宋体" w:eastAsia="宋体" w:cs="宋体"/>
                <w:kern w:val="0"/>
                <w:szCs w:val="21"/>
                <w:lang w:val="en-US" w:eastAsia="zh-CN" w:bidi="ar"/>
              </w:rPr>
              <w:t>分</w:t>
            </w:r>
          </w:p>
        </w:tc>
        <w:tc>
          <w:tcPr>
            <w:tcW w:w="3229" w:type="pct"/>
            <w:shd w:val="clear" w:color="auto" w:fill="auto"/>
            <w:vAlign w:val="center"/>
          </w:tcPr>
          <w:p>
            <w:pPr>
              <w:tabs>
                <w:tab w:val="left" w:pos="0"/>
              </w:tabs>
              <w:spacing w:line="360" w:lineRule="auto"/>
              <w:rPr>
                <w:rFonts w:hint="eastAsia" w:ascii="宋体" w:hAnsi="宋体" w:eastAsia="宋体" w:cs="宋体"/>
                <w:kern w:val="0"/>
                <w:szCs w:val="21"/>
                <w:lang w:bidi="ar"/>
              </w:rPr>
            </w:pPr>
            <w:r>
              <w:rPr>
                <w:rFonts w:hint="eastAsia" w:ascii="宋体" w:hAnsi="宋体" w:eastAsia="宋体" w:cs="宋体"/>
                <w:kern w:val="0"/>
                <w:szCs w:val="21"/>
                <w:lang w:bidi="ar"/>
              </w:rPr>
              <w:t>考察应答人2018年1月1日至今制造业ERP开发实施服务类项目业绩数量，要求单个合同金额一年维护量不低于200万元。</w:t>
            </w:r>
          </w:p>
          <w:p>
            <w:pPr>
              <w:tabs>
                <w:tab w:val="left" w:pos="0"/>
              </w:tabs>
              <w:spacing w:line="360" w:lineRule="auto"/>
              <w:rPr>
                <w:rFonts w:hint="eastAsia" w:ascii="宋体" w:hAnsi="宋体" w:eastAsia="宋体" w:cs="宋体"/>
                <w:kern w:val="0"/>
                <w:szCs w:val="21"/>
                <w:lang w:bidi="ar"/>
              </w:rPr>
            </w:pPr>
            <w:r>
              <w:rPr>
                <w:rFonts w:hint="eastAsia" w:ascii="宋体" w:hAnsi="宋体" w:eastAsia="宋体" w:cs="宋体"/>
                <w:kern w:val="0"/>
                <w:szCs w:val="21"/>
                <w:lang w:bidi="ar"/>
              </w:rPr>
              <w:t>业绩合同2个及以下不得分，2个合同的基础上，每增加1个合同得2分，本项最高得6分。</w:t>
            </w:r>
          </w:p>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普通合同须提供合同关键页扫描件，框架合同须提供框架合同关键页及订单或结算证明关键页的扫描件，每份合同至少提供一张发票扫描件。备注：合同可复用。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1" w:type="pct"/>
            <w:vMerge w:val="restar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服务能力（</w:t>
            </w:r>
            <w:r>
              <w:rPr>
                <w:rFonts w:ascii="宋体" w:hAnsi="宋体" w:eastAsia="宋体" w:cs="宋体"/>
                <w:kern w:val="0"/>
                <w:szCs w:val="21"/>
                <w:lang w:bidi="ar"/>
              </w:rPr>
              <w:t>2</w:t>
            </w:r>
            <w:r>
              <w:rPr>
                <w:rFonts w:hint="eastAsia" w:ascii="宋体" w:hAnsi="宋体" w:eastAsia="宋体" w:cs="宋体"/>
                <w:kern w:val="0"/>
                <w:szCs w:val="21"/>
                <w:lang w:val="en-US" w:eastAsia="zh-CN" w:bidi="ar"/>
              </w:rPr>
              <w:t>1</w:t>
            </w:r>
            <w:r>
              <w:rPr>
                <w:rFonts w:hint="eastAsia" w:ascii="宋体" w:hAnsi="宋体" w:eastAsia="宋体" w:cs="宋体"/>
                <w:kern w:val="0"/>
                <w:szCs w:val="21"/>
                <w:lang w:bidi="ar"/>
              </w:rPr>
              <w:t>分）</w:t>
            </w: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服务能力</w:t>
            </w:r>
          </w:p>
        </w:tc>
        <w:tc>
          <w:tcPr>
            <w:tcW w:w="396"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val="en-US" w:eastAsia="zh-CN" w:bidi="ar"/>
              </w:rPr>
            </w:pPr>
            <w:r>
              <w:rPr>
                <w:rFonts w:ascii="宋体" w:hAnsi="宋体" w:eastAsia="宋体" w:cs="宋体"/>
                <w:kern w:val="0"/>
                <w:szCs w:val="21"/>
                <w:lang w:bidi="ar"/>
              </w:rPr>
              <w:t>5</w:t>
            </w:r>
            <w:r>
              <w:rPr>
                <w:rFonts w:hint="eastAsia" w:ascii="宋体" w:hAnsi="宋体" w:eastAsia="宋体" w:cs="宋体"/>
                <w:kern w:val="0"/>
                <w:szCs w:val="21"/>
                <w:lang w:val="en-US" w:eastAsia="zh-CN" w:bidi="ar"/>
              </w:rPr>
              <w:t>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1.承诺可在采购方现场提供7*24小时驻场服务的得3分；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2.承诺可在特殊情况下4小时内进行响应并安排人员到达现场的，得</w:t>
            </w: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分.</w:t>
            </w:r>
          </w:p>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1、2得分累加。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41" w:type="pct"/>
            <w:vMerge w:val="continue"/>
            <w:vAlign w:val="center"/>
          </w:tcPr>
          <w:p>
            <w:pPr>
              <w:widowControl/>
              <w:tabs>
                <w:tab w:val="left" w:pos="0"/>
              </w:tabs>
              <w:spacing w:line="360" w:lineRule="auto"/>
              <w:jc w:val="left"/>
              <w:rPr>
                <w:rFonts w:ascii="宋体" w:hAnsi="宋体" w:eastAsia="宋体" w:cs="宋体"/>
                <w:kern w:val="0"/>
                <w:sz w:val="21"/>
                <w:szCs w:val="21"/>
                <w:lang w:bidi="ar"/>
              </w:rPr>
            </w:pP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企业文化认同</w:t>
            </w:r>
          </w:p>
        </w:tc>
        <w:tc>
          <w:tcPr>
            <w:tcW w:w="396"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val="en-US" w:eastAsia="zh-CN" w:bidi="ar"/>
              </w:rPr>
            </w:pPr>
            <w:r>
              <w:rPr>
                <w:rFonts w:ascii="宋体" w:hAnsi="宋体" w:eastAsia="宋体" w:cs="宋体"/>
                <w:kern w:val="0"/>
                <w:szCs w:val="21"/>
                <w:lang w:bidi="ar"/>
              </w:rPr>
              <w:t>5</w:t>
            </w:r>
            <w:r>
              <w:rPr>
                <w:rFonts w:hint="eastAsia" w:ascii="宋体" w:hAnsi="宋体" w:eastAsia="宋体" w:cs="宋体"/>
                <w:kern w:val="0"/>
                <w:szCs w:val="21"/>
                <w:lang w:val="en-US" w:eastAsia="zh-CN" w:bidi="ar"/>
              </w:rPr>
              <w:t>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团队服务人员应遵守甲方的规章制度和管理办法，维护人员做到： </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（1）</w:t>
            </w:r>
            <w:r>
              <w:rPr>
                <w:rFonts w:hint="eastAsia" w:ascii="宋体" w:hAnsi="宋体" w:eastAsia="宋体" w:cs="宋体"/>
                <w:color w:val="auto"/>
                <w:kern w:val="0"/>
                <w:szCs w:val="21"/>
                <w:lang w:bidi="ar"/>
              </w:rPr>
              <w:t xml:space="preserve"> 遵守中国重汽的作息制度上下班，不得无故旷工；</w:t>
            </w:r>
            <w:r>
              <w:rPr>
                <w:rFonts w:hint="eastAsia" w:ascii="宋体" w:hAnsi="宋体" w:eastAsia="宋体" w:cs="宋体"/>
                <w:kern w:val="0"/>
                <w:szCs w:val="21"/>
                <w:lang w:bidi="ar"/>
              </w:rPr>
              <w:t xml:space="preserve"> </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（2） 服从甲方项目工作安排，并积极主动完成任务，具备良好的敬业精神；</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eastAsia="zh-CN" w:bidi="ar"/>
              </w:rPr>
              <w:t>（</w:t>
            </w:r>
            <w:r>
              <w:rPr>
                <w:rFonts w:hint="eastAsia" w:ascii="宋体" w:hAnsi="宋体" w:eastAsia="宋体" w:cs="宋体"/>
                <w:kern w:val="0"/>
                <w:szCs w:val="21"/>
                <w:lang w:bidi="ar"/>
              </w:rPr>
              <w:t>3</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 xml:space="preserve">如有特殊情况需要回公司或短时间内出差解决其他问题，必须向甲方项目经理申请，得到批准后方可离开； </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（4） 现场服务人员应保证手机畅通，提供7×24小时的响应</w:t>
            </w:r>
          </w:p>
          <w:p>
            <w:r>
              <w:rPr>
                <w:rFonts w:hint="eastAsia" w:ascii="宋体" w:hAnsi="宋体" w:eastAsia="宋体" w:cs="宋体"/>
                <w:kern w:val="0"/>
                <w:szCs w:val="21"/>
                <w:lang w:bidi="ar"/>
              </w:rPr>
              <w:t>满足得5分，不满足不得分</w:t>
            </w:r>
          </w:p>
          <w:p>
            <w:pPr>
              <w:widowControl/>
              <w:tabs>
                <w:tab w:val="left" w:pos="0"/>
              </w:tabs>
              <w:spacing w:line="360" w:lineRule="auto"/>
              <w:jc w:val="left"/>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1" w:type="pct"/>
            <w:vMerge w:val="continue"/>
            <w:vAlign w:val="center"/>
          </w:tcPr>
          <w:p>
            <w:pPr>
              <w:widowControl/>
              <w:tabs>
                <w:tab w:val="left" w:pos="0"/>
              </w:tabs>
              <w:spacing w:line="360" w:lineRule="auto"/>
              <w:jc w:val="left"/>
              <w:rPr>
                <w:rFonts w:ascii="宋体" w:hAnsi="宋体" w:eastAsia="宋体" w:cs="宋体"/>
                <w:kern w:val="0"/>
                <w:sz w:val="21"/>
                <w:szCs w:val="21"/>
                <w:lang w:bidi="ar"/>
              </w:rPr>
            </w:pP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本地化服务机构</w:t>
            </w:r>
          </w:p>
        </w:tc>
        <w:tc>
          <w:tcPr>
            <w:tcW w:w="396" w:type="pct"/>
            <w:shd w:val="clear" w:color="auto" w:fill="auto"/>
            <w:vAlign w:val="center"/>
          </w:tcPr>
          <w:p>
            <w:pPr>
              <w:widowControl/>
              <w:tabs>
                <w:tab w:val="left" w:pos="0"/>
              </w:tabs>
              <w:spacing w:line="360" w:lineRule="auto"/>
              <w:jc w:val="left"/>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1.投标人在济南有本地化服务机构，或承诺中标后10日内成立的，得</w:t>
            </w:r>
            <w:r>
              <w:rPr>
                <w:rFonts w:hint="eastAsia" w:ascii="宋体" w:hAnsi="宋体" w:eastAsia="宋体" w:cs="宋体"/>
                <w:kern w:val="0"/>
                <w:szCs w:val="21"/>
                <w:lang w:val="en-US" w:eastAsia="zh-CN" w:bidi="ar"/>
              </w:rPr>
              <w:t>3</w:t>
            </w:r>
            <w:r>
              <w:rPr>
                <w:rFonts w:hint="eastAsia" w:ascii="宋体" w:hAnsi="宋体" w:eastAsia="宋体" w:cs="宋体"/>
                <w:kern w:val="0"/>
                <w:szCs w:val="21"/>
                <w:lang w:bidi="ar"/>
              </w:rPr>
              <w:t>分；</w:t>
            </w:r>
          </w:p>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2.其他不得分。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41" w:type="pct"/>
            <w:vMerge w:val="continue"/>
            <w:vAlign w:val="center"/>
          </w:tcPr>
          <w:p>
            <w:pPr>
              <w:widowControl/>
              <w:tabs>
                <w:tab w:val="left" w:pos="0"/>
              </w:tabs>
              <w:spacing w:line="360" w:lineRule="auto"/>
              <w:jc w:val="left"/>
              <w:rPr>
                <w:rFonts w:ascii="宋体" w:hAnsi="宋体" w:eastAsia="宋体" w:cs="宋体"/>
                <w:kern w:val="0"/>
                <w:sz w:val="21"/>
                <w:szCs w:val="21"/>
                <w:lang w:bidi="ar"/>
              </w:rPr>
            </w:pP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提供咨询服务</w:t>
            </w:r>
          </w:p>
        </w:tc>
        <w:tc>
          <w:tcPr>
            <w:tcW w:w="396" w:type="pct"/>
            <w:shd w:val="clear" w:color="auto" w:fill="auto"/>
            <w:vAlign w:val="center"/>
          </w:tcPr>
          <w:p>
            <w:pPr>
              <w:widowControl/>
              <w:tabs>
                <w:tab w:val="left" w:pos="0"/>
              </w:tabs>
              <w:spacing w:line="360" w:lineRule="auto"/>
              <w:jc w:val="left"/>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8分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1.投标人能够提供项目行业优秀解决方案得</w:t>
            </w: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分，提供一般解决方案得</w:t>
            </w: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分不能提供不得分。</w:t>
            </w:r>
          </w:p>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2.投标人能够提供项目架构选型、能够提供正向开发流程体系得</w:t>
            </w: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1" w:type="pct"/>
            <w:vMerge w:val="restart"/>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人员综合能力（</w:t>
            </w:r>
            <w:r>
              <w:rPr>
                <w:rFonts w:hint="eastAsia" w:ascii="宋体" w:hAnsi="宋体" w:eastAsia="宋体" w:cs="宋体"/>
                <w:kern w:val="0"/>
                <w:szCs w:val="21"/>
                <w:lang w:val="en-US" w:eastAsia="zh-CN" w:bidi="ar"/>
              </w:rPr>
              <w:t>30分</w:t>
            </w:r>
            <w:r>
              <w:rPr>
                <w:rFonts w:hint="eastAsia" w:ascii="宋体" w:hAnsi="宋体" w:eastAsia="宋体" w:cs="宋体"/>
                <w:kern w:val="0"/>
                <w:szCs w:val="21"/>
                <w:lang w:bidi="ar"/>
              </w:rPr>
              <w:t>）</w:t>
            </w:r>
          </w:p>
        </w:tc>
        <w:tc>
          <w:tcPr>
            <w:tcW w:w="732"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人员技术要求</w:t>
            </w:r>
          </w:p>
        </w:tc>
        <w:tc>
          <w:tcPr>
            <w:tcW w:w="396"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1</w:t>
            </w:r>
            <w:r>
              <w:rPr>
                <w:rFonts w:ascii="宋体" w:hAnsi="宋体" w:eastAsia="宋体" w:cs="宋体"/>
                <w:kern w:val="0"/>
                <w:szCs w:val="21"/>
                <w:lang w:bidi="ar"/>
              </w:rPr>
              <w:t>5</w:t>
            </w:r>
            <w:r>
              <w:rPr>
                <w:rFonts w:hint="eastAsia" w:ascii="宋体" w:hAnsi="宋体" w:eastAsia="宋体" w:cs="宋体"/>
                <w:kern w:val="0"/>
                <w:szCs w:val="21"/>
                <w:lang w:val="en-US" w:eastAsia="zh-CN" w:bidi="ar"/>
              </w:rPr>
              <w:t>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考察应答人为本项目提供的驻场工程师数量及资格（不含项目负责人）。</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A、熟悉SAP各模块(MDG、SRM、PP、APO、MM、EWM、FI\CO、SD、QM、BPM、SSF、WebDynpro、Fiori、HANA、PO</w:t>
            </w:r>
            <w:r>
              <w:rPr>
                <w:rFonts w:ascii="宋体" w:hAnsi="宋体" w:eastAsia="宋体" w:cs="宋体"/>
                <w:kern w:val="0"/>
                <w:szCs w:val="21"/>
                <w:lang w:bidi="ar"/>
              </w:rPr>
              <w:t>)</w:t>
            </w:r>
            <w:r>
              <w:rPr>
                <w:rFonts w:hint="eastAsia" w:ascii="宋体" w:hAnsi="宋体" w:eastAsia="宋体" w:cs="宋体"/>
                <w:kern w:val="0"/>
                <w:szCs w:val="21"/>
                <w:lang w:bidi="ar"/>
              </w:rPr>
              <w:t>的整体业务流程，精通SAP系统客户化开发的相关技术，能根据用户需求编制合理的解决方案，独立完成开发等工作，每人5分；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B、熟悉SAP</w:t>
            </w:r>
            <w:r>
              <w:rPr>
                <w:rFonts w:ascii="宋体" w:hAnsi="宋体" w:eastAsia="宋体" w:cs="宋体"/>
                <w:kern w:val="0"/>
                <w:szCs w:val="21"/>
                <w:lang w:bidi="ar"/>
              </w:rPr>
              <w:t xml:space="preserve"> </w:t>
            </w:r>
            <w:r>
              <w:rPr>
                <w:rFonts w:hint="eastAsia" w:ascii="宋体" w:hAnsi="宋体" w:eastAsia="宋体" w:cs="宋体"/>
                <w:kern w:val="0"/>
                <w:szCs w:val="21"/>
                <w:lang w:bidi="ar"/>
              </w:rPr>
              <w:t>大部分模块（不少于</w:t>
            </w:r>
            <w:r>
              <w:rPr>
                <w:rFonts w:ascii="宋体" w:hAnsi="宋体" w:eastAsia="宋体" w:cs="宋体"/>
                <w:kern w:val="0"/>
                <w:szCs w:val="21"/>
                <w:lang w:bidi="ar"/>
              </w:rPr>
              <w:t>5</w:t>
            </w:r>
            <w:r>
              <w:rPr>
                <w:rFonts w:hint="eastAsia" w:ascii="宋体" w:hAnsi="宋体" w:eastAsia="宋体" w:cs="宋体"/>
                <w:kern w:val="0"/>
                <w:szCs w:val="21"/>
                <w:lang w:bidi="ar"/>
              </w:rPr>
              <w:t>）整体业务流程，能根据用户需求编制合理的解决方案，独立完成开发等工作，每人3分；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C、熟悉SAP</w:t>
            </w:r>
            <w:r>
              <w:rPr>
                <w:rFonts w:ascii="宋体" w:hAnsi="宋体" w:eastAsia="宋体" w:cs="宋体"/>
                <w:kern w:val="0"/>
                <w:szCs w:val="21"/>
                <w:lang w:bidi="ar"/>
              </w:rPr>
              <w:t xml:space="preserve"> </w:t>
            </w:r>
            <w:r>
              <w:rPr>
                <w:rFonts w:hint="eastAsia" w:ascii="宋体" w:hAnsi="宋体" w:eastAsia="宋体" w:cs="宋体"/>
                <w:kern w:val="0"/>
                <w:szCs w:val="21"/>
                <w:lang w:bidi="ar"/>
              </w:rPr>
              <w:t>特定模块整体业务流程，能根据用户需求编制合理的解决方案，独立完成开发等工作，每人2分。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提供社保证明、认证证书扫描件。人员可与企业综合实力中的人员复用。社保证明同“企业综合实力”中人员的社保要求。本项最高得1</w:t>
            </w:r>
            <w:r>
              <w:rPr>
                <w:rFonts w:ascii="宋体" w:hAnsi="宋体" w:eastAsia="宋体" w:cs="宋体"/>
                <w:kern w:val="0"/>
                <w:szCs w:val="21"/>
                <w:lang w:bidi="ar"/>
              </w:rPr>
              <w:t>5</w:t>
            </w:r>
            <w:r>
              <w:rPr>
                <w:rFonts w:hint="eastAsia" w:ascii="宋体" w:hAnsi="宋体" w:eastAsia="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1" w:type="pct"/>
            <w:vMerge w:val="continue"/>
            <w:vAlign w:val="center"/>
          </w:tcPr>
          <w:p>
            <w:pPr>
              <w:widowControl/>
              <w:tabs>
                <w:tab w:val="left" w:pos="0"/>
              </w:tabs>
              <w:spacing w:line="360" w:lineRule="auto"/>
              <w:jc w:val="left"/>
              <w:rPr>
                <w:rFonts w:hint="eastAsia" w:ascii="宋体" w:hAnsi="宋体" w:eastAsia="宋体" w:cs="宋体"/>
                <w:kern w:val="0"/>
                <w:szCs w:val="21"/>
                <w:lang w:bidi="ar"/>
              </w:rPr>
            </w:pPr>
          </w:p>
        </w:tc>
        <w:tc>
          <w:tcPr>
            <w:tcW w:w="732"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人员项目经验</w:t>
            </w:r>
          </w:p>
        </w:tc>
        <w:tc>
          <w:tcPr>
            <w:tcW w:w="396"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1</w:t>
            </w:r>
            <w:r>
              <w:rPr>
                <w:rFonts w:ascii="宋体" w:hAnsi="宋体" w:eastAsia="宋体" w:cs="宋体"/>
                <w:kern w:val="0"/>
                <w:szCs w:val="21"/>
                <w:lang w:bidi="ar"/>
              </w:rPr>
              <w:t>5</w:t>
            </w:r>
            <w:r>
              <w:rPr>
                <w:rFonts w:hint="eastAsia" w:ascii="宋体" w:hAnsi="宋体" w:eastAsia="宋体" w:cs="宋体"/>
                <w:kern w:val="0"/>
                <w:szCs w:val="21"/>
                <w:lang w:val="en-US" w:eastAsia="zh-CN" w:bidi="ar"/>
              </w:rPr>
              <w:t>分</w:t>
            </w:r>
          </w:p>
        </w:tc>
        <w:tc>
          <w:tcPr>
            <w:tcW w:w="3229"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考察应答人为本项目提供的驻场工程师数量及资格（不含项目负责人）。</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A、具有8年（含）ABAP开发经验的工程师，不少于</w:t>
            </w:r>
            <w:r>
              <w:rPr>
                <w:rFonts w:hint="eastAsia" w:ascii="宋体" w:hAnsi="宋体" w:eastAsia="宋体" w:cs="宋体"/>
                <w:kern w:val="0"/>
                <w:szCs w:val="21"/>
                <w:lang w:val="en-US" w:eastAsia="zh-CN" w:bidi="ar"/>
              </w:rPr>
              <w:t>4</w:t>
            </w:r>
            <w:r>
              <w:rPr>
                <w:rFonts w:hint="eastAsia" w:ascii="宋体" w:hAnsi="宋体" w:eastAsia="宋体" w:cs="宋体"/>
                <w:kern w:val="0"/>
                <w:szCs w:val="21"/>
                <w:lang w:bidi="ar"/>
              </w:rPr>
              <w:t>个大型</w:t>
            </w:r>
            <w:r>
              <w:rPr>
                <w:rFonts w:hint="eastAsia" w:ascii="宋体" w:hAnsi="宋体" w:eastAsia="宋体" w:cs="宋体"/>
                <w:kern w:val="0"/>
                <w:szCs w:val="21"/>
                <w:lang w:val="en-US" w:eastAsia="zh-CN" w:bidi="ar"/>
              </w:rPr>
              <w:t>制造行业</w:t>
            </w:r>
            <w:r>
              <w:rPr>
                <w:rFonts w:hint="eastAsia" w:ascii="宋体" w:hAnsi="宋体" w:eastAsia="宋体" w:cs="宋体"/>
                <w:kern w:val="0"/>
                <w:szCs w:val="21"/>
                <w:lang w:bidi="ar"/>
              </w:rPr>
              <w:t>完整项目开发经历，每人5分；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B、具有5年（含）至8年（不含）ABAP开发经验的工程师，不少于</w:t>
            </w:r>
            <w:r>
              <w:rPr>
                <w:rFonts w:hint="eastAsia" w:ascii="宋体" w:hAnsi="宋体" w:eastAsia="宋体" w:cs="宋体"/>
                <w:kern w:val="0"/>
                <w:szCs w:val="21"/>
                <w:lang w:val="en-US" w:eastAsia="zh-CN" w:bidi="ar"/>
              </w:rPr>
              <w:t>2</w:t>
            </w:r>
            <w:r>
              <w:rPr>
                <w:rFonts w:hint="eastAsia" w:ascii="宋体" w:hAnsi="宋体" w:eastAsia="宋体" w:cs="宋体"/>
                <w:kern w:val="0"/>
                <w:szCs w:val="21"/>
                <w:lang w:bidi="ar"/>
              </w:rPr>
              <w:t>个</w:t>
            </w:r>
            <w:r>
              <w:rPr>
                <w:rFonts w:hint="eastAsia" w:ascii="宋体" w:hAnsi="宋体" w:eastAsia="宋体" w:cs="宋体"/>
                <w:kern w:val="0"/>
                <w:szCs w:val="21"/>
                <w:lang w:val="en-US" w:eastAsia="zh-CN" w:bidi="ar"/>
              </w:rPr>
              <w:t>大型制造行业</w:t>
            </w:r>
            <w:r>
              <w:rPr>
                <w:rFonts w:hint="eastAsia" w:ascii="宋体" w:hAnsi="宋体" w:eastAsia="宋体" w:cs="宋体"/>
                <w:kern w:val="0"/>
                <w:szCs w:val="21"/>
                <w:lang w:bidi="ar"/>
              </w:rPr>
              <w:t>完整项目经历，每人3分；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C、具有3年（含）至5年（不含）ABAP开发经验的工程师，不少于</w:t>
            </w:r>
            <w:r>
              <w:rPr>
                <w:rFonts w:hint="eastAsia" w:ascii="宋体" w:hAnsi="宋体" w:eastAsia="宋体" w:cs="宋体"/>
                <w:kern w:val="0"/>
                <w:szCs w:val="21"/>
                <w:lang w:val="en-US" w:eastAsia="zh-CN" w:bidi="ar"/>
              </w:rPr>
              <w:t>1个大型制造行业</w:t>
            </w:r>
            <w:r>
              <w:rPr>
                <w:rFonts w:hint="eastAsia" w:ascii="宋体" w:hAnsi="宋体" w:eastAsia="宋体" w:cs="宋体"/>
                <w:kern w:val="0"/>
                <w:szCs w:val="21"/>
                <w:lang w:bidi="ar"/>
              </w:rPr>
              <w:t>完整项目经历，每人2分。</w:t>
            </w:r>
          </w:p>
          <w:p>
            <w:pPr>
              <w:widowControl/>
              <w:tabs>
                <w:tab w:val="left" w:pos="0"/>
              </w:tabs>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提供社保证明、认证证书扫描件。人员可与企业综合实力中的人员复用。社保证明同“企业综合实力”中人员的社保要求。本项最高得1</w:t>
            </w:r>
            <w:r>
              <w:rPr>
                <w:rFonts w:ascii="宋体" w:hAnsi="宋体" w:eastAsia="宋体" w:cs="宋体"/>
                <w:kern w:val="0"/>
                <w:szCs w:val="21"/>
                <w:lang w:bidi="ar"/>
              </w:rPr>
              <w:t>5</w:t>
            </w:r>
            <w:r>
              <w:rPr>
                <w:rFonts w:hint="eastAsia" w:ascii="宋体" w:hAnsi="宋体" w:eastAsia="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1" w:type="pct"/>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价格（30分）</w:t>
            </w:r>
          </w:p>
        </w:tc>
        <w:tc>
          <w:tcPr>
            <w:tcW w:w="732"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价格比重</w:t>
            </w:r>
          </w:p>
        </w:tc>
        <w:tc>
          <w:tcPr>
            <w:tcW w:w="396" w:type="pct"/>
            <w:shd w:val="clear" w:color="auto" w:fill="auto"/>
            <w:vAlign w:val="center"/>
          </w:tcPr>
          <w:p>
            <w:pPr>
              <w:widowControl/>
              <w:tabs>
                <w:tab w:val="left" w:pos="0"/>
              </w:tabs>
              <w:spacing w:line="360" w:lineRule="auto"/>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30</w:t>
            </w:r>
            <w:r>
              <w:rPr>
                <w:rFonts w:hint="eastAsia" w:ascii="宋体" w:hAnsi="宋体" w:eastAsia="宋体" w:cs="宋体"/>
                <w:kern w:val="0"/>
                <w:szCs w:val="21"/>
                <w:lang w:val="en-US" w:eastAsia="zh-CN" w:bidi="ar"/>
              </w:rPr>
              <w:t>分</w:t>
            </w:r>
          </w:p>
        </w:tc>
        <w:tc>
          <w:tcPr>
            <w:tcW w:w="3229" w:type="pct"/>
            <w:shd w:val="clear" w:color="auto" w:fill="auto"/>
            <w:vAlign w:val="center"/>
          </w:tcPr>
          <w:p>
            <w:pPr>
              <w:widowControl/>
              <w:tabs>
                <w:tab w:val="left" w:pos="0"/>
              </w:tabs>
              <w:spacing w:line="360" w:lineRule="auto"/>
              <w:jc w:val="left"/>
              <w:rPr>
                <w:rFonts w:ascii="宋体" w:hAnsi="宋体" w:eastAsia="宋体" w:cs="宋体"/>
                <w:kern w:val="0"/>
                <w:szCs w:val="21"/>
                <w:lang w:bidi="ar"/>
              </w:rPr>
            </w:pPr>
            <w:r>
              <w:rPr>
                <w:rFonts w:hint="eastAsia" w:ascii="宋体" w:hAnsi="宋体" w:eastAsia="宋体" w:cs="宋体"/>
                <w:kern w:val="0"/>
                <w:szCs w:val="21"/>
                <w:lang w:val="en-US" w:eastAsia="zh-CN" w:bidi="ar"/>
              </w:rPr>
              <w:t>1</w:t>
            </w:r>
            <w:r>
              <w:rPr>
                <w:rFonts w:hint="eastAsia" w:ascii="宋体" w:hAnsi="宋体" w:eastAsia="宋体" w:cs="宋体"/>
                <w:kern w:val="0"/>
                <w:szCs w:val="21"/>
                <w:lang w:bidi="ar"/>
              </w:rPr>
              <w:t>.经初审合格的投标文件其投标报价为有效报价。满足招标文件要求且投标报价最低的投标报价为评标基准价，其价格分为满分（标准分）。其他投标人的价格分统一按照下列公式计算：投标报价得分=(评标基准价／投标报价)×30。2.评标价格均以元（RMB）为单位计算，百分率、得分值小数点后保留二位，第三位四舍五入。</w:t>
            </w:r>
          </w:p>
        </w:tc>
      </w:tr>
    </w:tbl>
    <w:p>
      <w:pPr>
        <w:tabs>
          <w:tab w:val="left" w:pos="0"/>
        </w:tabs>
        <w:spacing w:line="360" w:lineRule="auto"/>
        <w:jc w:val="center"/>
        <w:rPr>
          <w:rFonts w:ascii="宋体" w:hAnsi="宋体" w:eastAsia="宋体" w:cs="宋体"/>
          <w:b/>
          <w:bCs/>
          <w:kern w:val="0"/>
          <w:sz w:val="24"/>
          <w:lang w:bidi="ar"/>
        </w:rPr>
      </w:pPr>
    </w:p>
    <w:p>
      <w:pPr>
        <w:pStyle w:val="22"/>
        <w:keepNext w:val="0"/>
        <w:widowControl/>
        <w:numPr>
          <w:ilvl w:val="1"/>
          <w:numId w:val="0"/>
        </w:numPr>
        <w:ind w:firstLine="562" w:firstLineChars="200"/>
      </w:pPr>
      <w:bookmarkStart w:id="58" w:name="_Toc264881861"/>
      <w:bookmarkStart w:id="59" w:name="_Toc234922356"/>
      <w:bookmarkStart w:id="60" w:name="_Toc265850581"/>
      <w:bookmarkStart w:id="61" w:name="_Toc6617"/>
      <w:r>
        <w:rPr>
          <w:rFonts w:hint="eastAsia" w:cs="宋体"/>
        </w:rPr>
        <w:t>8.1中标</w:t>
      </w:r>
      <w:bookmarkEnd w:id="58"/>
      <w:bookmarkEnd w:id="59"/>
      <w:bookmarkEnd w:id="60"/>
      <w:r>
        <w:rPr>
          <w:rFonts w:hint="eastAsia" w:cs="宋体"/>
        </w:rPr>
        <w:t>及合同签订</w:t>
      </w:r>
      <w:bookmarkEnd w:id="61"/>
    </w:p>
    <w:p>
      <w:pPr>
        <w:pStyle w:val="23"/>
        <w:widowControl/>
        <w:numPr>
          <w:ilvl w:val="0"/>
          <w:numId w:val="19"/>
        </w:numPr>
      </w:pPr>
      <w:bookmarkStart w:id="62" w:name="_Toc265850587"/>
      <w:r>
        <w:rPr>
          <w:rFonts w:hint="eastAsia" w:cs="宋体"/>
        </w:rPr>
        <w:t>招标人根据竞争性谈判结果确定中标人，并通知中标人；招标人不承诺将合同授予报价最低的投标人。</w:t>
      </w:r>
    </w:p>
    <w:p>
      <w:pPr>
        <w:pStyle w:val="23"/>
        <w:widowControl/>
        <w:numPr>
          <w:ilvl w:val="0"/>
          <w:numId w:val="19"/>
        </w:numPr>
      </w:pPr>
      <w:r>
        <w:rPr>
          <w:rFonts w:hint="eastAsia" w:cs="宋体"/>
        </w:rPr>
        <w:t>本项目每包</w:t>
      </w:r>
      <w:r>
        <w:rPr>
          <w:szCs w:val="24"/>
        </w:rPr>
        <w:t>根据投标人资质及专家组评分按分值</w:t>
      </w:r>
      <w:r>
        <w:rPr>
          <w:rFonts w:hint="eastAsia"/>
          <w:szCs w:val="24"/>
        </w:rPr>
        <w:t>取不超过三名厂家进入</w:t>
      </w:r>
      <w:r>
        <w:rPr>
          <w:szCs w:val="24"/>
        </w:rPr>
        <w:t>服务商名录</w:t>
      </w:r>
      <w:r>
        <w:rPr>
          <w:rFonts w:hint="eastAsia" w:cs="宋体"/>
        </w:rPr>
        <w:t>。</w:t>
      </w:r>
    </w:p>
    <w:p>
      <w:pPr>
        <w:pStyle w:val="23"/>
        <w:widowControl/>
        <w:numPr>
          <w:ilvl w:val="0"/>
          <w:numId w:val="19"/>
        </w:numPr>
      </w:pPr>
      <w:r>
        <w:rPr>
          <w:rFonts w:hint="eastAsia" w:cs="宋体"/>
        </w:rPr>
        <w:t>招标人发送《中标通知书》给中标人，中标人应及时与招标人联系，在规定的时间内与招标单位签订合同。如果中标人接到《中标通知书》后，无不正当理由拒签合同、在签订合同时向招标人提出无理附加条件的，取消该投标人的入围资格，该投标人</w:t>
      </w:r>
      <w:r>
        <w:t>2</w:t>
      </w:r>
      <w:r>
        <w:rPr>
          <w:rFonts w:hint="eastAsia" w:cs="宋体"/>
        </w:rPr>
        <w:t>年不得参与中国重汽集团济南动力有限公司发布的招投标项目。</w:t>
      </w:r>
    </w:p>
    <w:p>
      <w:pPr>
        <w:pStyle w:val="23"/>
        <w:widowControl/>
        <w:numPr>
          <w:ilvl w:val="0"/>
          <w:numId w:val="19"/>
        </w:numPr>
      </w:pPr>
      <w:r>
        <w:rPr>
          <w:rFonts w:hint="eastAsia" w:cs="宋体"/>
        </w:rPr>
        <w:t>中标人应当按照合同约定的履约责任，在保证质量的前提下完成中标项目，不得将中标项目转包或分包给他人，否则视为违约，招标人有权解除合同。</w:t>
      </w:r>
    </w:p>
    <w:p>
      <w:pPr>
        <w:pStyle w:val="23"/>
        <w:widowControl/>
        <w:numPr>
          <w:ilvl w:val="0"/>
          <w:numId w:val="19"/>
        </w:numPr>
      </w:pPr>
      <w:r>
        <w:rPr>
          <w:rFonts w:hint="eastAsia" w:cs="宋体"/>
        </w:rPr>
        <w:t>在履行合同过程中，中标人由于履行义务的能力或信用有严重缺陷，招标人有权取消其中标资格，招标人将从中标候选单位中依序重新确定中标人，或重新组织招标。</w:t>
      </w:r>
    </w:p>
    <w:p>
      <w:pPr>
        <w:pStyle w:val="22"/>
        <w:keepNext w:val="0"/>
        <w:widowControl/>
        <w:numPr>
          <w:ilvl w:val="1"/>
          <w:numId w:val="0"/>
        </w:numPr>
        <w:ind w:firstLine="562" w:firstLineChars="200"/>
      </w:pPr>
      <w:bookmarkStart w:id="63" w:name="_Toc31901"/>
      <w:r>
        <w:rPr>
          <w:rFonts w:hint="eastAsia" w:cs="宋体"/>
        </w:rPr>
        <w:t>8.2废标</w:t>
      </w:r>
      <w:bookmarkEnd w:id="63"/>
    </w:p>
    <w:p>
      <w:pPr>
        <w:spacing w:line="520" w:lineRule="exact"/>
        <w:ind w:right="2" w:firstLine="210"/>
        <w:rPr>
          <w:rFonts w:ascii="Times New Roman" w:hAnsi="Times New Roman" w:cs="Times New Roman"/>
          <w:sz w:val="24"/>
          <w:szCs w:val="22"/>
        </w:rPr>
      </w:pP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（1）投标人提供的有关资格、资质证明文件不合格、不真实或提供虚假投标材料；</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（2）投标人在报价有效期内撤回投标；</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（3）在整个评标过程中，投标人有企图影响评标结果公正性的任何活动；</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（4）投标人以任何方式诋毁其他投标人；</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（5）投标人串通投标；</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（6）以他人名义投标或者以其他方式弄虚作假，骗取中标的；</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（7）法律、法规规定的其他情况。</w:t>
      </w:r>
    </w:p>
    <w:p>
      <w:pPr>
        <w:spacing w:line="520" w:lineRule="exact"/>
        <w:ind w:right="2" w:firstLine="210"/>
        <w:rPr>
          <w:rFonts w:ascii="宋体" w:hAnsi="Courier New" w:eastAsia="宋体" w:cs="宋体"/>
          <w:sz w:val="24"/>
          <w:szCs w:val="22"/>
        </w:rPr>
      </w:pPr>
      <w:r>
        <w:rPr>
          <w:rFonts w:hint="eastAsia" w:ascii="宋体" w:hAnsi="Courier New" w:eastAsia="宋体" w:cs="宋体"/>
          <w:sz w:val="24"/>
          <w:szCs w:val="22"/>
          <w:lang w:bidi="ar"/>
        </w:rPr>
        <w:t>2、出现下列情形之一，招标人有权否决所有投标人的投标，并终止招标</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（1）出现影响采购公正的违法、违规行为的；</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（2）评标委员会经评审，认为所有投标都不符合招标文件要求的；</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lang w:bidi="ar"/>
        </w:rPr>
        <w:t>（3）因重大变故，采购任务取消的；</w:t>
      </w:r>
    </w:p>
    <w:p>
      <w:pPr>
        <w:spacing w:line="520" w:lineRule="exact"/>
        <w:ind w:right="2" w:firstLine="480" w:firstLineChars="200"/>
        <w:rPr>
          <w:rFonts w:ascii="宋体" w:hAnsi="Courier New" w:eastAsia="宋体" w:cs="宋体"/>
          <w:sz w:val="24"/>
          <w:szCs w:val="22"/>
          <w:lang w:bidi="ar"/>
        </w:rPr>
      </w:pPr>
      <w:r>
        <w:rPr>
          <w:rFonts w:hint="eastAsia" w:ascii="宋体" w:hAnsi="Courier New" w:eastAsia="宋体" w:cs="宋体"/>
          <w:sz w:val="24"/>
          <w:szCs w:val="22"/>
          <w:lang w:bidi="ar"/>
        </w:rPr>
        <w:t>（4）符合条件的投标人或者对招标文件做实质响应的投标人不足三家的。</w:t>
      </w:r>
    </w:p>
    <w:p>
      <w:pPr>
        <w:pStyle w:val="22"/>
        <w:keepNext w:val="0"/>
        <w:widowControl/>
        <w:numPr>
          <w:ilvl w:val="1"/>
          <w:numId w:val="0"/>
        </w:numPr>
        <w:ind w:firstLine="562" w:firstLineChars="200"/>
        <w:rPr>
          <w:rFonts w:cs="宋体"/>
        </w:rPr>
      </w:pPr>
      <w:bookmarkStart w:id="64" w:name="_Toc5145"/>
      <w:r>
        <w:rPr>
          <w:rFonts w:hint="eastAsia" w:cs="宋体"/>
        </w:rPr>
        <w:t>8.3瑕疵滞后发现的处理</w:t>
      </w:r>
      <w:bookmarkEnd w:id="64"/>
    </w:p>
    <w:p>
      <w:pPr>
        <w:spacing w:line="520" w:lineRule="exact"/>
        <w:ind w:right="2" w:firstLine="480"/>
        <w:rPr>
          <w:rFonts w:ascii="宋体" w:cs="宋体"/>
          <w:sz w:val="24"/>
          <w:szCs w:val="22"/>
        </w:rPr>
      </w:pPr>
      <w:r>
        <w:rPr>
          <w:rFonts w:hint="eastAsia" w:ascii="宋体" w:hAnsi="Courier New" w:eastAsia="宋体" w:cs="宋体"/>
          <w:sz w:val="24"/>
          <w:szCs w:val="22"/>
          <w:lang w:bidi="ar"/>
        </w:rPr>
        <w:t xml:space="preserve">  </w:t>
      </w:r>
      <w:r>
        <w:rPr>
          <w:rFonts w:hint="eastAsia" w:ascii="宋体" w:eastAsia="宋体" w:cs="宋体"/>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pPr>
        <w:pStyle w:val="22"/>
        <w:numPr>
          <w:ilvl w:val="1"/>
          <w:numId w:val="0"/>
        </w:numPr>
        <w:ind w:firstLine="562" w:firstLineChars="200"/>
      </w:pPr>
      <w:bookmarkStart w:id="65" w:name="_Toc53753563"/>
      <w:bookmarkStart w:id="66" w:name="_Toc21242"/>
      <w:r>
        <w:rPr>
          <w:rFonts w:hint="eastAsia"/>
        </w:rPr>
        <w:t>8.4合同以双方最终签署的版本为准</w:t>
      </w:r>
      <w:bookmarkEnd w:id="65"/>
      <w:bookmarkEnd w:id="66"/>
    </w:p>
    <w:p>
      <w:pPr>
        <w:pStyle w:val="22"/>
        <w:keepNext w:val="0"/>
        <w:widowControl/>
        <w:numPr>
          <w:ilvl w:val="1"/>
          <w:numId w:val="0"/>
        </w:numPr>
        <w:ind w:firstLine="562" w:firstLineChars="200"/>
        <w:rPr>
          <w:rFonts w:cs="宋体"/>
          <w:color w:val="000000" w:themeColor="text1"/>
          <w14:textFill>
            <w14:solidFill>
              <w14:schemeClr w14:val="tx1"/>
            </w14:solidFill>
          </w14:textFill>
        </w:rPr>
      </w:pPr>
      <w:bookmarkStart w:id="67" w:name="_Toc64471680"/>
      <w:bookmarkStart w:id="68" w:name="_Toc30795"/>
      <w:r>
        <w:rPr>
          <w:rFonts w:hint="eastAsia" w:cs="宋体"/>
          <w:color w:val="000000" w:themeColor="text1"/>
          <w14:textFill>
            <w14:solidFill>
              <w14:schemeClr w14:val="tx1"/>
            </w14:solidFill>
          </w14:textFill>
        </w:rPr>
        <w:t>8.5解释权</w:t>
      </w:r>
      <w:bookmarkEnd w:id="67"/>
      <w:bookmarkEnd w:id="68"/>
    </w:p>
    <w:p>
      <w:pPr>
        <w:pStyle w:val="22"/>
        <w:keepNext w:val="0"/>
        <w:widowControl/>
        <w:numPr>
          <w:ilvl w:val="1"/>
          <w:numId w:val="0"/>
        </w:numPr>
        <w:ind w:firstLine="480" w:firstLineChars="200"/>
      </w:pPr>
      <w:bookmarkStart w:id="69" w:name="_Toc26015"/>
      <w:bookmarkStart w:id="70" w:name="_Toc19627"/>
      <w:bookmarkStart w:id="71" w:name="_Toc12773"/>
      <w:bookmarkStart w:id="72" w:name="_Toc31041"/>
      <w:bookmarkStart w:id="73" w:name="_Toc64471681"/>
      <w:r>
        <w:rPr>
          <w:rFonts w:hint="eastAsia" w:ascii="宋体" w:hAnsi="Calibri" w:cs="宋体"/>
          <w:b w:val="0"/>
          <w:bCs/>
          <w:color w:val="000000" w:themeColor="text1"/>
          <w:sz w:val="24"/>
          <w:szCs w:val="22"/>
          <w14:textFill>
            <w14:solidFill>
              <w14:schemeClr w14:val="tx1"/>
            </w14:solidFill>
          </w14:textFill>
        </w:rPr>
        <w:t>本招标文件的最终解释权归招标人，当对一个问题有多种解释时以招标人的书面解释为准。招标文件未做须知明示，而又有相关法律、法规规定的，招标人对此所做解释以相关的法律、法规规定为依据。</w:t>
      </w:r>
      <w:bookmarkEnd w:id="69"/>
      <w:bookmarkEnd w:id="70"/>
      <w:bookmarkEnd w:id="71"/>
      <w:bookmarkEnd w:id="72"/>
      <w:bookmarkEnd w:id="73"/>
    </w:p>
    <w:p>
      <w:pPr>
        <w:wordWrap w:val="0"/>
        <w:jc w:val="right"/>
        <w:rPr>
          <w:rFonts w:ascii="黑体" w:hAnsi="Calibri" w:eastAsia="黑体" w:cs="黑体"/>
          <w:sz w:val="28"/>
          <w:szCs w:val="28"/>
        </w:rPr>
      </w:pPr>
      <w:r>
        <w:rPr>
          <w:rFonts w:hint="eastAsia" w:ascii="黑体" w:hAnsi="Calibri" w:eastAsia="黑体" w:cs="黑体"/>
          <w:sz w:val="28"/>
          <w:szCs w:val="28"/>
          <w:lang w:bidi="ar"/>
        </w:rPr>
        <w:t xml:space="preserve">          </w:t>
      </w:r>
    </w:p>
    <w:p>
      <w:pPr>
        <w:pStyle w:val="19"/>
        <w:widowControl/>
        <w:ind w:firstLine="0" w:firstLineChars="0"/>
        <w:jc w:val="center"/>
      </w:pPr>
    </w:p>
    <w:p>
      <w:pPr>
        <w:pStyle w:val="19"/>
        <w:widowControl/>
        <w:ind w:firstLine="0" w:firstLineChars="0"/>
        <w:jc w:val="center"/>
      </w:pPr>
    </w:p>
    <w:p>
      <w:pPr>
        <w:pStyle w:val="19"/>
        <w:widowControl/>
        <w:ind w:firstLine="0" w:firstLineChars="0"/>
        <w:jc w:val="both"/>
      </w:pPr>
    </w:p>
    <w:p>
      <w:pPr>
        <w:pStyle w:val="19"/>
        <w:widowControl/>
        <w:ind w:firstLine="0" w:firstLineChars="0"/>
        <w:jc w:val="center"/>
        <w:rPr>
          <w:b/>
          <w:sz w:val="32"/>
          <w:szCs w:val="32"/>
        </w:rPr>
      </w:pPr>
      <w:r>
        <w:drawing>
          <wp:inline distT="0" distB="0" distL="114300" distR="114300">
            <wp:extent cx="3476625" cy="1209675"/>
            <wp:effectExtent l="0" t="0" r="31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476625" cy="1209675"/>
                    </a:xfrm>
                    <a:prstGeom prst="rect">
                      <a:avLst/>
                    </a:prstGeom>
                    <a:noFill/>
                    <a:ln>
                      <a:noFill/>
                    </a:ln>
                  </pic:spPr>
                </pic:pic>
              </a:graphicData>
            </a:graphic>
          </wp:inline>
        </w:drawing>
      </w:r>
    </w:p>
    <w:p>
      <w:pPr>
        <w:spacing w:before="156" w:beforeLines="50" w:after="156" w:afterLines="50"/>
        <w:jc w:val="center"/>
        <w:rPr>
          <w:rFonts w:ascii="宋体" w:hAnsi="宋体" w:eastAsia="宋体" w:cs="宋体"/>
          <w:b/>
          <w:sz w:val="48"/>
          <w:szCs w:val="48"/>
        </w:rPr>
      </w:pPr>
    </w:p>
    <w:p>
      <w:pPr>
        <w:spacing w:before="156" w:beforeLines="50" w:after="156" w:afterLines="50"/>
        <w:jc w:val="center"/>
        <w:rPr>
          <w:rFonts w:ascii="宋体" w:hAnsi="宋体" w:eastAsia="宋体" w:cs="宋体"/>
          <w:b/>
          <w:sz w:val="48"/>
          <w:szCs w:val="48"/>
        </w:rPr>
      </w:pPr>
      <w:r>
        <w:rPr>
          <w:rFonts w:hint="eastAsia" w:ascii="宋体" w:hAnsi="宋体" w:eastAsia="宋体" w:cs="宋体"/>
          <w:b/>
          <w:sz w:val="48"/>
          <w:szCs w:val="48"/>
          <w:lang w:bidi="ar"/>
        </w:rPr>
        <w:t>中国重汽集团</w:t>
      </w:r>
    </w:p>
    <w:p>
      <w:pPr>
        <w:jc w:val="center"/>
        <w:rPr>
          <w:rFonts w:ascii="宋体" w:hAnsi="宋体" w:eastAsia="宋体" w:cs="宋体"/>
          <w:b/>
          <w:sz w:val="48"/>
          <w:szCs w:val="48"/>
          <w:lang w:bidi="ar"/>
        </w:rPr>
      </w:pPr>
      <w:r>
        <w:rPr>
          <w:rFonts w:hint="eastAsia" w:ascii="宋体" w:hAnsi="宋体" w:eastAsia="宋体" w:cs="宋体"/>
          <w:b/>
          <w:sz w:val="48"/>
          <w:szCs w:val="48"/>
          <w:lang w:bidi="ar"/>
        </w:rPr>
        <w:t>信息系统合作开发及运维支持项目</w:t>
      </w:r>
    </w:p>
    <w:p>
      <w:pPr>
        <w:jc w:val="center"/>
        <w:rPr>
          <w:rFonts w:ascii="黑体" w:hAnsi="宋体" w:eastAsia="黑体" w:cs="黑体"/>
          <w:b/>
          <w:sz w:val="52"/>
          <w:szCs w:val="52"/>
        </w:rPr>
      </w:pPr>
      <w:r>
        <w:rPr>
          <w:rFonts w:hint="eastAsia" w:ascii="黑体" w:hAnsi="宋体" w:eastAsia="黑体" w:cs="黑体"/>
          <w:b/>
          <w:sz w:val="52"/>
          <w:szCs w:val="52"/>
          <w:lang w:bidi="ar"/>
        </w:rPr>
        <w:t>招</w:t>
      </w:r>
    </w:p>
    <w:p>
      <w:pPr>
        <w:jc w:val="center"/>
        <w:rPr>
          <w:rFonts w:ascii="黑体" w:hAnsi="宋体" w:eastAsia="黑体" w:cs="黑体"/>
          <w:b/>
          <w:sz w:val="52"/>
          <w:szCs w:val="52"/>
        </w:rPr>
      </w:pPr>
      <w:r>
        <w:rPr>
          <w:rFonts w:hint="eastAsia" w:ascii="黑体" w:hAnsi="宋体" w:eastAsia="黑体" w:cs="黑体"/>
          <w:b/>
          <w:sz w:val="52"/>
          <w:szCs w:val="52"/>
          <w:lang w:bidi="ar"/>
        </w:rPr>
        <w:t>标</w:t>
      </w:r>
    </w:p>
    <w:p>
      <w:pPr>
        <w:jc w:val="center"/>
        <w:rPr>
          <w:rFonts w:ascii="黑体" w:hAnsi="宋体" w:eastAsia="黑体" w:cs="黑体"/>
          <w:b/>
          <w:sz w:val="52"/>
          <w:szCs w:val="52"/>
        </w:rPr>
      </w:pPr>
      <w:r>
        <w:rPr>
          <w:rFonts w:hint="eastAsia" w:ascii="黑体" w:hAnsi="宋体" w:eastAsia="黑体" w:cs="黑体"/>
          <w:b/>
          <w:sz w:val="52"/>
          <w:szCs w:val="52"/>
          <w:lang w:bidi="ar"/>
        </w:rPr>
        <w:t>文</w:t>
      </w:r>
    </w:p>
    <w:p>
      <w:pPr>
        <w:jc w:val="center"/>
        <w:rPr>
          <w:rFonts w:ascii="黑体" w:hAnsi="Calibri" w:eastAsia="黑体" w:cs="黑体"/>
          <w:b/>
          <w:sz w:val="52"/>
          <w:szCs w:val="52"/>
        </w:rPr>
      </w:pPr>
      <w:r>
        <w:rPr>
          <w:rFonts w:hint="eastAsia" w:ascii="黑体" w:hAnsi="宋体" w:eastAsia="黑体" w:cs="黑体"/>
          <w:b/>
          <w:sz w:val="52"/>
          <w:szCs w:val="52"/>
          <w:lang w:bidi="ar"/>
        </w:rPr>
        <w:t>件</w:t>
      </w:r>
    </w:p>
    <w:p>
      <w:pPr>
        <w:pStyle w:val="19"/>
        <w:widowControl/>
        <w:ind w:firstLine="0" w:firstLineChars="0"/>
        <w:jc w:val="center"/>
        <w:rPr>
          <w:b/>
          <w:sz w:val="44"/>
          <w:szCs w:val="44"/>
        </w:rPr>
      </w:pPr>
      <w:r>
        <w:rPr>
          <w:rFonts w:hint="eastAsia"/>
          <w:b/>
          <w:sz w:val="44"/>
          <w:szCs w:val="44"/>
        </w:rPr>
        <w:t>（技术协议部分）</w:t>
      </w:r>
    </w:p>
    <w:p>
      <w:pPr>
        <w:spacing w:line="380" w:lineRule="exact"/>
        <w:jc w:val="center"/>
        <w:rPr>
          <w:rFonts w:ascii="黑体" w:hAnsi="Calibri" w:eastAsia="黑体" w:cs="黑体"/>
          <w:sz w:val="44"/>
          <w:szCs w:val="44"/>
        </w:rPr>
      </w:pPr>
    </w:p>
    <w:p>
      <w:pPr>
        <w:spacing w:line="380" w:lineRule="exact"/>
        <w:jc w:val="center"/>
        <w:rPr>
          <w:rFonts w:ascii="黑体" w:hAnsi="Calibri" w:eastAsia="黑体" w:cs="黑体"/>
          <w:sz w:val="44"/>
          <w:szCs w:val="44"/>
        </w:rPr>
      </w:pPr>
    </w:p>
    <w:p>
      <w:pPr>
        <w:spacing w:line="380" w:lineRule="exact"/>
        <w:jc w:val="center"/>
        <w:rPr>
          <w:rFonts w:ascii="黑体" w:hAnsi="Calibri" w:eastAsia="黑体" w:cs="黑体"/>
          <w:sz w:val="44"/>
          <w:szCs w:val="44"/>
        </w:rPr>
      </w:pPr>
    </w:p>
    <w:p>
      <w:pPr>
        <w:spacing w:line="380" w:lineRule="exact"/>
        <w:jc w:val="center"/>
        <w:rPr>
          <w:rFonts w:ascii="黑体" w:hAnsi="Calibri" w:eastAsia="黑体" w:cs="黑体"/>
          <w:sz w:val="44"/>
          <w:szCs w:val="44"/>
        </w:rPr>
      </w:pPr>
    </w:p>
    <w:p>
      <w:pPr>
        <w:spacing w:before="156" w:beforeLines="50" w:line="380" w:lineRule="exact"/>
        <w:jc w:val="center"/>
        <w:rPr>
          <w:rFonts w:ascii="黑体" w:hAnsi="Calibri" w:eastAsia="黑体" w:cs="黑体"/>
          <w:sz w:val="44"/>
          <w:szCs w:val="44"/>
        </w:rPr>
      </w:pPr>
      <w:r>
        <w:rPr>
          <w:rFonts w:hint="eastAsia" w:ascii="黑体" w:hAnsi="Calibri" w:eastAsia="黑体" w:cs="黑体"/>
          <w:sz w:val="44"/>
          <w:szCs w:val="44"/>
          <w:lang w:bidi="ar"/>
        </w:rPr>
        <w:t>二〇二一年三月</w:t>
      </w:r>
    </w:p>
    <w:bookmarkEnd w:id="62"/>
    <w:p>
      <w:pPr>
        <w:pStyle w:val="19"/>
        <w:ind w:firstLine="0" w:firstLineChars="0"/>
      </w:pPr>
    </w:p>
    <w:p>
      <w:pPr>
        <w:pStyle w:val="19"/>
        <w:ind w:firstLine="0" w:firstLineChars="0"/>
        <w:rPr>
          <w:rFonts w:cs="宋体"/>
          <w:b/>
          <w:kern w:val="44"/>
          <w:sz w:val="44"/>
          <w:szCs w:val="44"/>
        </w:rPr>
      </w:pPr>
      <w:r>
        <w:rPr>
          <w:rFonts w:hint="eastAsia" w:cs="宋体"/>
          <w:b/>
          <w:kern w:val="44"/>
          <w:sz w:val="44"/>
          <w:szCs w:val="44"/>
        </w:rPr>
        <w:t>1、第一包项目技术要求：</w:t>
      </w:r>
    </w:p>
    <w:p>
      <w:pPr>
        <w:pStyle w:val="19"/>
        <w:widowControl/>
        <w:ind w:firstLine="643"/>
        <w:rPr>
          <w:rFonts w:ascii="宋体" w:hAnsi="宋体" w:cs="宋体"/>
          <w:b/>
          <w:sz w:val="32"/>
          <w:szCs w:val="32"/>
        </w:rPr>
      </w:pPr>
    </w:p>
    <w:p>
      <w:pPr>
        <w:pStyle w:val="19"/>
        <w:widowControl/>
        <w:ind w:firstLine="643"/>
        <w:rPr>
          <w:rFonts w:ascii="宋体" w:hAnsi="宋体" w:cs="宋体"/>
          <w:b/>
          <w:sz w:val="32"/>
          <w:szCs w:val="32"/>
        </w:rPr>
      </w:pPr>
      <w:r>
        <w:rPr>
          <w:rFonts w:hint="eastAsia" w:ascii="宋体" w:hAnsi="宋体" w:cs="宋体"/>
          <w:b/>
          <w:sz w:val="32"/>
          <w:szCs w:val="32"/>
        </w:rPr>
        <w:t>1.1业务范围</w:t>
      </w:r>
    </w:p>
    <w:p>
      <w:pPr>
        <w:pStyle w:val="19"/>
        <w:widowControl/>
        <w:ind w:firstLine="480"/>
        <w:rPr>
          <w:rFonts w:ascii="宋体" w:hAnsi="宋体" w:cs="宋体"/>
          <w:b/>
          <w:sz w:val="32"/>
          <w:szCs w:val="32"/>
        </w:rPr>
      </w:pPr>
      <w:r>
        <w:rPr>
          <w:rFonts w:hint="eastAsia" w:cs="宋体"/>
        </w:rPr>
        <w:t>本项目需充分考虑中国重汽集团济南动力有限公司运维方面的要求。运维范围包括集团公司正在运行的所有数据库。</w:t>
      </w:r>
    </w:p>
    <w:p>
      <w:pPr>
        <w:pStyle w:val="19"/>
        <w:widowControl/>
        <w:ind w:firstLine="643"/>
        <w:rPr>
          <w:rFonts w:ascii="宋体" w:hAnsi="宋体" w:cs="宋体"/>
          <w:b/>
          <w:sz w:val="32"/>
          <w:szCs w:val="32"/>
        </w:rPr>
      </w:pPr>
    </w:p>
    <w:p>
      <w:pPr>
        <w:pStyle w:val="19"/>
        <w:widowControl/>
        <w:ind w:firstLine="643"/>
        <w:rPr>
          <w:rFonts w:ascii="宋体" w:hAnsi="宋体" w:cs="宋体"/>
          <w:b/>
          <w:sz w:val="32"/>
          <w:szCs w:val="32"/>
        </w:rPr>
      </w:pPr>
      <w:r>
        <w:rPr>
          <w:rFonts w:hint="eastAsia" w:ascii="宋体" w:hAnsi="宋体" w:cs="宋体"/>
          <w:b/>
          <w:sz w:val="32"/>
          <w:szCs w:val="32"/>
        </w:rPr>
        <w:t>1.2项目技术要求</w:t>
      </w:r>
    </w:p>
    <w:p>
      <w:pPr>
        <w:spacing w:line="276" w:lineRule="auto"/>
        <w:ind w:firstLine="480" w:firstLineChars="200"/>
        <w:rPr>
          <w:rFonts w:ascii="宋体" w:hAnsi="宋体" w:eastAsia="宋体" w:cs="宋体"/>
          <w:kern w:val="0"/>
          <w:sz w:val="24"/>
        </w:rPr>
      </w:pPr>
      <w:r>
        <w:rPr>
          <w:rFonts w:hint="eastAsia" w:ascii="宋体" w:hAnsi="宋体" w:eastAsia="宋体" w:cs="宋体"/>
          <w:kern w:val="0"/>
          <w:sz w:val="24"/>
        </w:rPr>
        <w:t>乙方负责为中国重汽提供现场服务、远程支持服务、运维管理流程建设、产品技术咨询和综合培训等，具体如下：</w:t>
      </w:r>
    </w:p>
    <w:p>
      <w:pPr>
        <w:numPr>
          <w:ilvl w:val="0"/>
          <w:numId w:val="20"/>
        </w:numPr>
        <w:spacing w:line="276" w:lineRule="auto"/>
        <w:rPr>
          <w:rFonts w:ascii="宋体" w:hAnsi="宋体" w:eastAsia="宋体" w:cs="宋体"/>
          <w:sz w:val="24"/>
        </w:rPr>
      </w:pPr>
      <w:r>
        <w:rPr>
          <w:rFonts w:hint="eastAsia" w:ascii="宋体" w:hAnsi="宋体" w:eastAsia="宋体" w:cs="宋体"/>
          <w:sz w:val="24"/>
        </w:rPr>
        <w:t>现场服务，为中国重汽所使用的Oracle、MySQL、SQL Server、PostgreSQL、HANA</w:t>
      </w:r>
      <w:r>
        <w:rPr>
          <w:rFonts w:hint="eastAsia" w:ascii="宋体" w:hAnsi="宋体" w:cs="宋体"/>
          <w:sz w:val="24"/>
        </w:rPr>
        <w:t>等</w:t>
      </w:r>
      <w:r>
        <w:rPr>
          <w:rFonts w:hint="eastAsia" w:ascii="宋体" w:hAnsi="宋体" w:eastAsia="宋体" w:cs="宋体"/>
          <w:sz w:val="24"/>
        </w:rPr>
        <w:t>产品提供</w:t>
      </w:r>
      <w:r>
        <w:rPr>
          <w:rFonts w:hint="eastAsia" w:ascii="宋体" w:hAnsi="宋体" w:cs="宋体"/>
          <w:sz w:val="24"/>
        </w:rPr>
        <w:t>运维服务，包括通过数据库性能平台对数据库进行</w:t>
      </w:r>
      <w:r>
        <w:rPr>
          <w:rFonts w:hint="eastAsia" w:ascii="宋体" w:hAnsi="宋体" w:eastAsia="宋体" w:cs="宋体"/>
          <w:sz w:val="24"/>
        </w:rPr>
        <w:t>健康检查、性能监控、关健时间窗口保障、故障处理、版本管理和补丁升级、系统优化、工程割接配合、架构咨询与规划、数据库云建设与运维等在内的若干项服务。</w:t>
      </w:r>
    </w:p>
    <w:p>
      <w:pPr>
        <w:numPr>
          <w:ilvl w:val="0"/>
          <w:numId w:val="20"/>
        </w:numPr>
        <w:spacing w:line="276" w:lineRule="auto"/>
        <w:rPr>
          <w:rFonts w:ascii="宋体" w:hAnsi="宋体" w:eastAsia="宋体" w:cs="宋体"/>
          <w:sz w:val="24"/>
        </w:rPr>
      </w:pPr>
      <w:r>
        <w:rPr>
          <w:rFonts w:hint="eastAsia" w:ascii="宋体" w:hAnsi="宋体" w:eastAsia="宋体" w:cs="宋体"/>
          <w:sz w:val="24"/>
        </w:rPr>
        <w:t>7*24小时二线专家远程支持服务。支持形式包括邮件、电话等。</w:t>
      </w:r>
    </w:p>
    <w:p>
      <w:pPr>
        <w:numPr>
          <w:ilvl w:val="0"/>
          <w:numId w:val="20"/>
        </w:numPr>
        <w:spacing w:line="276" w:lineRule="auto"/>
        <w:rPr>
          <w:rFonts w:ascii="宋体" w:hAnsi="宋体" w:eastAsia="宋体" w:cs="宋体"/>
          <w:sz w:val="24"/>
        </w:rPr>
      </w:pPr>
      <w:r>
        <w:rPr>
          <w:rFonts w:hint="eastAsia" w:ascii="宋体" w:hAnsi="宋体" w:eastAsia="宋体" w:cs="宋体"/>
          <w:sz w:val="24"/>
        </w:rPr>
        <w:t>运维管理流程</w:t>
      </w:r>
      <w:r>
        <w:rPr>
          <w:rFonts w:hint="eastAsia" w:ascii="宋体" w:hAnsi="宋体" w:eastAsia="宋体" w:cs="宋体"/>
          <w:kern w:val="0"/>
          <w:sz w:val="24"/>
        </w:rPr>
        <w:t>建设</w:t>
      </w:r>
      <w:r>
        <w:rPr>
          <w:rFonts w:hint="eastAsia" w:ascii="宋体" w:hAnsi="宋体" w:eastAsia="宋体" w:cs="宋体"/>
          <w:sz w:val="24"/>
        </w:rPr>
        <w:t>服务。乙方提供专家帮助甲方对现有的数据库运维管理流程进行优化，建立快速、有效、规范的数据库运维管理体系。</w:t>
      </w:r>
    </w:p>
    <w:p>
      <w:pPr>
        <w:numPr>
          <w:ilvl w:val="0"/>
          <w:numId w:val="20"/>
        </w:numPr>
        <w:spacing w:line="276" w:lineRule="auto"/>
        <w:rPr>
          <w:rFonts w:ascii="宋体" w:hAnsi="宋体" w:eastAsia="宋体" w:cs="宋体"/>
          <w:sz w:val="24"/>
        </w:rPr>
      </w:pPr>
      <w:r>
        <w:rPr>
          <w:rFonts w:hint="eastAsia" w:ascii="宋体" w:hAnsi="宋体" w:eastAsia="宋体" w:cs="宋体"/>
          <w:sz w:val="24"/>
        </w:rPr>
        <w:t>产品技术咨询和综合培训服务。包括1</w:t>
      </w:r>
      <w:r>
        <w:rPr>
          <w:rFonts w:hint="eastAsia" w:ascii="宋体" w:hAnsi="宋体" w:eastAsia="宋体" w:cs="宋体"/>
          <w:b/>
          <w:sz w:val="24"/>
        </w:rPr>
        <w:t>年期不限次数</w:t>
      </w:r>
      <w:r>
        <w:rPr>
          <w:rFonts w:hint="eastAsia" w:ascii="宋体" w:hAnsi="宋体" w:eastAsia="宋体" w:cs="宋体"/>
          <w:sz w:val="24"/>
        </w:rPr>
        <w:t>的数据库产品技术咨询以及2次3天的现场技术培训。</w:t>
      </w:r>
    </w:p>
    <w:p>
      <w:pPr>
        <w:numPr>
          <w:ilvl w:val="0"/>
          <w:numId w:val="20"/>
        </w:numPr>
        <w:spacing w:line="276" w:lineRule="auto"/>
        <w:rPr>
          <w:rFonts w:ascii="宋体" w:hAnsi="宋体" w:eastAsia="宋体" w:cs="宋体"/>
          <w:sz w:val="24"/>
        </w:rPr>
      </w:pPr>
      <w:r>
        <w:rPr>
          <w:rFonts w:hint="eastAsia" w:ascii="宋体" w:hAnsi="宋体" w:eastAsia="宋体" w:cs="宋体"/>
          <w:sz w:val="24"/>
        </w:rPr>
        <w:t>架构优化与规划服务。乙方按照要求提供专家帮助甲方对现有的数据库系统架构进行优化以及对新系统进行规划。</w:t>
      </w:r>
    </w:p>
    <w:p>
      <w:pPr>
        <w:snapToGrid w:val="0"/>
        <w:spacing w:line="360" w:lineRule="auto"/>
        <w:ind w:left="420" w:firstLine="720" w:firstLineChars="300"/>
        <w:rPr>
          <w:rFonts w:ascii="宋体" w:hAnsi="宋体" w:eastAsia="宋体" w:cs="宋体"/>
          <w:sz w:val="24"/>
        </w:rPr>
      </w:pPr>
      <w:r>
        <w:rPr>
          <w:rFonts w:hint="eastAsia" w:ascii="宋体" w:hAnsi="宋体" w:eastAsia="宋体" w:cs="宋体"/>
          <w:sz w:val="24"/>
        </w:rPr>
        <w:t>为确保以上工作顺利完成，投标人应</w:t>
      </w:r>
      <w:r>
        <w:rPr>
          <w:rFonts w:hint="eastAsia" w:ascii="宋体" w:hAnsi="宋体" w:cs="宋体"/>
          <w:sz w:val="24"/>
        </w:rPr>
        <w:t>具备营销系统、</w:t>
      </w:r>
      <w:r>
        <w:rPr>
          <w:rFonts w:hint="eastAsia" w:ascii="宋体" w:hAnsi="宋体" w:eastAsia="宋体" w:cs="宋体"/>
          <w:sz w:val="24"/>
        </w:rPr>
        <w:t>HMES、数仓和销服系统数据库服务案例。</w:t>
      </w:r>
    </w:p>
    <w:p>
      <w:pPr>
        <w:pStyle w:val="19"/>
        <w:widowControl/>
        <w:ind w:firstLine="643"/>
        <w:rPr>
          <w:rFonts w:ascii="宋体" w:hAnsi="宋体" w:cs="宋体"/>
          <w:b/>
          <w:sz w:val="32"/>
          <w:szCs w:val="32"/>
        </w:rPr>
      </w:pPr>
      <w:bookmarkStart w:id="74" w:name="_Toc318969407"/>
      <w:bookmarkStart w:id="75" w:name="_Toc5247"/>
      <w:bookmarkStart w:id="76" w:name="_Toc2073"/>
    </w:p>
    <w:p>
      <w:pPr>
        <w:pStyle w:val="19"/>
        <w:widowControl/>
        <w:ind w:firstLine="643"/>
        <w:rPr>
          <w:rFonts w:ascii="宋体" w:hAnsi="宋体" w:cs="宋体"/>
          <w:b/>
          <w:sz w:val="32"/>
          <w:szCs w:val="32"/>
        </w:rPr>
      </w:pPr>
      <w:r>
        <w:rPr>
          <w:rFonts w:hint="eastAsia" w:ascii="宋体" w:hAnsi="宋体" w:cs="宋体"/>
          <w:b/>
          <w:sz w:val="32"/>
          <w:szCs w:val="32"/>
        </w:rPr>
        <w:t>1.3服务</w:t>
      </w:r>
      <w:bookmarkEnd w:id="74"/>
      <w:r>
        <w:rPr>
          <w:rFonts w:hint="eastAsia" w:ascii="宋体" w:hAnsi="宋体" w:cs="宋体"/>
          <w:b/>
          <w:sz w:val="32"/>
          <w:szCs w:val="32"/>
        </w:rPr>
        <w:t>人员要求</w:t>
      </w:r>
      <w:bookmarkEnd w:id="75"/>
      <w:bookmarkEnd w:id="76"/>
    </w:p>
    <w:p>
      <w:pPr>
        <w:spacing w:line="276" w:lineRule="auto"/>
        <w:ind w:firstLine="435"/>
        <w:rPr>
          <w:rFonts w:ascii="宋体" w:hAnsi="宋体" w:eastAsia="宋体" w:cs="宋体"/>
          <w:sz w:val="24"/>
        </w:rPr>
      </w:pPr>
      <w:r>
        <w:rPr>
          <w:rFonts w:hint="eastAsia" w:ascii="宋体" w:hAnsi="宋体" w:eastAsia="宋体" w:cs="宋体"/>
          <w:sz w:val="24"/>
        </w:rPr>
        <w:t>投标人应为该项目在中国重汽现场设置专门的服务团队，</w:t>
      </w:r>
      <w:r>
        <w:rPr>
          <w:rFonts w:hint="eastAsia" w:ascii="宋体" w:hAnsi="宋体" w:cs="宋体"/>
          <w:sz w:val="24"/>
        </w:rPr>
        <w:t>通过数据库性能监控平台对数据库进行监控和分析，</w:t>
      </w:r>
      <w:r>
        <w:rPr>
          <w:rFonts w:hint="eastAsia" w:ascii="宋体" w:hAnsi="宋体" w:eastAsia="宋体" w:cs="宋体"/>
          <w:sz w:val="24"/>
        </w:rPr>
        <w:t>建立和维护系统档案、了解系统维护需求、制定服务计划、监督服务执行、跟踪并改进服务质量、提交各类服务报告、处理投诉、服务总结等。服务团队要求如下：</w:t>
      </w:r>
    </w:p>
    <w:p>
      <w:pPr>
        <w:spacing w:line="276" w:lineRule="auto"/>
        <w:ind w:firstLine="435"/>
        <w:rPr>
          <w:rFonts w:ascii="宋体" w:hAnsi="宋体" w:eastAsia="宋体" w:cs="宋体"/>
          <w:sz w:val="24"/>
        </w:rPr>
      </w:pPr>
      <w:r>
        <w:rPr>
          <w:rFonts w:hint="eastAsia" w:ascii="宋体" w:hAnsi="宋体" w:eastAsia="宋体" w:cs="宋体"/>
          <w:sz w:val="24"/>
        </w:rPr>
        <w:t>（一）服务团队成员数量及资质如下：</w:t>
      </w:r>
    </w:p>
    <w:p>
      <w:pPr>
        <w:spacing w:line="276" w:lineRule="auto"/>
        <w:ind w:left="900" w:leftChars="200" w:hanging="480" w:hangingChars="200"/>
        <w:rPr>
          <w:rFonts w:ascii="宋体" w:hAnsi="宋体" w:eastAsia="宋体" w:cs="宋体"/>
          <w:sz w:val="24"/>
        </w:rPr>
      </w:pPr>
      <w:r>
        <w:rPr>
          <w:rFonts w:hint="eastAsia" w:ascii="宋体" w:hAnsi="宋体" w:eastAsia="宋体" w:cs="宋体"/>
          <w:sz w:val="24"/>
        </w:rPr>
        <w:t>1） 现场项目负责人，负责监督服务执行，了解现场服务动态，有同类项目服务经验，具备项目管理认证资质，熟悉数据库运维管理流程。</w:t>
      </w:r>
    </w:p>
    <w:p>
      <w:pPr>
        <w:spacing w:line="276" w:lineRule="auto"/>
        <w:ind w:left="900" w:leftChars="200" w:hanging="480" w:hangingChars="200"/>
        <w:rPr>
          <w:rFonts w:ascii="宋体" w:hAnsi="宋体" w:eastAsia="宋体" w:cs="宋体"/>
          <w:bCs/>
          <w:sz w:val="24"/>
        </w:rPr>
      </w:pPr>
      <w:bookmarkStart w:id="77" w:name="OLE_LINK9"/>
      <w:bookmarkStart w:id="78" w:name="OLE_LINK10"/>
      <w:r>
        <w:rPr>
          <w:rFonts w:hint="eastAsia" w:ascii="宋体" w:hAnsi="宋体" w:eastAsia="宋体" w:cs="宋体"/>
          <w:bCs/>
          <w:sz w:val="24"/>
        </w:rPr>
        <w:t>2） 乙方应通过Oracle数据库专业化认证，提供驻场服务支撑团队（不含项目负责人），所有工程师都应具备OCM或以上资格认证，具备3年以上相关工作经验，并通过甲方的技术能力考试（由ORACLE公司提供的考试试题）。</w:t>
      </w:r>
    </w:p>
    <w:bookmarkEnd w:id="77"/>
    <w:bookmarkEnd w:id="78"/>
    <w:p>
      <w:pPr>
        <w:spacing w:line="276" w:lineRule="auto"/>
        <w:ind w:left="900" w:leftChars="200" w:hanging="480" w:hangingChars="200"/>
        <w:rPr>
          <w:rFonts w:ascii="宋体" w:hAnsi="宋体" w:eastAsia="宋体" w:cs="宋体"/>
          <w:sz w:val="24"/>
        </w:rPr>
      </w:pPr>
      <w:r>
        <w:rPr>
          <w:rFonts w:hint="eastAsia" w:ascii="宋体" w:hAnsi="宋体" w:eastAsia="宋体" w:cs="宋体"/>
          <w:sz w:val="24"/>
        </w:rPr>
        <w:t>3） 临时服务人员，即投标人按照甲方要求为项目实施临时调配到现场提供支持服务的工程师，工程师数量和资质应符合甲方项目经理的要求。</w:t>
      </w:r>
    </w:p>
    <w:p>
      <w:pPr>
        <w:spacing w:line="276" w:lineRule="auto"/>
        <w:ind w:firstLine="435"/>
        <w:rPr>
          <w:rFonts w:ascii="宋体" w:hAnsi="宋体" w:eastAsia="宋体" w:cs="宋体"/>
          <w:sz w:val="24"/>
        </w:rPr>
      </w:pPr>
      <w:r>
        <w:rPr>
          <w:rFonts w:hint="eastAsia" w:ascii="宋体" w:hAnsi="宋体" w:eastAsia="宋体" w:cs="宋体"/>
          <w:sz w:val="24"/>
        </w:rPr>
        <w:t>（二）为保证项目服务的质量，乙方应承诺：</w:t>
      </w:r>
    </w:p>
    <w:p>
      <w:pPr>
        <w:numPr>
          <w:ilvl w:val="0"/>
          <w:numId w:val="21"/>
        </w:numPr>
        <w:spacing w:line="276" w:lineRule="auto"/>
        <w:rPr>
          <w:rFonts w:ascii="宋体" w:hAnsi="宋体" w:eastAsia="宋体" w:cs="宋体"/>
          <w:sz w:val="24"/>
        </w:rPr>
      </w:pPr>
      <w:r>
        <w:rPr>
          <w:rFonts w:hint="eastAsia" w:ascii="宋体" w:hAnsi="宋体" w:eastAsia="宋体" w:cs="宋体"/>
          <w:sz w:val="24"/>
        </w:rPr>
        <w:t>乙方若对现场服务人员进行调整，需提前通知，并征得甲方同意，且所更换的工程师需按新驻场人员进行考核评定，通过考评后方可与调离的工程师共同在中国重汽办公场所进行现场工作交接。若更换的现场工程师未通过甲方的技术能力考试，则需重新指派工程师，因此产生维护时间空缺不计入工作量。</w:t>
      </w:r>
    </w:p>
    <w:p>
      <w:pPr>
        <w:numPr>
          <w:ilvl w:val="0"/>
          <w:numId w:val="21"/>
        </w:numPr>
        <w:spacing w:line="276" w:lineRule="auto"/>
        <w:rPr>
          <w:rFonts w:ascii="宋体" w:hAnsi="宋体" w:eastAsia="宋体" w:cs="宋体"/>
          <w:bCs/>
          <w:sz w:val="24"/>
        </w:rPr>
      </w:pPr>
      <w:r>
        <w:rPr>
          <w:rFonts w:hint="eastAsia" w:ascii="宋体" w:hAnsi="宋体" w:eastAsia="宋体" w:cs="宋体"/>
          <w:bCs/>
          <w:sz w:val="24"/>
        </w:rPr>
        <w:t>保证驻场服务工程师的安全性和稳定性，未经甲方同意，不得随意更换工程师，如未经甲方许可更换工程师，甲方有权终止该项目。</w:t>
      </w:r>
    </w:p>
    <w:p>
      <w:pPr>
        <w:spacing w:line="276" w:lineRule="auto"/>
        <w:ind w:left="855"/>
        <w:rPr>
          <w:rFonts w:ascii="宋体" w:hAnsi="宋体" w:eastAsia="宋体" w:cs="宋体"/>
          <w:sz w:val="24"/>
        </w:rPr>
      </w:pPr>
    </w:p>
    <w:p>
      <w:pPr>
        <w:spacing w:line="276" w:lineRule="auto"/>
        <w:ind w:firstLine="435"/>
        <w:rPr>
          <w:rFonts w:ascii="宋体" w:hAnsi="宋体" w:eastAsia="宋体" w:cs="宋体"/>
          <w:sz w:val="24"/>
        </w:rPr>
      </w:pPr>
      <w:r>
        <w:rPr>
          <w:rFonts w:hint="eastAsia" w:ascii="宋体" w:hAnsi="宋体" w:eastAsia="宋体" w:cs="宋体"/>
          <w:sz w:val="24"/>
        </w:rPr>
        <w:t xml:space="preserve">（三）团队服务人员应遵守甲方的规章制度和管理办法，维护人员必须做到： </w:t>
      </w:r>
    </w:p>
    <w:p>
      <w:pPr>
        <w:numPr>
          <w:ilvl w:val="0"/>
          <w:numId w:val="22"/>
        </w:numPr>
        <w:spacing w:line="276" w:lineRule="auto"/>
        <w:rPr>
          <w:rFonts w:ascii="宋体" w:hAnsi="宋体" w:eastAsia="宋体" w:cs="宋体"/>
          <w:sz w:val="24"/>
        </w:rPr>
      </w:pPr>
      <w:r>
        <w:rPr>
          <w:rFonts w:hint="eastAsia" w:ascii="宋体" w:hAnsi="宋体" w:eastAsia="宋体" w:cs="宋体"/>
          <w:sz w:val="24"/>
        </w:rPr>
        <w:t xml:space="preserve">遵守中国重汽的作息制度上下班，不得无故旷工； </w:t>
      </w:r>
    </w:p>
    <w:p>
      <w:pPr>
        <w:numPr>
          <w:ilvl w:val="0"/>
          <w:numId w:val="22"/>
        </w:numPr>
        <w:spacing w:line="276" w:lineRule="auto"/>
        <w:rPr>
          <w:rFonts w:ascii="宋体" w:hAnsi="宋体" w:eastAsia="宋体" w:cs="宋体"/>
          <w:sz w:val="24"/>
        </w:rPr>
      </w:pPr>
      <w:r>
        <w:rPr>
          <w:rFonts w:hint="eastAsia" w:ascii="宋体" w:hAnsi="宋体" w:eastAsia="宋体" w:cs="宋体"/>
          <w:sz w:val="24"/>
        </w:rPr>
        <w:t xml:space="preserve">服从甲方项目工作安排，并积极主动完成任务，具备良好的敬业精神； </w:t>
      </w:r>
    </w:p>
    <w:p>
      <w:pPr>
        <w:numPr>
          <w:ilvl w:val="0"/>
          <w:numId w:val="22"/>
        </w:numPr>
        <w:spacing w:line="276" w:lineRule="auto"/>
        <w:rPr>
          <w:rFonts w:ascii="宋体" w:hAnsi="宋体" w:eastAsia="宋体" w:cs="宋体"/>
          <w:sz w:val="24"/>
        </w:rPr>
      </w:pPr>
      <w:r>
        <w:rPr>
          <w:rFonts w:hint="eastAsia" w:ascii="宋体" w:hAnsi="宋体" w:eastAsia="宋体" w:cs="宋体"/>
          <w:sz w:val="24"/>
        </w:rPr>
        <w:t xml:space="preserve">如有特殊情况需要回公司或短时间内出差解决其他问题，必须向甲方项目经理申请，得到批准后方可离开； </w:t>
      </w:r>
    </w:p>
    <w:p>
      <w:pPr>
        <w:numPr>
          <w:ilvl w:val="0"/>
          <w:numId w:val="22"/>
        </w:numPr>
        <w:spacing w:line="276" w:lineRule="auto"/>
        <w:rPr>
          <w:rFonts w:ascii="宋体" w:hAnsi="宋体" w:eastAsia="宋体" w:cs="宋体"/>
          <w:sz w:val="24"/>
        </w:rPr>
      </w:pPr>
      <w:r>
        <w:rPr>
          <w:rFonts w:hint="eastAsia" w:ascii="宋体" w:hAnsi="宋体" w:eastAsia="宋体" w:cs="宋体"/>
          <w:sz w:val="24"/>
        </w:rPr>
        <w:t>现场服务人员应保证手机</w:t>
      </w:r>
      <w:r>
        <w:rPr>
          <w:rFonts w:hint="eastAsia" w:ascii="宋体" w:hAnsi="宋体" w:cs="宋体"/>
          <w:sz w:val="24"/>
        </w:rPr>
        <w:t>畅通</w:t>
      </w:r>
      <w:r>
        <w:rPr>
          <w:rFonts w:hint="eastAsia" w:ascii="宋体" w:hAnsi="宋体" w:eastAsia="宋体" w:cs="宋体"/>
          <w:sz w:val="24"/>
        </w:rPr>
        <w:t>，提供7×24小时的响应。</w:t>
      </w:r>
    </w:p>
    <w:p>
      <w:pPr>
        <w:spacing w:line="276" w:lineRule="auto"/>
        <w:ind w:left="840"/>
        <w:rPr>
          <w:rFonts w:ascii="宋体" w:hAnsi="宋体" w:eastAsia="宋体" w:cs="宋体"/>
          <w:sz w:val="24"/>
        </w:rPr>
      </w:pPr>
    </w:p>
    <w:p>
      <w:pPr>
        <w:numPr>
          <w:ilvl w:val="0"/>
          <w:numId w:val="23"/>
        </w:numPr>
        <w:spacing w:line="276" w:lineRule="auto"/>
        <w:ind w:firstLine="435"/>
        <w:rPr>
          <w:rFonts w:ascii="宋体" w:hAnsi="宋体" w:eastAsia="宋体" w:cs="宋体"/>
          <w:sz w:val="24"/>
        </w:rPr>
      </w:pPr>
      <w:r>
        <w:rPr>
          <w:rFonts w:hint="eastAsia" w:ascii="宋体" w:hAnsi="宋体" w:eastAsia="宋体" w:cs="宋体"/>
          <w:sz w:val="24"/>
        </w:rPr>
        <w:t>乙方服务人员的办公设备（如笔记本电脑、仪器仪表、通信工具、维修工具等）、办公用品由乙方准备。</w:t>
      </w:r>
    </w:p>
    <w:p>
      <w:pPr>
        <w:spacing w:line="276" w:lineRule="auto"/>
        <w:rPr>
          <w:rFonts w:ascii="宋体" w:hAnsi="宋体" w:eastAsia="宋体" w:cs="宋体"/>
          <w:sz w:val="24"/>
        </w:rPr>
      </w:pPr>
    </w:p>
    <w:p>
      <w:pPr>
        <w:pStyle w:val="19"/>
        <w:widowControl/>
        <w:ind w:firstLine="643"/>
        <w:rPr>
          <w:rFonts w:ascii="宋体" w:hAnsi="宋体" w:cs="宋体"/>
          <w:b/>
          <w:sz w:val="32"/>
          <w:szCs w:val="32"/>
        </w:rPr>
      </w:pPr>
      <w:bookmarkStart w:id="79" w:name="_Toc28881"/>
      <w:bookmarkStart w:id="80" w:name="_Toc6675"/>
      <w:bookmarkStart w:id="81" w:name="_Toc318969408"/>
      <w:bookmarkStart w:id="82" w:name="_Toc146611528"/>
      <w:bookmarkStart w:id="83" w:name="_Toc83802579"/>
      <w:bookmarkStart w:id="84" w:name="_Toc209342282"/>
      <w:bookmarkStart w:id="85" w:name="_Toc44844620"/>
      <w:bookmarkStart w:id="86" w:name="_Toc186689329"/>
      <w:bookmarkStart w:id="87" w:name="_Toc206300110"/>
      <w:bookmarkStart w:id="88" w:name="_Toc84236787"/>
    </w:p>
    <w:p>
      <w:pPr>
        <w:pStyle w:val="19"/>
        <w:widowControl/>
        <w:ind w:firstLine="643"/>
        <w:rPr>
          <w:rFonts w:ascii="宋体" w:hAnsi="宋体" w:cs="宋体"/>
          <w:b/>
          <w:sz w:val="32"/>
          <w:szCs w:val="32"/>
        </w:rPr>
      </w:pPr>
      <w:r>
        <w:rPr>
          <w:rFonts w:hint="eastAsia" w:ascii="宋体" w:hAnsi="宋体" w:cs="宋体"/>
          <w:b/>
          <w:sz w:val="32"/>
          <w:szCs w:val="32"/>
        </w:rPr>
        <w:t>1.4服务质量管理与考核</w:t>
      </w:r>
      <w:bookmarkEnd w:id="79"/>
      <w:bookmarkEnd w:id="80"/>
    </w:p>
    <w:p>
      <w:pPr>
        <w:pStyle w:val="4"/>
        <w:numPr>
          <w:ilvl w:val="2"/>
          <w:numId w:val="0"/>
        </w:numPr>
        <w:spacing w:before="280" w:after="290" w:line="276" w:lineRule="auto"/>
        <w:rPr>
          <w:rFonts w:ascii="宋体" w:hAnsi="宋体" w:eastAsia="宋体" w:cs="宋体"/>
          <w:sz w:val="30"/>
          <w:szCs w:val="30"/>
        </w:rPr>
      </w:pPr>
      <w:bookmarkStart w:id="89" w:name="_Toc17004"/>
      <w:bookmarkStart w:id="90" w:name="_Toc5255"/>
      <w:r>
        <w:rPr>
          <w:rFonts w:hint="eastAsia" w:ascii="宋体" w:hAnsi="宋体" w:eastAsia="宋体" w:cs="宋体"/>
          <w:sz w:val="30"/>
          <w:szCs w:val="30"/>
        </w:rPr>
        <w:t xml:space="preserve">     </w:t>
      </w:r>
      <w:bookmarkStart w:id="91" w:name="_Toc1028"/>
      <w:bookmarkStart w:id="92" w:name="_Toc4170"/>
      <w:r>
        <w:rPr>
          <w:rFonts w:hint="eastAsia" w:ascii="宋体" w:hAnsi="宋体" w:eastAsia="宋体" w:cs="宋体"/>
          <w:sz w:val="30"/>
          <w:szCs w:val="30"/>
        </w:rPr>
        <w:t>1.4.1服务质量管理</w:t>
      </w:r>
      <w:bookmarkEnd w:id="89"/>
      <w:bookmarkEnd w:id="90"/>
      <w:bookmarkEnd w:id="91"/>
      <w:bookmarkEnd w:id="92"/>
    </w:p>
    <w:p>
      <w:pPr>
        <w:spacing w:line="276" w:lineRule="auto"/>
        <w:ind w:firstLine="435"/>
        <w:rPr>
          <w:rFonts w:ascii="宋体" w:hAnsi="宋体" w:eastAsia="宋体" w:cs="宋体"/>
          <w:sz w:val="24"/>
        </w:rPr>
      </w:pPr>
      <w:r>
        <w:rPr>
          <w:rFonts w:hint="eastAsia" w:ascii="宋体" w:hAnsi="宋体" w:eastAsia="宋体" w:cs="宋体"/>
          <w:sz w:val="24"/>
        </w:rPr>
        <w:t>乙方应提供服务质量管理机制，至少应满足以下要求：</w:t>
      </w:r>
    </w:p>
    <w:p>
      <w:pPr>
        <w:spacing w:line="276" w:lineRule="auto"/>
        <w:ind w:firstLine="435"/>
        <w:rPr>
          <w:rFonts w:ascii="宋体" w:hAnsi="宋体" w:eastAsia="宋体" w:cs="宋体"/>
          <w:sz w:val="24"/>
        </w:rPr>
      </w:pPr>
      <w:r>
        <w:rPr>
          <w:rFonts w:hint="eastAsia" w:ascii="宋体" w:hAnsi="宋体" w:eastAsia="宋体" w:cs="宋体"/>
          <w:sz w:val="24"/>
        </w:rPr>
        <w:t>（1）乙方项目负责人应按照周、月对项目的服务质量进行跟踪，形成相应的服务报告发送给甲方指定人员。</w:t>
      </w:r>
    </w:p>
    <w:p>
      <w:pPr>
        <w:spacing w:line="276" w:lineRule="auto"/>
        <w:ind w:firstLine="435"/>
        <w:rPr>
          <w:rFonts w:ascii="宋体" w:hAnsi="宋体" w:eastAsia="宋体" w:cs="宋体"/>
          <w:sz w:val="24"/>
        </w:rPr>
      </w:pPr>
      <w:r>
        <w:rPr>
          <w:rFonts w:hint="eastAsia" w:ascii="宋体" w:hAnsi="宋体" w:eastAsia="宋体" w:cs="宋体"/>
          <w:sz w:val="24"/>
        </w:rPr>
        <w:t>（2）乙方项目负责人每周召集服务例会，对上月的服务情况进行总结。</w:t>
      </w:r>
    </w:p>
    <w:p>
      <w:pPr>
        <w:pStyle w:val="4"/>
        <w:numPr>
          <w:ilvl w:val="2"/>
          <w:numId w:val="0"/>
        </w:numPr>
        <w:spacing w:before="280" w:after="290" w:line="276" w:lineRule="auto"/>
        <w:ind w:firstLine="602" w:firstLineChars="200"/>
        <w:rPr>
          <w:rFonts w:ascii="宋体" w:hAnsi="宋体" w:eastAsia="宋体" w:cs="宋体"/>
          <w:sz w:val="30"/>
          <w:szCs w:val="30"/>
        </w:rPr>
      </w:pPr>
      <w:bookmarkStart w:id="93" w:name="_Toc281"/>
      <w:bookmarkStart w:id="94" w:name="_Toc21234"/>
      <w:r>
        <w:rPr>
          <w:rFonts w:hint="eastAsia" w:ascii="宋体" w:hAnsi="宋体" w:eastAsia="宋体" w:cs="宋体"/>
          <w:sz w:val="30"/>
          <w:szCs w:val="30"/>
        </w:rPr>
        <w:t xml:space="preserve">  </w:t>
      </w:r>
      <w:bookmarkStart w:id="95" w:name="_Toc31799"/>
      <w:bookmarkStart w:id="96" w:name="_Toc10995"/>
      <w:r>
        <w:rPr>
          <w:rFonts w:hint="eastAsia" w:ascii="宋体" w:hAnsi="宋体" w:eastAsia="宋体" w:cs="宋体"/>
          <w:sz w:val="30"/>
          <w:szCs w:val="30"/>
        </w:rPr>
        <w:t>1.4.2服务质量考核</w:t>
      </w:r>
      <w:bookmarkEnd w:id="93"/>
      <w:bookmarkEnd w:id="94"/>
      <w:bookmarkEnd w:id="95"/>
      <w:bookmarkEnd w:id="96"/>
    </w:p>
    <w:p>
      <w:pPr>
        <w:spacing w:line="276" w:lineRule="auto"/>
        <w:ind w:firstLine="435"/>
        <w:rPr>
          <w:rFonts w:ascii="宋体" w:hAnsi="宋体" w:eastAsia="宋体" w:cs="宋体"/>
          <w:sz w:val="24"/>
        </w:rPr>
      </w:pPr>
      <w:r>
        <w:rPr>
          <w:rFonts w:hint="eastAsia" w:ascii="宋体" w:hAnsi="宋体" w:eastAsia="宋体" w:cs="宋体"/>
          <w:sz w:val="24"/>
        </w:rPr>
        <w:t>甲方将合同额的10％作为质量监督款，用于进行质量考核后的费用支付。乙方需出具由甲方提供的服务验收报告方可取得质量监督款。</w:t>
      </w:r>
    </w:p>
    <w:p>
      <w:pPr>
        <w:spacing w:line="276" w:lineRule="auto"/>
        <w:ind w:firstLine="435"/>
        <w:rPr>
          <w:rFonts w:ascii="宋体" w:hAnsi="宋体" w:eastAsia="宋体" w:cs="宋体"/>
          <w:sz w:val="24"/>
        </w:rPr>
      </w:pPr>
      <w:r>
        <w:rPr>
          <w:rFonts w:hint="eastAsia" w:ascii="宋体" w:hAnsi="宋体" w:eastAsia="宋体" w:cs="宋体"/>
          <w:sz w:val="24"/>
        </w:rPr>
        <w:t>1.质量考核方式</w:t>
      </w:r>
    </w:p>
    <w:p>
      <w:pPr>
        <w:spacing w:line="276" w:lineRule="auto"/>
        <w:ind w:firstLine="435"/>
        <w:rPr>
          <w:rFonts w:ascii="宋体" w:hAnsi="宋体" w:eastAsia="宋体" w:cs="宋体"/>
          <w:sz w:val="24"/>
        </w:rPr>
      </w:pPr>
      <w:r>
        <w:rPr>
          <w:rFonts w:hint="eastAsia" w:ascii="宋体" w:hAnsi="宋体" w:eastAsia="宋体" w:cs="宋体"/>
          <w:sz w:val="24"/>
        </w:rPr>
        <w:t>服务质量考核以整个服务期为一个考核期，每月进行考评。</w:t>
      </w:r>
    </w:p>
    <w:p>
      <w:pPr>
        <w:numPr>
          <w:ilvl w:val="0"/>
          <w:numId w:val="24"/>
        </w:numPr>
        <w:spacing w:line="276" w:lineRule="auto"/>
        <w:rPr>
          <w:rFonts w:ascii="宋体" w:hAnsi="宋体" w:eastAsia="宋体" w:cs="宋体"/>
          <w:sz w:val="24"/>
        </w:rPr>
      </w:pPr>
      <w:r>
        <w:rPr>
          <w:rFonts w:hint="eastAsia" w:ascii="宋体" w:hAnsi="宋体" w:eastAsia="宋体" w:cs="宋体"/>
          <w:sz w:val="24"/>
        </w:rPr>
        <w:t>考核评分包括月度测评分、年度测评总分。年度测评分=∑月度实际评分/测评次数。</w:t>
      </w:r>
    </w:p>
    <w:p>
      <w:pPr>
        <w:numPr>
          <w:ilvl w:val="0"/>
          <w:numId w:val="24"/>
        </w:numPr>
        <w:spacing w:line="276" w:lineRule="auto"/>
        <w:rPr>
          <w:rFonts w:ascii="宋体" w:hAnsi="宋体" w:eastAsia="宋体" w:cs="宋体"/>
          <w:sz w:val="24"/>
        </w:rPr>
      </w:pPr>
      <w:r>
        <w:rPr>
          <w:rFonts w:hint="eastAsia" w:ascii="宋体" w:hAnsi="宋体" w:eastAsia="宋体" w:cs="宋体"/>
          <w:sz w:val="24"/>
        </w:rPr>
        <w:t>月度评分标准，详细考核项和权重见附表。计算规则月度得分=100-∑考核项扣分*权重。</w:t>
      </w:r>
    </w:p>
    <w:p>
      <w:pPr>
        <w:spacing w:line="276" w:lineRule="auto"/>
        <w:rPr>
          <w:rFonts w:ascii="宋体" w:hAnsi="宋体" w:eastAsia="宋体" w:cs="宋体"/>
          <w:sz w:val="24"/>
        </w:rPr>
      </w:pPr>
      <w:bookmarkStart w:id="97" w:name="_MON_1650887870"/>
      <w:bookmarkEnd w:id="97"/>
      <w:bookmarkStart w:id="98" w:name="_1455370679"/>
      <w:bookmarkEnd w:id="98"/>
    </w:p>
    <w:p>
      <w:pPr>
        <w:spacing w:line="276" w:lineRule="auto"/>
        <w:ind w:firstLine="435"/>
        <w:rPr>
          <w:rFonts w:ascii="宋体" w:hAnsi="宋体" w:eastAsia="宋体" w:cs="宋体"/>
          <w:sz w:val="24"/>
        </w:rPr>
      </w:pPr>
      <w:r>
        <w:rPr>
          <w:rFonts w:hint="eastAsia" w:ascii="宋体" w:hAnsi="宋体" w:eastAsia="宋体" w:cs="宋体"/>
          <w:sz w:val="24"/>
        </w:rPr>
        <w:t>2.质量监督款支付方式</w:t>
      </w:r>
    </w:p>
    <w:p>
      <w:pPr>
        <w:spacing w:line="276" w:lineRule="auto"/>
        <w:ind w:firstLine="435"/>
        <w:rPr>
          <w:rFonts w:ascii="宋体" w:hAnsi="宋体" w:eastAsia="宋体" w:cs="宋体"/>
          <w:sz w:val="24"/>
        </w:rPr>
      </w:pPr>
      <w:r>
        <w:rPr>
          <w:rFonts w:hint="eastAsia" w:ascii="宋体" w:hAnsi="宋体" w:eastAsia="宋体" w:cs="宋体"/>
          <w:sz w:val="24"/>
        </w:rPr>
        <w:t>年度考核时，甲方根据考核结果向乙方支付质量监督款。年度考核成绩高于等于90分，则支付质量监督款；否则每降低1分，扣质量监督款的10%；如年度考核成绩低于80分（不含80），则扣全部质量监督款。</w:t>
      </w:r>
    </w:p>
    <w:p>
      <w:pPr>
        <w:spacing w:line="276" w:lineRule="auto"/>
        <w:ind w:firstLine="435"/>
        <w:rPr>
          <w:rFonts w:ascii="宋体" w:hAnsi="宋体" w:eastAsia="宋体" w:cs="宋体"/>
          <w:color w:val="FF0000"/>
          <w:sz w:val="24"/>
        </w:rPr>
      </w:pPr>
    </w:p>
    <w:p>
      <w:pPr>
        <w:pStyle w:val="19"/>
        <w:widowControl/>
        <w:ind w:firstLine="643"/>
        <w:rPr>
          <w:rFonts w:ascii="宋体" w:hAnsi="宋体" w:cs="宋体"/>
          <w:b/>
          <w:sz w:val="32"/>
          <w:szCs w:val="32"/>
        </w:rPr>
      </w:pPr>
      <w:bookmarkStart w:id="99" w:name="_Toc4490"/>
      <w:bookmarkStart w:id="100" w:name="_Toc13572"/>
    </w:p>
    <w:p>
      <w:pPr>
        <w:pStyle w:val="19"/>
        <w:widowControl/>
        <w:ind w:firstLine="643"/>
        <w:rPr>
          <w:rFonts w:ascii="宋体" w:hAnsi="宋体" w:cs="宋体"/>
          <w:b/>
          <w:sz w:val="32"/>
          <w:szCs w:val="32"/>
        </w:rPr>
      </w:pPr>
      <w:r>
        <w:rPr>
          <w:rFonts w:hint="eastAsia" w:ascii="宋体" w:hAnsi="宋体" w:cs="宋体"/>
          <w:b/>
          <w:sz w:val="32"/>
          <w:szCs w:val="32"/>
        </w:rPr>
        <w:t>1.5服务内容说明</w:t>
      </w:r>
      <w:bookmarkEnd w:id="81"/>
      <w:bookmarkEnd w:id="82"/>
      <w:bookmarkEnd w:id="83"/>
      <w:bookmarkEnd w:id="84"/>
      <w:bookmarkEnd w:id="85"/>
      <w:bookmarkEnd w:id="86"/>
      <w:bookmarkEnd w:id="87"/>
      <w:bookmarkEnd w:id="88"/>
      <w:bookmarkEnd w:id="99"/>
      <w:bookmarkEnd w:id="100"/>
    </w:p>
    <w:p>
      <w:pPr>
        <w:pStyle w:val="4"/>
        <w:numPr>
          <w:ilvl w:val="2"/>
          <w:numId w:val="0"/>
        </w:numPr>
        <w:spacing w:before="280" w:after="290" w:line="276" w:lineRule="auto"/>
        <w:rPr>
          <w:rFonts w:ascii="宋体" w:hAnsi="宋体"/>
          <w:sz w:val="30"/>
          <w:szCs w:val="30"/>
        </w:rPr>
      </w:pPr>
      <w:bookmarkStart w:id="101" w:name="_Toc7842"/>
      <w:bookmarkStart w:id="102" w:name="_Toc27170"/>
      <w:r>
        <w:rPr>
          <w:rFonts w:hint="eastAsia" w:ascii="宋体" w:hAnsi="宋体"/>
          <w:sz w:val="30"/>
          <w:szCs w:val="30"/>
        </w:rPr>
        <w:t xml:space="preserve">      </w:t>
      </w:r>
      <w:bookmarkStart w:id="103" w:name="_Toc29743"/>
      <w:bookmarkStart w:id="104" w:name="_Toc17875"/>
      <w:r>
        <w:rPr>
          <w:rFonts w:hint="eastAsia" w:ascii="宋体" w:hAnsi="宋体"/>
          <w:sz w:val="30"/>
          <w:szCs w:val="30"/>
        </w:rPr>
        <w:t>1.5.1现场服务</w:t>
      </w:r>
      <w:bookmarkEnd w:id="101"/>
      <w:bookmarkEnd w:id="102"/>
      <w:bookmarkEnd w:id="103"/>
      <w:bookmarkEnd w:id="104"/>
    </w:p>
    <w:p>
      <w:pPr>
        <w:pStyle w:val="6"/>
        <w:numPr>
          <w:ilvl w:val="3"/>
          <w:numId w:val="0"/>
        </w:numPr>
        <w:spacing w:before="160" w:after="120" w:line="276" w:lineRule="auto"/>
        <w:ind w:firstLine="1124" w:firstLineChars="400"/>
        <w:rPr>
          <w:rFonts w:ascii="宋体" w:hAnsi="宋体" w:eastAsia="宋体" w:cs="宋体"/>
        </w:rPr>
      </w:pPr>
      <w:r>
        <w:rPr>
          <w:rFonts w:hint="eastAsia" w:ascii="宋体" w:hAnsi="宋体" w:eastAsia="宋体" w:cs="宋体"/>
        </w:rPr>
        <w:t>1&gt;健康检查服务</w:t>
      </w:r>
    </w:p>
    <w:p>
      <w:pPr>
        <w:spacing w:line="276" w:lineRule="auto"/>
        <w:ind w:firstLine="480" w:firstLineChars="200"/>
        <w:rPr>
          <w:rFonts w:ascii="宋体" w:hAnsi="宋体" w:eastAsia="宋体" w:cs="宋体"/>
          <w:sz w:val="24"/>
        </w:rPr>
      </w:pPr>
      <w:r>
        <w:rPr>
          <w:rFonts w:hint="eastAsia" w:ascii="宋体" w:hAnsi="宋体" w:eastAsia="宋体" w:cs="宋体"/>
          <w:sz w:val="24"/>
        </w:rPr>
        <w:t>为了消除故障、缩短故障历时，提高设备运行性能，每月（或根据要求）</w:t>
      </w:r>
      <w:r>
        <w:rPr>
          <w:rFonts w:hint="eastAsia" w:ascii="宋体" w:hAnsi="宋体" w:cs="宋体"/>
          <w:sz w:val="24"/>
        </w:rPr>
        <w:t>通过数据库性能监控平台</w:t>
      </w:r>
      <w:r>
        <w:rPr>
          <w:rFonts w:hint="eastAsia" w:ascii="宋体" w:hAnsi="宋体" w:eastAsia="宋体" w:cs="宋体"/>
          <w:sz w:val="24"/>
        </w:rPr>
        <w:t>对</w:t>
      </w:r>
      <w:r>
        <w:rPr>
          <w:rFonts w:hint="eastAsia" w:ascii="宋体" w:hAnsi="宋体" w:cs="宋体"/>
          <w:sz w:val="24"/>
        </w:rPr>
        <w:t>营销系统、HMES等</w:t>
      </w:r>
      <w:r>
        <w:rPr>
          <w:rFonts w:hint="eastAsia" w:ascii="宋体" w:hAnsi="宋体" w:eastAsia="宋体" w:cs="宋体"/>
          <w:sz w:val="24"/>
        </w:rPr>
        <w:t>数据库的运行情况进行巡检，以及时发现生产数据库已经存在的或潜在的问题，同时提交系统巡检报告，对系统的存在的问题提出整改建议。</w:t>
      </w:r>
    </w:p>
    <w:p>
      <w:pPr>
        <w:spacing w:line="276" w:lineRule="auto"/>
        <w:ind w:firstLine="480" w:firstLineChars="200"/>
        <w:rPr>
          <w:rFonts w:ascii="宋体" w:hAnsi="宋体" w:eastAsia="宋体" w:cs="宋体"/>
          <w:sz w:val="24"/>
        </w:rPr>
      </w:pPr>
      <w:r>
        <w:rPr>
          <w:rFonts w:hint="eastAsia" w:ascii="宋体" w:hAnsi="宋体" w:eastAsia="宋体" w:cs="宋体"/>
          <w:sz w:val="24"/>
        </w:rPr>
        <w:t>乙方须为中国重汽数据库系统建立运行性能基线历史</w:t>
      </w:r>
      <w:r>
        <w:rPr>
          <w:rFonts w:hint="eastAsia" w:ascii="宋体" w:hAnsi="宋体" w:cs="宋体"/>
          <w:sz w:val="24"/>
        </w:rPr>
        <w:t>趋势分析</w:t>
      </w:r>
      <w:r>
        <w:rPr>
          <w:rFonts w:hint="eastAsia" w:ascii="宋体" w:hAnsi="宋体" w:eastAsia="宋体" w:cs="宋体"/>
          <w:sz w:val="24"/>
        </w:rPr>
        <w:t>，建立系统基本信息、配置基线、性能基线等健康检查标准。及时发现潜在问题并给出相关调整建议，降低潜在的数据丢失、安全侵犯、停机、性能下降或资源限制抢救无效等风险。对可能会产生影响数据库运行和性能的问题进行详细描述，对于巡检发现的问题除了提交报告外将持续跟踪并将问题最终解决。</w:t>
      </w:r>
    </w:p>
    <w:p>
      <w:pPr>
        <w:spacing w:line="276" w:lineRule="auto"/>
        <w:ind w:firstLine="482"/>
        <w:rPr>
          <w:b/>
          <w:sz w:val="24"/>
        </w:rPr>
      </w:pPr>
      <w:r>
        <w:rPr>
          <w:rFonts w:hint="eastAsia"/>
          <w:b/>
          <w:sz w:val="24"/>
        </w:rPr>
        <w:t>（1）软件配置检查</w:t>
      </w:r>
    </w:p>
    <w:p>
      <w:pPr>
        <w:spacing w:line="276" w:lineRule="auto"/>
        <w:ind w:firstLine="480" w:firstLineChars="200"/>
        <w:rPr>
          <w:rFonts w:ascii="宋体" w:hAnsi="宋体" w:eastAsia="宋体" w:cs="宋体"/>
          <w:sz w:val="24"/>
        </w:rPr>
      </w:pPr>
      <w:r>
        <w:rPr>
          <w:rFonts w:hint="eastAsia" w:ascii="宋体" w:hAnsi="宋体" w:eastAsia="宋体" w:cs="宋体"/>
          <w:sz w:val="24"/>
        </w:rPr>
        <w:t>服务工程师应对软件的各项配置进行检查，针对不合理配置项提出调整建议并配合中国重汽进行调整，杜绝因配置不当造成的系统宕机及数据丢失风险。</w:t>
      </w:r>
    </w:p>
    <w:p>
      <w:pPr>
        <w:spacing w:line="276" w:lineRule="auto"/>
        <w:ind w:firstLine="482"/>
        <w:rPr>
          <w:b/>
          <w:sz w:val="24"/>
        </w:rPr>
      </w:pPr>
      <w:r>
        <w:rPr>
          <w:rFonts w:hint="eastAsia"/>
          <w:b/>
          <w:sz w:val="24"/>
        </w:rPr>
        <w:t>（2）软件日志检查</w:t>
      </w:r>
    </w:p>
    <w:p>
      <w:pPr>
        <w:spacing w:line="276" w:lineRule="auto"/>
        <w:ind w:firstLine="480" w:firstLineChars="200"/>
        <w:rPr>
          <w:rFonts w:eastAsia="宋体"/>
          <w:sz w:val="24"/>
        </w:rPr>
      </w:pPr>
      <w:r>
        <w:rPr>
          <w:rFonts w:hint="eastAsia"/>
          <w:sz w:val="24"/>
        </w:rPr>
        <w:t>服务工程师应对软件日常运行日志进行检查并分析错误信息。根据检查结果，对日志文件中出现的错误信息进行产生原因诊断并给出进一步排查方向；对日志文件中系统级别错误和隐患，应在检查报告中重点列出。</w:t>
      </w:r>
    </w:p>
    <w:p>
      <w:pPr>
        <w:spacing w:line="276" w:lineRule="auto"/>
        <w:ind w:firstLine="482"/>
        <w:rPr>
          <w:b/>
          <w:sz w:val="24"/>
        </w:rPr>
      </w:pPr>
      <w:r>
        <w:rPr>
          <w:rFonts w:hint="eastAsia"/>
          <w:b/>
          <w:sz w:val="24"/>
        </w:rPr>
        <w:t>（3）软件性能检查</w:t>
      </w:r>
    </w:p>
    <w:p>
      <w:pPr>
        <w:spacing w:line="276" w:lineRule="auto"/>
        <w:ind w:firstLine="480" w:firstLineChars="200"/>
        <w:rPr>
          <w:sz w:val="24"/>
        </w:rPr>
      </w:pPr>
      <w:r>
        <w:rPr>
          <w:rFonts w:hint="eastAsia"/>
          <w:sz w:val="24"/>
        </w:rPr>
        <w:t>服务工程师应收集软件性能数据，检查并分析潜在的系统瓶颈和可能降低系统性能的因素，提供合理化建议，为系统的高效运行提供协助。容：</w:t>
      </w:r>
    </w:p>
    <w:p>
      <w:pPr>
        <w:pStyle w:val="6"/>
        <w:numPr>
          <w:ilvl w:val="3"/>
          <w:numId w:val="0"/>
        </w:numPr>
        <w:spacing w:before="160" w:after="120" w:line="276" w:lineRule="auto"/>
        <w:ind w:firstLine="1124" w:firstLineChars="400"/>
        <w:rPr>
          <w:rFonts w:ascii="宋体" w:hAnsi="宋体" w:eastAsia="宋体" w:cs="宋体"/>
        </w:rPr>
      </w:pPr>
      <w:bookmarkStart w:id="105" w:name="_Toc43539083"/>
      <w:bookmarkStart w:id="106" w:name="_Toc43538335"/>
      <w:bookmarkStart w:id="107" w:name="_Toc45620925"/>
      <w:bookmarkStart w:id="108" w:name="_Toc43538221"/>
      <w:bookmarkStart w:id="109" w:name="_Toc139031433"/>
      <w:bookmarkStart w:id="110" w:name="_Toc43538164"/>
      <w:bookmarkStart w:id="111" w:name="_Toc45620843"/>
      <w:bookmarkStart w:id="112" w:name="_Toc44065719"/>
      <w:bookmarkStart w:id="113" w:name="_Toc43538799"/>
      <w:r>
        <w:rPr>
          <w:rFonts w:hint="eastAsia" w:ascii="宋体" w:hAnsi="宋体" w:eastAsia="宋体" w:cs="宋体"/>
        </w:rPr>
        <w:t>2&gt;故障处理服务</w:t>
      </w:r>
      <w:bookmarkEnd w:id="105"/>
      <w:bookmarkEnd w:id="106"/>
      <w:bookmarkEnd w:id="107"/>
      <w:bookmarkEnd w:id="108"/>
      <w:bookmarkEnd w:id="109"/>
      <w:bookmarkEnd w:id="110"/>
      <w:bookmarkEnd w:id="111"/>
      <w:bookmarkEnd w:id="112"/>
      <w:bookmarkEnd w:id="113"/>
      <w:bookmarkStart w:id="114" w:name="_Toc45620844"/>
    </w:p>
    <w:p>
      <w:pPr>
        <w:spacing w:line="276" w:lineRule="auto"/>
        <w:ind w:firstLine="482"/>
        <w:rPr>
          <w:b/>
          <w:sz w:val="24"/>
        </w:rPr>
      </w:pPr>
      <w:r>
        <w:rPr>
          <w:rFonts w:hint="eastAsia"/>
          <w:b/>
          <w:sz w:val="24"/>
        </w:rPr>
        <w:t>（1）一般性故障处理</w:t>
      </w:r>
    </w:p>
    <w:bookmarkEnd w:id="114"/>
    <w:p>
      <w:pPr>
        <w:spacing w:line="276" w:lineRule="auto"/>
        <w:ind w:firstLine="480" w:firstLineChars="200"/>
        <w:rPr>
          <w:iCs/>
        </w:rPr>
      </w:pPr>
      <w:r>
        <w:rPr>
          <w:rFonts w:hint="eastAsia" w:ascii="宋体" w:hAnsi="宋体" w:eastAsia="宋体" w:cs="宋体"/>
          <w:sz w:val="24"/>
        </w:rPr>
        <w:t>服务团队须及时响应故障事件并及时对于软件进行处理，在非工作时间对于通过电话支持服务和远程技术支持服务都不能解决的故障，投标人须迅速提供故障处理服务，安排专门维护工程师分析故障原因，制定故障解决方案，并最终排除故障。对于故障处理，须遵循记录、分析、处理、解决的闭环处理方法，以找到故障根源、避免或预防二次故障为最终解决的标准。</w:t>
      </w:r>
    </w:p>
    <w:p>
      <w:pPr>
        <w:spacing w:line="276" w:lineRule="auto"/>
        <w:ind w:firstLine="482"/>
        <w:rPr>
          <w:b/>
          <w:sz w:val="24"/>
        </w:rPr>
      </w:pPr>
      <w:bookmarkStart w:id="115" w:name="_Toc44065720"/>
      <w:bookmarkStart w:id="116" w:name="_Toc43538222"/>
      <w:bookmarkStart w:id="117" w:name="_Toc45620847"/>
      <w:bookmarkStart w:id="118" w:name="_Toc43538165"/>
      <w:bookmarkStart w:id="119" w:name="_Toc43538800"/>
      <w:bookmarkStart w:id="120" w:name="_Toc43538336"/>
      <w:bookmarkStart w:id="121" w:name="_Toc139031434"/>
      <w:bookmarkStart w:id="122" w:name="_Toc43539084"/>
      <w:bookmarkStart w:id="123" w:name="_Toc45620926"/>
      <w:r>
        <w:rPr>
          <w:rFonts w:hint="eastAsia"/>
          <w:b/>
          <w:sz w:val="24"/>
        </w:rPr>
        <w:t>（2）紧急故障排除</w:t>
      </w:r>
      <w:bookmarkEnd w:id="115"/>
      <w:bookmarkEnd w:id="116"/>
      <w:bookmarkEnd w:id="117"/>
      <w:bookmarkEnd w:id="118"/>
      <w:bookmarkEnd w:id="119"/>
      <w:bookmarkEnd w:id="120"/>
      <w:bookmarkEnd w:id="121"/>
      <w:bookmarkEnd w:id="122"/>
      <w:bookmarkEnd w:id="123"/>
      <w:bookmarkStart w:id="124" w:name="_Toc45620848"/>
    </w:p>
    <w:bookmarkEnd w:id="124"/>
    <w:p>
      <w:pPr>
        <w:spacing w:line="276" w:lineRule="auto"/>
        <w:ind w:firstLine="480" w:firstLineChars="200"/>
      </w:pPr>
      <w:r>
        <w:rPr>
          <w:rFonts w:hint="eastAsia" w:ascii="宋体" w:hAnsi="宋体" w:eastAsia="宋体" w:cs="宋体"/>
          <w:sz w:val="24"/>
        </w:rPr>
        <w:t>紧急故障排除服务是为了快速地解决核心制造、生产、职能以及个应用系统的一级故障发生而提供的服务。</w:t>
      </w:r>
    </w:p>
    <w:p>
      <w:pPr>
        <w:spacing w:line="276" w:lineRule="auto"/>
        <w:ind w:left="420"/>
        <w:rPr>
          <w:b/>
          <w:sz w:val="24"/>
        </w:rPr>
      </w:pPr>
      <w:r>
        <w:rPr>
          <w:rFonts w:hint="eastAsia"/>
          <w:b/>
          <w:sz w:val="24"/>
        </w:rPr>
        <w:t>（3）故障响应及处理时间要求</w:t>
      </w:r>
    </w:p>
    <w:p>
      <w:pPr>
        <w:spacing w:line="276" w:lineRule="auto"/>
        <w:rPr>
          <w:rFonts w:eastAsia="宋体"/>
          <w:sz w:val="24"/>
        </w:rPr>
      </w:pPr>
      <w:r>
        <w:rPr>
          <w:rFonts w:hint="eastAsia"/>
          <w:sz w:val="24"/>
        </w:rPr>
        <w:tab/>
      </w:r>
      <w:r>
        <w:rPr>
          <w:rFonts w:hint="eastAsia"/>
          <w:sz w:val="24"/>
        </w:rPr>
        <w:t>对于故障的处理，要求如下：</w:t>
      </w:r>
    </w:p>
    <w:tbl>
      <w:tblPr>
        <w:tblStyle w:val="15"/>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050"/>
        <w:gridCol w:w="170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故障级别</w:t>
            </w:r>
          </w:p>
        </w:tc>
        <w:tc>
          <w:tcPr>
            <w:tcW w:w="5050" w:type="dxa"/>
            <w:vAlign w:val="center"/>
          </w:tcPr>
          <w:p>
            <w:pPr>
              <w:spacing w:line="276" w:lineRule="auto"/>
              <w:ind w:firstLine="480"/>
            </w:pPr>
            <w:r>
              <w:rPr>
                <w:rFonts w:hint="eastAsia"/>
              </w:rPr>
              <w:t>故障描述</w:t>
            </w:r>
          </w:p>
        </w:tc>
        <w:tc>
          <w:tcPr>
            <w:tcW w:w="1701" w:type="dxa"/>
            <w:vAlign w:val="center"/>
          </w:tcPr>
          <w:p>
            <w:pPr>
              <w:spacing w:line="276" w:lineRule="auto"/>
            </w:pPr>
            <w:r>
              <w:rPr>
                <w:rFonts w:hint="eastAsia"/>
              </w:rPr>
              <w:t>响应时间要求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一级故障</w:t>
            </w:r>
          </w:p>
        </w:tc>
        <w:tc>
          <w:tcPr>
            <w:tcW w:w="5050" w:type="dxa"/>
            <w:vAlign w:val="center"/>
          </w:tcPr>
          <w:p>
            <w:pPr>
              <w:spacing w:line="276" w:lineRule="auto"/>
              <w:ind w:firstLine="34"/>
            </w:pPr>
            <w:r>
              <w:rPr>
                <w:rFonts w:hint="eastAsia"/>
              </w:rPr>
              <w:t>整个数据库瘫痪，基本功能不能实现或者全面退化</w:t>
            </w:r>
          </w:p>
        </w:tc>
        <w:tc>
          <w:tcPr>
            <w:tcW w:w="1701" w:type="dxa"/>
            <w:vAlign w:val="center"/>
          </w:tcPr>
          <w:p>
            <w:pPr>
              <w:spacing w:line="276" w:lineRule="auto"/>
              <w:ind w:firstLine="21"/>
            </w:pPr>
            <w:r>
              <w:rPr>
                <w:rFonts w:hint="eastAsia"/>
              </w:rPr>
              <w:t>少于15分钟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二级故障</w:t>
            </w:r>
          </w:p>
        </w:tc>
        <w:tc>
          <w:tcPr>
            <w:tcW w:w="5050" w:type="dxa"/>
            <w:vAlign w:val="center"/>
          </w:tcPr>
          <w:p>
            <w:pPr>
              <w:spacing w:line="276" w:lineRule="auto"/>
              <w:ind w:firstLine="34"/>
            </w:pPr>
            <w:r>
              <w:rPr>
                <w:rFonts w:hint="eastAsia"/>
              </w:rPr>
              <w:t>潜在的整个数据库瘫痪</w:t>
            </w:r>
          </w:p>
        </w:tc>
        <w:tc>
          <w:tcPr>
            <w:tcW w:w="1701" w:type="dxa"/>
            <w:vAlign w:val="center"/>
          </w:tcPr>
          <w:p>
            <w:pPr>
              <w:spacing w:line="276" w:lineRule="auto"/>
              <w:ind w:firstLine="34"/>
            </w:pPr>
            <w:r>
              <w:rPr>
                <w:rFonts w:hint="eastAsia"/>
              </w:rPr>
              <w:t>少于30分钟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三级故障</w:t>
            </w:r>
          </w:p>
        </w:tc>
        <w:tc>
          <w:tcPr>
            <w:tcW w:w="5050" w:type="dxa"/>
            <w:vAlign w:val="center"/>
          </w:tcPr>
          <w:p>
            <w:pPr>
              <w:spacing w:line="276" w:lineRule="auto"/>
              <w:ind w:firstLine="34"/>
            </w:pPr>
            <w:r>
              <w:rPr>
                <w:rFonts w:hint="eastAsia"/>
              </w:rPr>
              <w:t>直接影响服务、设备性能或服务部分退化、断续或间接影响服务</w:t>
            </w:r>
          </w:p>
        </w:tc>
        <w:tc>
          <w:tcPr>
            <w:tcW w:w="1701" w:type="dxa"/>
            <w:vAlign w:val="center"/>
          </w:tcPr>
          <w:p>
            <w:pPr>
              <w:spacing w:line="276" w:lineRule="auto"/>
              <w:ind w:firstLine="34"/>
            </w:pPr>
            <w:r>
              <w:rPr>
                <w:rFonts w:hint="eastAsia"/>
              </w:rPr>
              <w:t>少于1小时</w:t>
            </w:r>
          </w:p>
        </w:tc>
      </w:tr>
    </w:tbl>
    <w:p>
      <w:pPr>
        <w:spacing w:line="276" w:lineRule="auto"/>
      </w:pPr>
    </w:p>
    <w:p>
      <w:pPr>
        <w:pStyle w:val="6"/>
        <w:numPr>
          <w:ilvl w:val="3"/>
          <w:numId w:val="0"/>
        </w:numPr>
        <w:spacing w:before="160" w:after="120" w:line="276" w:lineRule="auto"/>
        <w:ind w:firstLine="1124" w:firstLineChars="400"/>
        <w:rPr>
          <w:rFonts w:ascii="宋体" w:hAnsi="宋体" w:eastAsia="宋体" w:cs="宋体"/>
        </w:rPr>
      </w:pPr>
      <w:bookmarkStart w:id="125" w:name="_Toc43538801"/>
      <w:bookmarkStart w:id="126" w:name="_Toc44065721"/>
      <w:bookmarkStart w:id="127" w:name="_Toc45620927"/>
      <w:bookmarkStart w:id="128" w:name="_Toc43538337"/>
      <w:bookmarkStart w:id="129" w:name="_Toc45620851"/>
      <w:bookmarkStart w:id="130" w:name="_Toc43538166"/>
      <w:bookmarkStart w:id="131" w:name="_Toc43539085"/>
      <w:bookmarkStart w:id="132" w:name="_Toc139031435"/>
      <w:bookmarkStart w:id="133" w:name="_Toc43538223"/>
      <w:r>
        <w:rPr>
          <w:rFonts w:hint="eastAsia" w:ascii="宋体" w:hAnsi="宋体" w:eastAsia="宋体" w:cs="宋体"/>
        </w:rPr>
        <w:t>3&gt;版本管理和软件补丁服务</w:t>
      </w:r>
      <w:bookmarkEnd w:id="125"/>
      <w:bookmarkEnd w:id="126"/>
      <w:bookmarkEnd w:id="127"/>
      <w:bookmarkEnd w:id="128"/>
      <w:bookmarkEnd w:id="129"/>
      <w:bookmarkEnd w:id="130"/>
      <w:bookmarkEnd w:id="131"/>
      <w:bookmarkEnd w:id="132"/>
      <w:bookmarkEnd w:id="133"/>
    </w:p>
    <w:p>
      <w:pPr>
        <w:spacing w:line="276" w:lineRule="auto"/>
        <w:ind w:firstLine="480" w:firstLineChars="200"/>
        <w:rPr>
          <w:rFonts w:ascii="宋体" w:hAnsi="宋体" w:eastAsia="宋体" w:cs="宋体"/>
          <w:sz w:val="24"/>
        </w:rPr>
      </w:pPr>
      <w:r>
        <w:rPr>
          <w:rFonts w:hint="eastAsia" w:ascii="宋体" w:hAnsi="宋体" w:eastAsia="宋体" w:cs="宋体"/>
          <w:sz w:val="24"/>
        </w:rPr>
        <w:t>为提高数据库的稳定性，规避风险，乙方须定期分析业务系统数据库隐患，结合中国重汽的业务需求的具体情况，每季度（或根据双方约定的时间）主动提出补丁预警方案，并执行严格的风险评估及制定完善的升级计划，对任何可能存在的风险进行规避。</w:t>
      </w:r>
    </w:p>
    <w:p>
      <w:pPr>
        <w:spacing w:line="276" w:lineRule="auto"/>
        <w:ind w:firstLine="480" w:firstLineChars="200"/>
        <w:rPr>
          <w:rFonts w:ascii="宋体" w:hAnsi="宋体" w:eastAsia="宋体" w:cs="宋体"/>
          <w:sz w:val="24"/>
        </w:rPr>
      </w:pPr>
      <w:r>
        <w:rPr>
          <w:rFonts w:hint="eastAsia" w:ascii="宋体" w:hAnsi="宋体" w:eastAsia="宋体" w:cs="宋体"/>
          <w:sz w:val="24"/>
        </w:rPr>
        <w:t>负责实施系统升级服务、配合中国重汽进行系统升级完成后的测试、提交系统升级实施报告和测试报告等。</w:t>
      </w:r>
    </w:p>
    <w:p>
      <w:pPr>
        <w:pStyle w:val="6"/>
        <w:numPr>
          <w:ilvl w:val="3"/>
          <w:numId w:val="0"/>
        </w:numPr>
        <w:spacing w:before="160" w:after="120" w:line="276" w:lineRule="auto"/>
        <w:ind w:firstLine="1124" w:firstLineChars="400"/>
        <w:rPr>
          <w:rFonts w:ascii="宋体" w:hAnsi="宋体" w:eastAsia="宋体" w:cs="宋体"/>
        </w:rPr>
      </w:pPr>
      <w:r>
        <w:rPr>
          <w:rFonts w:hint="eastAsia" w:ascii="宋体" w:hAnsi="宋体" w:eastAsia="宋体" w:cs="宋体"/>
        </w:rPr>
        <w:t>4&gt;系统优化服务</w:t>
      </w:r>
    </w:p>
    <w:p>
      <w:pPr>
        <w:spacing w:line="276" w:lineRule="auto"/>
        <w:ind w:left="420"/>
        <w:rPr>
          <w:b/>
          <w:sz w:val="24"/>
        </w:rPr>
      </w:pPr>
      <w:r>
        <w:rPr>
          <w:rFonts w:hint="eastAsia"/>
          <w:b/>
          <w:sz w:val="24"/>
        </w:rPr>
        <w:t>（1）数据库优化服务</w:t>
      </w:r>
    </w:p>
    <w:p>
      <w:pPr>
        <w:spacing w:line="276" w:lineRule="auto"/>
        <w:ind w:firstLine="480" w:firstLineChars="200"/>
        <w:rPr>
          <w:b/>
          <w:iCs/>
        </w:rPr>
      </w:pPr>
      <w:r>
        <w:rPr>
          <w:rFonts w:hint="eastAsia" w:ascii="宋体" w:hAnsi="宋体" w:cs="宋体"/>
          <w:sz w:val="24"/>
        </w:rPr>
        <w:t>通过数据库性能监控平台对数据库性能进行分析。</w:t>
      </w:r>
      <w:r>
        <w:rPr>
          <w:rFonts w:hint="eastAsia" w:ascii="宋体" w:hAnsi="宋体" w:eastAsia="宋体" w:cs="宋体"/>
          <w:sz w:val="24"/>
        </w:rPr>
        <w:t>数据库性能降低后将导致应用响应慢、统计或报表计算时间加长和难于维护等不良影响，严重生产效率。乙方须跟踪系统现状，</w:t>
      </w:r>
      <w:r>
        <w:rPr>
          <w:rFonts w:hint="eastAsia" w:ascii="宋体" w:hAnsi="宋体" w:cs="宋体"/>
          <w:sz w:val="24"/>
        </w:rPr>
        <w:t>通过数据库性能监控平台，结合</w:t>
      </w:r>
      <w:r>
        <w:rPr>
          <w:rFonts w:hint="eastAsia" w:ascii="宋体" w:hAnsi="宋体" w:eastAsia="宋体" w:cs="宋体"/>
          <w:sz w:val="24"/>
        </w:rPr>
        <w:t>客户的应用类型和用户行为、评价数据库的参数设置、数据分布、硬件和系统资源的使用情况等</w:t>
      </w:r>
      <w:r>
        <w:rPr>
          <w:rFonts w:hint="eastAsia" w:ascii="宋体" w:hAnsi="宋体" w:cs="宋体"/>
          <w:sz w:val="24"/>
        </w:rPr>
        <w:t>进行分析</w:t>
      </w:r>
      <w:r>
        <w:rPr>
          <w:rFonts w:hint="eastAsia" w:ascii="宋体" w:hAnsi="宋体" w:eastAsia="宋体" w:cs="宋体"/>
          <w:sz w:val="24"/>
        </w:rPr>
        <w:t>，并提出相关调整建议，必要时可以随时在规定的时间内派技术专家到达客户现场，处理客户系统性能问题，确保客户系统的高效运转。</w:t>
      </w:r>
    </w:p>
    <w:p>
      <w:pPr>
        <w:spacing w:line="276" w:lineRule="auto"/>
        <w:ind w:left="420"/>
        <w:rPr>
          <w:b/>
          <w:sz w:val="24"/>
        </w:rPr>
      </w:pPr>
      <w:r>
        <w:rPr>
          <w:rFonts w:hint="eastAsia"/>
          <w:b/>
          <w:sz w:val="24"/>
        </w:rPr>
        <w:t>（2）综合调优服务</w:t>
      </w:r>
    </w:p>
    <w:p>
      <w:pPr>
        <w:spacing w:line="276" w:lineRule="auto"/>
        <w:ind w:firstLine="480" w:firstLineChars="200"/>
        <w:rPr>
          <w:rFonts w:ascii="宋体" w:hAnsi="宋体" w:eastAsia="宋体" w:cs="宋体"/>
          <w:sz w:val="24"/>
        </w:rPr>
      </w:pPr>
      <w:r>
        <w:rPr>
          <w:rFonts w:hint="eastAsia" w:ascii="宋体" w:hAnsi="宋体" w:eastAsia="宋体" w:cs="宋体"/>
          <w:sz w:val="24"/>
        </w:rPr>
        <w:t>当用户感知系统运行缓慢或当系统出现性能问题时，根据中国重汽的需要，在预定时间内安排固定工程师到现场对数据库软件产品运行效率进行分析和调优，全面提升业务系统用户体验。</w:t>
      </w:r>
    </w:p>
    <w:p>
      <w:pPr>
        <w:spacing w:line="276" w:lineRule="auto"/>
        <w:ind w:firstLine="480" w:firstLineChars="200"/>
      </w:pPr>
      <w:r>
        <w:rPr>
          <w:rFonts w:hint="eastAsia" w:ascii="宋体" w:hAnsi="宋体" w:eastAsia="宋体" w:cs="宋体"/>
          <w:sz w:val="24"/>
        </w:rPr>
        <w:t>服务厂商应将根据用户要求派指定服务工程师在双方约定时间内（或每月）赶往中国重汽现场，提供不间断的性能调优服务，每次优化须达到中国重汽提出的量化目标。</w:t>
      </w:r>
    </w:p>
    <w:p>
      <w:pPr>
        <w:pStyle w:val="6"/>
        <w:numPr>
          <w:ilvl w:val="3"/>
          <w:numId w:val="0"/>
        </w:numPr>
        <w:spacing w:before="160" w:after="120" w:line="276" w:lineRule="auto"/>
        <w:ind w:firstLine="1124" w:firstLineChars="400"/>
        <w:rPr>
          <w:rFonts w:ascii="宋体" w:hAnsi="宋体" w:eastAsia="宋体" w:cs="宋体"/>
        </w:rPr>
      </w:pPr>
      <w:bookmarkStart w:id="134" w:name="_Toc222908948"/>
      <w:bookmarkStart w:id="135" w:name="_Toc266369998"/>
      <w:r>
        <w:rPr>
          <w:rFonts w:hint="eastAsia" w:ascii="宋体" w:hAnsi="宋体" w:eastAsia="宋体" w:cs="宋体"/>
        </w:rPr>
        <w:t>5&gt;性能监控服务</w:t>
      </w:r>
      <w:bookmarkEnd w:id="134"/>
      <w:bookmarkEnd w:id="135"/>
    </w:p>
    <w:p>
      <w:pPr>
        <w:spacing w:line="276" w:lineRule="auto"/>
        <w:ind w:firstLine="480" w:firstLineChars="200"/>
        <w:rPr>
          <w:rFonts w:ascii="宋体" w:hAnsi="宋体"/>
          <w:sz w:val="24"/>
        </w:rPr>
      </w:pPr>
      <w:r>
        <w:rPr>
          <w:rFonts w:hint="eastAsia" w:ascii="宋体" w:hAnsi="宋体"/>
          <w:sz w:val="24"/>
        </w:rPr>
        <w:t>目前中国重汽涉及的数据库版本较多，为确保系统的高效运行，需要有统有集中化的性能监控技术手段对中国重汽的数据库系统进行7×24小时实时性能监控及时掌握系统情况，并定期出相关的性能分析报告，科</w:t>
      </w:r>
      <w:r>
        <w:rPr>
          <w:rFonts w:ascii="宋体" w:hAnsi="宋体"/>
          <w:sz w:val="24"/>
        </w:rPr>
        <w:t>学地预测和掌握主机应用系统的性能状态，使</w:t>
      </w:r>
      <w:r>
        <w:rPr>
          <w:rFonts w:hint="eastAsia" w:ascii="宋体" w:hAnsi="宋体"/>
          <w:sz w:val="24"/>
        </w:rPr>
        <w:t>数据库</w:t>
      </w:r>
      <w:r>
        <w:rPr>
          <w:rFonts w:ascii="宋体" w:hAnsi="宋体"/>
          <w:sz w:val="24"/>
        </w:rPr>
        <w:t>系统能够满足不断增长的业务应用需要</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鉴于业务支撑系统的复杂性及重要性，性能监控服务须能满足以下要求：</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多平台、多版本支持</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提供标准化操作脚本或工具</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实时监控所有指标、多层次分析原因</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自动告警推送</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直观动态拓扑图形展示</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图形化的日志分析功能</w:t>
      </w:r>
    </w:p>
    <w:p>
      <w:pPr>
        <w:spacing w:line="276" w:lineRule="auto"/>
        <w:ind w:left="543" w:firstLine="420"/>
      </w:pPr>
    </w:p>
    <w:p>
      <w:pPr>
        <w:pStyle w:val="6"/>
        <w:numPr>
          <w:ilvl w:val="3"/>
          <w:numId w:val="0"/>
        </w:numPr>
        <w:spacing w:before="160" w:after="120" w:line="276" w:lineRule="auto"/>
        <w:ind w:firstLine="1124" w:firstLineChars="400"/>
        <w:rPr>
          <w:rFonts w:ascii="宋体" w:hAnsi="宋体" w:eastAsia="宋体" w:cs="宋体"/>
        </w:rPr>
      </w:pPr>
      <w:r>
        <w:rPr>
          <w:rFonts w:hint="eastAsia" w:ascii="宋体" w:hAnsi="宋体" w:eastAsia="宋体" w:cs="宋体"/>
        </w:rPr>
        <w:t>6&gt;关健时间窗口保障</w:t>
      </w:r>
    </w:p>
    <w:p>
      <w:pPr>
        <w:spacing w:line="276" w:lineRule="auto"/>
        <w:ind w:firstLine="480" w:firstLineChars="200"/>
        <w:rPr>
          <w:rFonts w:ascii="宋体" w:hAnsi="宋体" w:eastAsia="宋体" w:cs="宋体"/>
          <w:sz w:val="24"/>
        </w:rPr>
      </w:pPr>
      <w:r>
        <w:rPr>
          <w:rFonts w:hint="eastAsia" w:ascii="宋体" w:hAnsi="宋体" w:eastAsia="宋体" w:cs="宋体"/>
          <w:sz w:val="24"/>
        </w:rPr>
        <w:t>国家法定假日（元旦、春节、清明、五一、端午、国庆、中秋）期间，或其他关键时间窗口，每月出账、市场活动等负载高峰期。为确系统的安全、高效、稳定运行，须制订完善的保障措施，实现系统运行的可防、可控、可治。</w:t>
      </w:r>
    </w:p>
    <w:p>
      <w:pPr>
        <w:spacing w:line="276" w:lineRule="auto"/>
        <w:ind w:firstLine="480" w:firstLineChars="200"/>
        <w:rPr>
          <w:rFonts w:ascii="宋体" w:hAnsi="宋体" w:eastAsia="宋体" w:cs="宋体"/>
          <w:sz w:val="24"/>
        </w:rPr>
      </w:pPr>
      <w:r>
        <w:rPr>
          <w:rFonts w:hint="eastAsia" w:ascii="宋体" w:hAnsi="宋体" w:eastAsia="宋体" w:cs="宋体"/>
          <w:sz w:val="24"/>
        </w:rPr>
        <w:t>关键时间窗口保障前，需提供详细的保障工作计划，并交中国重汽相关负责人。根据不同的保障级别，保障措施须详实有效。</w:t>
      </w:r>
    </w:p>
    <w:p>
      <w:pPr>
        <w:pStyle w:val="6"/>
        <w:numPr>
          <w:ilvl w:val="3"/>
          <w:numId w:val="0"/>
        </w:numPr>
        <w:spacing w:before="160" w:after="120" w:line="276" w:lineRule="auto"/>
        <w:ind w:firstLine="1124" w:firstLineChars="400"/>
        <w:rPr>
          <w:rFonts w:ascii="宋体" w:hAnsi="宋体" w:eastAsia="宋体" w:cs="宋体"/>
        </w:rPr>
      </w:pPr>
      <w:r>
        <w:rPr>
          <w:rFonts w:hint="eastAsia" w:ascii="宋体" w:hAnsi="宋体" w:eastAsia="宋体" w:cs="宋体"/>
        </w:rPr>
        <w:t>7&gt;工程割接配合工作</w:t>
      </w:r>
    </w:p>
    <w:p>
      <w:pPr>
        <w:spacing w:line="276" w:lineRule="auto"/>
        <w:ind w:firstLine="482" w:firstLineChars="200"/>
        <w:rPr>
          <w:rFonts w:ascii="宋体" w:hAnsi="宋体" w:eastAsia="宋体" w:cs="宋体"/>
          <w:b/>
          <w:sz w:val="24"/>
        </w:rPr>
      </w:pPr>
      <w:r>
        <w:rPr>
          <w:rFonts w:hint="eastAsia" w:ascii="宋体" w:hAnsi="宋体" w:eastAsia="宋体" w:cs="宋体"/>
          <w:b/>
          <w:sz w:val="24"/>
        </w:rPr>
        <w:t>（1）工程割接配合</w:t>
      </w:r>
    </w:p>
    <w:p>
      <w:pPr>
        <w:spacing w:line="276" w:lineRule="auto"/>
        <w:ind w:firstLine="480" w:firstLineChars="200"/>
        <w:rPr>
          <w:rFonts w:ascii="宋体" w:hAnsi="宋体" w:eastAsia="宋体" w:cs="宋体"/>
          <w:sz w:val="24"/>
        </w:rPr>
      </w:pPr>
      <w:r>
        <w:rPr>
          <w:rFonts w:hint="eastAsia" w:ascii="宋体" w:hAnsi="宋体" w:eastAsia="宋体" w:cs="宋体"/>
          <w:sz w:val="24"/>
        </w:rPr>
        <w:t>对于重大的工程割接，为确保工程割接的顺利进行，乙方需组织技术专家配合工程的各项工作，要求方案安全有效可回溯。</w:t>
      </w:r>
    </w:p>
    <w:p>
      <w:pPr>
        <w:spacing w:line="276" w:lineRule="auto"/>
        <w:ind w:firstLine="482" w:firstLineChars="200"/>
        <w:rPr>
          <w:rFonts w:ascii="宋体" w:hAnsi="宋体" w:eastAsia="宋体" w:cs="宋体"/>
          <w:b/>
          <w:sz w:val="24"/>
        </w:rPr>
      </w:pPr>
      <w:r>
        <w:rPr>
          <w:rFonts w:hint="eastAsia" w:ascii="宋体" w:hAnsi="宋体" w:eastAsia="宋体" w:cs="宋体"/>
          <w:b/>
          <w:sz w:val="24"/>
        </w:rPr>
        <w:t>（2）应用版本上线配合</w:t>
      </w:r>
    </w:p>
    <w:p>
      <w:pPr>
        <w:spacing w:line="276" w:lineRule="auto"/>
        <w:rPr>
          <w:rFonts w:ascii="宋体" w:hAnsi="宋体" w:eastAsia="宋体" w:cs="宋体"/>
          <w:sz w:val="24"/>
        </w:rPr>
      </w:pPr>
      <w:r>
        <w:rPr>
          <w:rFonts w:hint="eastAsia" w:ascii="宋体" w:hAnsi="宋体" w:eastAsia="宋体" w:cs="宋体"/>
          <w:sz w:val="24"/>
        </w:rPr>
        <w:t xml:space="preserve">    随着业务需求的日趋复杂，为避免版本上线对现网系统造成稳定性以及性能的影响，乙方须组织技术专家做好版本上线保障工作，方案须详实有效。</w:t>
      </w:r>
    </w:p>
    <w:p>
      <w:pPr>
        <w:pStyle w:val="6"/>
        <w:numPr>
          <w:ilvl w:val="3"/>
          <w:numId w:val="0"/>
        </w:numPr>
        <w:spacing w:before="160" w:after="120" w:line="276" w:lineRule="auto"/>
        <w:ind w:firstLine="1124" w:firstLineChars="400"/>
        <w:rPr>
          <w:rFonts w:ascii="宋体" w:hAnsi="宋体" w:eastAsia="宋体" w:cs="宋体"/>
        </w:rPr>
      </w:pPr>
      <w:r>
        <w:rPr>
          <w:rFonts w:hint="eastAsia" w:ascii="宋体" w:hAnsi="宋体" w:eastAsia="宋体" w:cs="宋体"/>
        </w:rPr>
        <w:t xml:space="preserve">8&gt;协助维护工作 </w:t>
      </w:r>
    </w:p>
    <w:p>
      <w:pPr>
        <w:spacing w:line="276" w:lineRule="auto"/>
        <w:ind w:left="420"/>
        <w:rPr>
          <w:rFonts w:ascii="宋体" w:hAnsi="宋体" w:eastAsia="宋体" w:cs="宋体"/>
          <w:sz w:val="24"/>
        </w:rPr>
      </w:pPr>
      <w:r>
        <w:rPr>
          <w:rFonts w:hint="eastAsia" w:ascii="宋体" w:hAnsi="宋体" w:eastAsia="宋体" w:cs="宋体"/>
          <w:sz w:val="24"/>
        </w:rPr>
        <w:t>(1)供应商能够提供协助维护工作，配合对与数据库相关的维护及备份软件的监控及维护工作。</w:t>
      </w:r>
    </w:p>
    <w:p>
      <w:pPr>
        <w:pStyle w:val="26"/>
        <w:spacing w:line="276" w:lineRule="auto"/>
        <w:ind w:left="420" w:firstLine="0" w:firstLineChars="0"/>
        <w:rPr>
          <w:rFonts w:ascii="宋体" w:hAnsi="宋体" w:eastAsia="宋体" w:cs="宋体"/>
          <w:sz w:val="24"/>
        </w:rPr>
      </w:pPr>
      <w:r>
        <w:rPr>
          <w:rFonts w:hint="eastAsia" w:ascii="宋体" w:hAnsi="宋体" w:eastAsia="宋体" w:cs="宋体"/>
          <w:sz w:val="24"/>
        </w:rPr>
        <w:t>(2)供应商需要定期进行运维知识体系积累。并能够将积累的知识借助中国重汽一体化运维平台实现日常运维集成化、标准化、智能化、可视化。以此提高工作效率，降低IT运维成本和风险。</w:t>
      </w:r>
    </w:p>
    <w:p>
      <w:pPr>
        <w:pStyle w:val="4"/>
        <w:numPr>
          <w:ilvl w:val="2"/>
          <w:numId w:val="0"/>
        </w:numPr>
        <w:spacing w:before="280" w:after="290" w:line="276" w:lineRule="auto"/>
        <w:ind w:firstLine="602" w:firstLineChars="200"/>
        <w:rPr>
          <w:rFonts w:ascii="宋体" w:hAnsi="宋体"/>
          <w:sz w:val="30"/>
          <w:szCs w:val="30"/>
        </w:rPr>
      </w:pPr>
      <w:bookmarkStart w:id="136" w:name="_Toc14701"/>
      <w:bookmarkStart w:id="137" w:name="_Toc13851"/>
      <w:bookmarkStart w:id="138" w:name="_Toc20807"/>
      <w:bookmarkStart w:id="139" w:name="_Toc27539"/>
      <w:r>
        <w:rPr>
          <w:rFonts w:hint="eastAsia" w:ascii="宋体" w:hAnsi="宋体"/>
          <w:sz w:val="30"/>
          <w:szCs w:val="30"/>
        </w:rPr>
        <w:t>1.5.2远程支持服务</w:t>
      </w:r>
      <w:bookmarkEnd w:id="136"/>
      <w:bookmarkEnd w:id="137"/>
      <w:bookmarkEnd w:id="138"/>
      <w:bookmarkEnd w:id="139"/>
    </w:p>
    <w:p>
      <w:pPr>
        <w:spacing w:line="276" w:lineRule="auto"/>
        <w:ind w:firstLine="480" w:firstLineChars="200"/>
        <w:rPr>
          <w:rFonts w:ascii="宋体" w:hAnsi="宋体" w:eastAsia="宋体" w:cs="宋体"/>
          <w:sz w:val="24"/>
        </w:rPr>
      </w:pPr>
      <w:r>
        <w:rPr>
          <w:rFonts w:hint="eastAsia" w:ascii="宋体" w:hAnsi="宋体" w:eastAsia="宋体" w:cs="宋体"/>
          <w:sz w:val="24"/>
        </w:rPr>
        <w:t>乙方提供7*24全天候的远程技术支持服务和问题解答，包括不限于电话、邮件、VPN或QQ等方式进行远程技术支持服务。必要时，在甲方同意的前提下通过VPN等其他远程方式登录客户现场环境，实施远程紧急救援或技术支援。</w:t>
      </w:r>
    </w:p>
    <w:p>
      <w:pPr>
        <w:pStyle w:val="4"/>
        <w:numPr>
          <w:ilvl w:val="2"/>
          <w:numId w:val="0"/>
        </w:numPr>
        <w:spacing w:before="280" w:after="290" w:line="276" w:lineRule="auto"/>
        <w:ind w:firstLine="602" w:firstLineChars="200"/>
        <w:rPr>
          <w:rFonts w:ascii="宋体" w:hAnsi="宋体"/>
          <w:sz w:val="30"/>
          <w:szCs w:val="30"/>
        </w:rPr>
      </w:pPr>
      <w:bookmarkStart w:id="140" w:name="_Toc3270"/>
      <w:bookmarkStart w:id="141" w:name="_Toc16967"/>
      <w:bookmarkStart w:id="142" w:name="_Toc26380"/>
      <w:bookmarkStart w:id="143" w:name="_Toc13925"/>
      <w:r>
        <w:rPr>
          <w:rFonts w:hint="eastAsia" w:ascii="宋体" w:hAnsi="宋体"/>
          <w:sz w:val="30"/>
          <w:szCs w:val="30"/>
        </w:rPr>
        <w:t>1.5.3运维管理流程建设服务</w:t>
      </w:r>
      <w:bookmarkEnd w:id="140"/>
      <w:bookmarkEnd w:id="141"/>
      <w:bookmarkEnd w:id="142"/>
      <w:bookmarkEnd w:id="143"/>
    </w:p>
    <w:p>
      <w:pPr>
        <w:spacing w:line="276" w:lineRule="auto"/>
        <w:ind w:left="420" w:firstLine="480" w:firstLineChars="200"/>
      </w:pPr>
      <w:r>
        <w:rPr>
          <w:rFonts w:hint="eastAsia" w:ascii="宋体" w:hAnsi="宋体" w:eastAsia="宋体" w:cs="宋体"/>
          <w:sz w:val="24"/>
        </w:rPr>
        <w:t>为了提升中国重汽数据库运维管理效率与质量，主要包括提升数据库故障处理效率、提升故障应急处理能力、提升应用版本上线质量等，要求乙方提供在数据库运维管理流程方面的咨询与建议。要求乙方根据其在其他用户大型系统整体运维管理方面的经验，协助中国重汽建立或优化数据库运维管理流程，形成快速、有效、规范的数据库运维管理体系。本服务根据需求方要求，由乙方安排额外的专家资源进行支持与响应，由在数据库运维管理领域有丰富经验的技术专家负责</w:t>
      </w:r>
      <w:r>
        <w:rPr>
          <w:rFonts w:hint="eastAsia"/>
          <w:sz w:val="24"/>
        </w:rPr>
        <w:t>提供服务。方案须详实可行性高且有成功案例。</w:t>
      </w:r>
    </w:p>
    <w:p>
      <w:pPr>
        <w:pStyle w:val="4"/>
        <w:numPr>
          <w:ilvl w:val="2"/>
          <w:numId w:val="0"/>
        </w:numPr>
        <w:spacing w:before="280" w:after="290" w:line="276" w:lineRule="auto"/>
        <w:ind w:firstLine="602" w:firstLineChars="200"/>
        <w:rPr>
          <w:rFonts w:ascii="宋体" w:hAnsi="宋体"/>
          <w:sz w:val="30"/>
          <w:szCs w:val="30"/>
        </w:rPr>
      </w:pPr>
      <w:bookmarkStart w:id="144" w:name="_Toc32349"/>
      <w:bookmarkStart w:id="145" w:name="_Toc22105"/>
      <w:bookmarkStart w:id="146" w:name="_Toc10683"/>
      <w:bookmarkStart w:id="147" w:name="_Toc4391"/>
      <w:r>
        <w:rPr>
          <w:rFonts w:hint="eastAsia" w:ascii="宋体" w:hAnsi="宋体"/>
          <w:sz w:val="30"/>
          <w:szCs w:val="30"/>
        </w:rPr>
        <w:t>1.5.4产品技术咨询和综合培训</w:t>
      </w:r>
      <w:bookmarkEnd w:id="144"/>
      <w:bookmarkEnd w:id="145"/>
      <w:bookmarkEnd w:id="146"/>
      <w:bookmarkEnd w:id="147"/>
    </w:p>
    <w:p>
      <w:pPr>
        <w:spacing w:line="276" w:lineRule="auto"/>
        <w:rPr>
          <w:rFonts w:ascii="宋体" w:hAnsi="宋体" w:eastAsia="宋体" w:cs="宋体"/>
          <w:sz w:val="24"/>
        </w:rPr>
      </w:pPr>
      <w:r>
        <w:rPr>
          <w:rFonts w:hint="eastAsia"/>
        </w:rPr>
        <w:tab/>
      </w:r>
      <w:r>
        <w:rPr>
          <w:rFonts w:hint="eastAsia" w:ascii="宋体" w:hAnsi="宋体" w:eastAsia="宋体" w:cs="宋体"/>
          <w:sz w:val="24"/>
        </w:rPr>
        <w:t>对于数据库紧急故障处理、故障排除、性能调优等方面，乙方需要对中国重汽相关人员提供必要的技术咨询和综合培训服务。</w:t>
      </w:r>
    </w:p>
    <w:p>
      <w:pPr>
        <w:numPr>
          <w:ilvl w:val="0"/>
          <w:numId w:val="26"/>
        </w:numPr>
        <w:spacing w:line="276" w:lineRule="auto"/>
        <w:rPr>
          <w:rFonts w:ascii="宋体" w:hAnsi="宋体" w:eastAsia="宋体" w:cs="宋体"/>
          <w:b/>
          <w:sz w:val="24"/>
        </w:rPr>
      </w:pPr>
      <w:r>
        <w:rPr>
          <w:rFonts w:hint="eastAsia" w:ascii="宋体" w:hAnsi="宋体" w:eastAsia="宋体" w:cs="宋体"/>
          <w:b/>
          <w:sz w:val="24"/>
        </w:rPr>
        <w:t>产品技术咨询服务</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针对系统需求情况,介绍数据库和应用新产品,新版本的框架体系结构。</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与Oracle、MySQL、SQL Server、PostgreSQL、HANA等系统集成的底层技术介绍。</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介绍Oracle、MySQL、SQL Server、PostgreSQL、HANA等应用产品的开发标准,规范。</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Oracle应用技术深层次咨询。</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以上咨询内容不限次数，按照甲方的要求进行。</w:t>
      </w:r>
    </w:p>
    <w:p>
      <w:pPr>
        <w:numPr>
          <w:ilvl w:val="0"/>
          <w:numId w:val="26"/>
        </w:numPr>
        <w:spacing w:line="276" w:lineRule="auto"/>
        <w:rPr>
          <w:rFonts w:ascii="宋体" w:hAnsi="宋体" w:eastAsia="宋体" w:cs="宋体"/>
          <w:b/>
          <w:sz w:val="24"/>
        </w:rPr>
      </w:pPr>
      <w:r>
        <w:rPr>
          <w:rFonts w:hint="eastAsia" w:ascii="宋体" w:hAnsi="宋体" w:eastAsia="宋体" w:cs="宋体"/>
          <w:b/>
          <w:sz w:val="24"/>
        </w:rPr>
        <w:t>综合培训</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提供涉及SQL语句优化、数据库体系架构、数据库日常监控、数据库管理基础、数据库高级管理技术、数据库备份恢复、RAC基础管理、数据库高可用维护、数据库性能优化、PL/SQL程序开发等技术专题培训。</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培训次数12次，地点在省科技大厦或其他甲方提供的地点。</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培训对象为集团公司数据库管理人员、开发人员、厂家开发维护人员等。</w:t>
      </w:r>
    </w:p>
    <w:p>
      <w:pPr>
        <w:pStyle w:val="4"/>
        <w:numPr>
          <w:ilvl w:val="2"/>
          <w:numId w:val="0"/>
        </w:numPr>
        <w:spacing w:before="280" w:after="290" w:line="276" w:lineRule="auto"/>
        <w:ind w:firstLine="602" w:firstLineChars="200"/>
        <w:rPr>
          <w:rFonts w:ascii="宋体" w:hAnsi="宋体"/>
          <w:sz w:val="30"/>
          <w:szCs w:val="30"/>
        </w:rPr>
      </w:pPr>
      <w:bookmarkStart w:id="148" w:name="_Toc21813"/>
      <w:bookmarkStart w:id="149" w:name="_Toc27573"/>
      <w:bookmarkStart w:id="150" w:name="_Toc18255"/>
      <w:bookmarkStart w:id="151" w:name="_Toc25869"/>
      <w:r>
        <w:rPr>
          <w:rFonts w:hint="eastAsia" w:ascii="宋体" w:hAnsi="宋体"/>
          <w:sz w:val="30"/>
          <w:szCs w:val="30"/>
        </w:rPr>
        <w:t>1.5.5架构优化与规划服务</w:t>
      </w:r>
      <w:bookmarkEnd w:id="148"/>
      <w:bookmarkEnd w:id="149"/>
      <w:bookmarkEnd w:id="150"/>
      <w:bookmarkEnd w:id="151"/>
    </w:p>
    <w:p>
      <w:pPr>
        <w:spacing w:line="276" w:lineRule="auto"/>
        <w:rPr>
          <w:rFonts w:ascii="宋体" w:hAnsi="宋体" w:eastAsia="宋体" w:cs="宋体"/>
          <w:sz w:val="24"/>
        </w:rPr>
      </w:pPr>
      <w:r>
        <w:rPr>
          <w:rFonts w:hint="eastAsia"/>
        </w:rPr>
        <w:tab/>
      </w:r>
      <w:r>
        <w:rPr>
          <w:rFonts w:hint="eastAsia" w:ascii="宋体" w:hAnsi="宋体" w:eastAsia="宋体" w:cs="宋体"/>
          <w:sz w:val="24"/>
        </w:rPr>
        <w:t>为了更好的适用中国重汽业务的发展，乙方需要提供4次对于数据库架构规划设计方面的咨询及提供相关建议，配合中国重汽在新系统建设、系统架构优化、系统升级等方面的工作。要求乙方能提供其在其他大型应用系统数据库架构方面的规划实施经验，并根据中国重汽业务系统实际情况给出适合的建议。本服务根据需求方要求，由乙方安排额外的专家资源进行支持与响应，由在数据库架构技术领域有丰富经验的技术专家负责提供服务，专家资质要求：</w:t>
      </w:r>
    </w:p>
    <w:p>
      <w:pPr>
        <w:spacing w:line="276" w:lineRule="auto"/>
        <w:ind w:firstLine="420"/>
        <w:rPr>
          <w:rFonts w:ascii="宋体" w:hAnsi="宋体" w:eastAsia="宋体" w:cs="宋体"/>
          <w:sz w:val="24"/>
        </w:rPr>
      </w:pPr>
      <w:r>
        <w:rPr>
          <w:rFonts w:hint="eastAsia" w:ascii="宋体" w:hAnsi="宋体" w:eastAsia="宋体" w:cs="宋体"/>
          <w:sz w:val="24"/>
        </w:rPr>
        <w:t>1、具备OCM资质；</w:t>
      </w:r>
    </w:p>
    <w:p>
      <w:pPr>
        <w:spacing w:line="276" w:lineRule="auto"/>
        <w:ind w:firstLine="420"/>
        <w:rPr>
          <w:rFonts w:ascii="宋体" w:hAnsi="宋体" w:eastAsia="宋体" w:cs="宋体"/>
          <w:sz w:val="24"/>
        </w:rPr>
      </w:pPr>
      <w:r>
        <w:rPr>
          <w:rFonts w:hint="eastAsia" w:ascii="宋体" w:hAnsi="宋体" w:eastAsia="宋体" w:cs="宋体"/>
          <w:sz w:val="24"/>
        </w:rPr>
        <w:t>2、从事项目经理工作满三年以上；</w:t>
      </w:r>
    </w:p>
    <w:p>
      <w:pPr>
        <w:spacing w:line="276" w:lineRule="auto"/>
        <w:ind w:firstLine="420"/>
        <w:rPr>
          <w:rFonts w:ascii="宋体" w:hAnsi="宋体" w:eastAsia="宋体" w:cs="宋体"/>
          <w:sz w:val="24"/>
        </w:rPr>
      </w:pPr>
      <w:r>
        <w:rPr>
          <w:rFonts w:hint="eastAsia" w:ascii="宋体" w:hAnsi="宋体" w:eastAsia="宋体" w:cs="宋体"/>
          <w:sz w:val="24"/>
        </w:rPr>
        <w:t>3、熟悉数据库第三方服务业务及系统架构。</w:t>
      </w:r>
    </w:p>
    <w:p>
      <w:pPr>
        <w:spacing w:line="276" w:lineRule="auto"/>
      </w:pPr>
      <w:r>
        <w:rPr>
          <w:rFonts w:hint="eastAsia"/>
        </w:rPr>
        <w:t>要求方案详实有效且有成功案例。</w:t>
      </w:r>
    </w:p>
    <w:p>
      <w:pPr>
        <w:pStyle w:val="4"/>
        <w:numPr>
          <w:ilvl w:val="2"/>
          <w:numId w:val="0"/>
        </w:numPr>
        <w:spacing w:before="280" w:after="290" w:line="276" w:lineRule="auto"/>
        <w:ind w:firstLine="602" w:firstLineChars="200"/>
        <w:rPr>
          <w:rFonts w:ascii="宋体" w:hAnsi="宋体"/>
          <w:sz w:val="30"/>
          <w:szCs w:val="30"/>
        </w:rPr>
      </w:pPr>
      <w:bookmarkStart w:id="152" w:name="_Toc14876"/>
      <w:bookmarkStart w:id="153" w:name="_Toc1254"/>
      <w:bookmarkStart w:id="154" w:name="_Toc18325"/>
      <w:bookmarkStart w:id="155" w:name="_Toc9454"/>
      <w:r>
        <w:rPr>
          <w:rFonts w:hint="eastAsia" w:ascii="宋体" w:hAnsi="宋体"/>
          <w:sz w:val="30"/>
          <w:szCs w:val="30"/>
        </w:rPr>
        <w:t>1.5.6技术创新及应用</w:t>
      </w:r>
      <w:bookmarkEnd w:id="152"/>
      <w:bookmarkEnd w:id="153"/>
      <w:bookmarkEnd w:id="154"/>
      <w:bookmarkEnd w:id="155"/>
    </w:p>
    <w:p>
      <w:pPr>
        <w:spacing w:line="276" w:lineRule="auto"/>
        <w:ind w:firstLine="420"/>
        <w:rPr>
          <w:sz w:val="24"/>
        </w:rPr>
      </w:pPr>
      <w:r>
        <w:rPr>
          <w:rFonts w:hint="eastAsia"/>
          <w:sz w:val="24"/>
        </w:rPr>
        <w:t>为实现运营商技术共享和技术创新，供应商需要提供在其它省运营商服务团队的技术经验，并根据现场需要，进行本地适配应用和创新。</w:t>
      </w:r>
    </w:p>
    <w:p>
      <w:pPr>
        <w:spacing w:line="276" w:lineRule="auto"/>
        <w:ind w:firstLine="480"/>
        <w:rPr>
          <w:sz w:val="24"/>
        </w:rPr>
      </w:pPr>
      <w:r>
        <w:rPr>
          <w:rFonts w:hint="eastAsia"/>
          <w:sz w:val="24"/>
        </w:rPr>
        <w:t>供应商应具有一定的技术创新能力，能够协助</w:t>
      </w:r>
      <w:r>
        <w:rPr>
          <w:rFonts w:hint="eastAsia" w:ascii="宋体" w:hAnsi="宋体" w:eastAsia="宋体" w:cs="宋体"/>
          <w:sz w:val="24"/>
        </w:rPr>
        <w:t>甲方</w:t>
      </w:r>
      <w:r>
        <w:rPr>
          <w:rFonts w:hint="eastAsia"/>
          <w:sz w:val="24"/>
        </w:rPr>
        <w:t>完成技术分享和能力提升。</w:t>
      </w:r>
    </w:p>
    <w:p>
      <w:pPr>
        <w:spacing w:line="276" w:lineRule="auto"/>
        <w:ind w:firstLine="480"/>
        <w:rPr>
          <w:sz w:val="24"/>
        </w:rPr>
      </w:pPr>
    </w:p>
    <w:p>
      <w:pPr>
        <w:pStyle w:val="19"/>
        <w:widowControl/>
        <w:ind w:firstLine="643"/>
        <w:rPr>
          <w:rFonts w:ascii="宋体" w:hAnsi="宋体" w:cs="宋体"/>
          <w:b/>
          <w:sz w:val="32"/>
          <w:szCs w:val="32"/>
        </w:rPr>
      </w:pPr>
      <w:bookmarkStart w:id="156" w:name="_Toc17080"/>
      <w:bookmarkStart w:id="157" w:name="_Toc28140"/>
      <w:r>
        <w:rPr>
          <w:rFonts w:hint="eastAsia" w:ascii="宋体" w:hAnsi="宋体" w:cs="宋体"/>
          <w:b/>
          <w:sz w:val="32"/>
          <w:szCs w:val="32"/>
        </w:rPr>
        <w:t>1.6人力资源要求</w:t>
      </w:r>
      <w:bookmarkEnd w:id="156"/>
      <w:bookmarkEnd w:id="157"/>
    </w:p>
    <w:p>
      <w:pPr>
        <w:autoSpaceDE w:val="0"/>
        <w:autoSpaceDN w:val="0"/>
        <w:adjustRightInd w:val="0"/>
        <w:spacing w:line="360" w:lineRule="auto"/>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lang w:bidi="ar"/>
        </w:rPr>
        <w:t>投标人要建立实施该项目的组织架构及人员清单，要求保持项目组人员的稳定，此项目中项目组成员原则上不得更换并保证全时投入，如有必要，乙方要求项目成员更换需经甲方审批且替换比例不得超过10%，投标人须提供项项目经理及项目组所有成员简历。甲方保留要求更换乙方项目经理及项目成员的权利。</w:t>
      </w:r>
    </w:p>
    <w:p>
      <w:pPr>
        <w:pStyle w:val="27"/>
        <w:keepNext w:val="0"/>
        <w:widowControl/>
        <w:numPr>
          <w:ilvl w:val="2"/>
          <w:numId w:val="0"/>
        </w:numPr>
        <w:ind w:firstLine="301" w:firstLineChars="100"/>
        <w:rPr>
          <w:rFonts w:ascii="宋体" w:hAnsi="宋体" w:cs="宋体"/>
          <w:color w:val="000000"/>
          <w:sz w:val="30"/>
          <w:szCs w:val="30"/>
        </w:rPr>
      </w:pPr>
      <w:bookmarkStart w:id="158" w:name="_Toc7826"/>
      <w:bookmarkStart w:id="159" w:name="_Toc26088"/>
      <w:bookmarkStart w:id="160" w:name="_Toc28033"/>
      <w:bookmarkStart w:id="161" w:name="_Toc20393"/>
      <w:r>
        <w:rPr>
          <w:rFonts w:hint="eastAsia" w:ascii="宋体" w:hAnsi="宋体" w:cs="宋体"/>
          <w:color w:val="000000"/>
          <w:sz w:val="30"/>
          <w:szCs w:val="30"/>
        </w:rPr>
        <w:t>1.6.1 项目经理</w:t>
      </w:r>
      <w:bookmarkEnd w:id="158"/>
      <w:bookmarkEnd w:id="159"/>
      <w:bookmarkEnd w:id="160"/>
      <w:bookmarkEnd w:id="161"/>
    </w:p>
    <w:p>
      <w:pPr>
        <w:pStyle w:val="28"/>
        <w:widowControl/>
        <w:spacing w:after="156" w:afterLines="50"/>
        <w:ind w:firstLine="480"/>
        <w:rPr>
          <w:rFonts w:ascii="宋体" w:cs="宋体"/>
          <w:szCs w:val="21"/>
        </w:rPr>
      </w:pPr>
      <w:r>
        <w:rPr>
          <w:rFonts w:hint="eastAsia" w:ascii="宋体" w:cs="宋体"/>
          <w:szCs w:val="21"/>
        </w:rPr>
        <w:t>项目经理：项目经理具有PMP或工信部信息系统项目管理师证书，具有行业内8年（含）以上工作经验，且具有参与大型项目的经验。</w:t>
      </w:r>
    </w:p>
    <w:p>
      <w:pPr>
        <w:pStyle w:val="27"/>
        <w:keepNext w:val="0"/>
        <w:widowControl/>
        <w:numPr>
          <w:ilvl w:val="2"/>
          <w:numId w:val="0"/>
        </w:numPr>
        <w:ind w:firstLine="301" w:firstLineChars="100"/>
        <w:rPr>
          <w:rFonts w:ascii="宋体" w:cs="宋体"/>
          <w:sz w:val="30"/>
          <w:szCs w:val="30"/>
        </w:rPr>
      </w:pPr>
      <w:bookmarkStart w:id="162" w:name="_Toc32535"/>
      <w:bookmarkStart w:id="163" w:name="_Toc5680"/>
      <w:bookmarkStart w:id="164" w:name="_Toc23578"/>
      <w:bookmarkStart w:id="165" w:name="_Toc31720"/>
      <w:r>
        <w:rPr>
          <w:rFonts w:hint="eastAsia" w:ascii="宋体" w:hAnsi="宋体" w:cs="宋体"/>
          <w:color w:val="000000"/>
          <w:sz w:val="30"/>
          <w:szCs w:val="30"/>
        </w:rPr>
        <w:t>1.6.2 项目核心成员</w:t>
      </w:r>
      <w:bookmarkEnd w:id="162"/>
      <w:bookmarkEnd w:id="163"/>
      <w:bookmarkEnd w:id="164"/>
      <w:bookmarkEnd w:id="165"/>
    </w:p>
    <w:p>
      <w:pPr>
        <w:pStyle w:val="28"/>
        <w:widowControl/>
        <w:spacing w:after="156" w:afterLines="50"/>
        <w:ind w:firstLine="480"/>
        <w:rPr>
          <w:rFonts w:ascii="宋体" w:cs="宋体"/>
          <w:szCs w:val="21"/>
        </w:rPr>
      </w:pPr>
      <w:r>
        <w:rPr>
          <w:rFonts w:hint="eastAsia" w:ascii="宋体" w:cs="宋体"/>
          <w:szCs w:val="21"/>
        </w:rPr>
        <w:t>团队核心成员：团队核心成员持有工信部认证的系统架构师、工信部认证的软件工程师、ORACLE OCM、CCIE、VMware认证专家(VCA)专业证书的一种或多种。核心成员具有本科及以上学历，且具备3年及以上行业经验且后备人员数量不少于20人。</w:t>
      </w:r>
    </w:p>
    <w:p>
      <w:pPr>
        <w:pStyle w:val="19"/>
        <w:ind w:firstLine="480"/>
      </w:pPr>
    </w:p>
    <w:p>
      <w:pPr>
        <w:pStyle w:val="19"/>
        <w:ind w:firstLine="0" w:firstLineChars="0"/>
        <w:rPr>
          <w:rFonts w:cs="宋体"/>
          <w:b/>
          <w:kern w:val="44"/>
          <w:sz w:val="44"/>
          <w:szCs w:val="44"/>
        </w:rPr>
      </w:pPr>
    </w:p>
    <w:p>
      <w:pPr>
        <w:pStyle w:val="19"/>
        <w:ind w:firstLine="0" w:firstLineChars="0"/>
        <w:rPr>
          <w:rFonts w:cs="宋体"/>
          <w:b/>
          <w:kern w:val="44"/>
          <w:sz w:val="44"/>
          <w:szCs w:val="44"/>
        </w:rPr>
      </w:pPr>
      <w:r>
        <w:rPr>
          <w:rFonts w:hint="eastAsia" w:cs="宋体"/>
          <w:b/>
          <w:kern w:val="44"/>
          <w:sz w:val="44"/>
          <w:szCs w:val="44"/>
        </w:rPr>
        <w:t>2、第二包项目技术要求：</w:t>
      </w:r>
    </w:p>
    <w:p>
      <w:pPr>
        <w:pStyle w:val="19"/>
        <w:ind w:firstLine="0" w:firstLineChars="0"/>
        <w:rPr>
          <w:rFonts w:cs="宋体"/>
          <w:b/>
          <w:kern w:val="44"/>
          <w:sz w:val="44"/>
          <w:szCs w:val="44"/>
        </w:rPr>
      </w:pPr>
    </w:p>
    <w:p>
      <w:pPr>
        <w:pStyle w:val="19"/>
        <w:widowControl/>
        <w:ind w:firstLine="643"/>
        <w:rPr>
          <w:rFonts w:ascii="宋体" w:hAnsi="宋体" w:cs="宋体"/>
          <w:b/>
          <w:sz w:val="32"/>
          <w:szCs w:val="32"/>
        </w:rPr>
      </w:pPr>
      <w:bookmarkStart w:id="166" w:name="_Toc6261"/>
      <w:bookmarkStart w:id="167" w:name="_Toc19799"/>
      <w:bookmarkStart w:id="168" w:name="_Toc815"/>
      <w:r>
        <w:rPr>
          <w:rFonts w:hint="eastAsia" w:ascii="宋体" w:hAnsi="宋体" w:cs="宋体"/>
          <w:b/>
          <w:sz w:val="32"/>
          <w:szCs w:val="32"/>
        </w:rPr>
        <w:t>2.1项目范围</w:t>
      </w:r>
      <w:bookmarkEnd w:id="166"/>
      <w:bookmarkEnd w:id="167"/>
      <w:bookmarkEnd w:id="168"/>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 xml:space="preserve">本次项目涉及重汽信息化系统中所包含的所有类型业务系统和中间件，中间件类型包括且不限于Nginx、Tomcat、IBM WebSphere、Oracle Weblogic、Kafka、redis等;业务范围覆盖生产域、营销域、职能域等各个领域。重汽信息化系统对于重汽集团的经营和运转具有非常重要的意义，为了保障数据业务 </w:t>
      </w:r>
      <w:r>
        <w:rPr>
          <w:rFonts w:ascii="Times New Roman" w:hAnsi="Times New Roman" w:cs="宋体"/>
          <w:kern w:val="2"/>
          <w:sz w:val="24"/>
          <w:szCs w:val="22"/>
        </w:rPr>
        <w:t xml:space="preserve">7*24 </w:t>
      </w:r>
      <w:r>
        <w:rPr>
          <w:rFonts w:hint="eastAsia" w:ascii="Times New Roman" w:hAnsi="Times New Roman" w:cs="宋体"/>
          <w:kern w:val="2"/>
          <w:sz w:val="24"/>
          <w:szCs w:val="22"/>
        </w:rPr>
        <w:t>小时的安全、持续稳定运行，供应商需提供专业的基础运维保障、故障处理、性能优化服务、应用上线支撑、配置管理、进程管理、发布平台维护、告警管理、重点时期保障、容量管理、服务调用分析等服务。</w:t>
      </w:r>
    </w:p>
    <w:p>
      <w:pPr>
        <w:pStyle w:val="8"/>
        <w:spacing w:before="52" w:line="364" w:lineRule="auto"/>
        <w:ind w:left="0" w:right="895" w:firstLine="479"/>
        <w:jc w:val="both"/>
        <w:rPr>
          <w:rFonts w:ascii="Times New Roman" w:hAnsi="Times New Roman" w:cs="宋体"/>
          <w:kern w:val="2"/>
          <w:sz w:val="24"/>
          <w:szCs w:val="22"/>
        </w:rPr>
      </w:pPr>
    </w:p>
    <w:p>
      <w:pPr>
        <w:pStyle w:val="22"/>
        <w:keepNext w:val="0"/>
        <w:widowControl/>
        <w:numPr>
          <w:ilvl w:val="1"/>
          <w:numId w:val="0"/>
        </w:numPr>
        <w:ind w:firstLine="643" w:firstLineChars="200"/>
      </w:pPr>
      <w:bookmarkStart w:id="169" w:name="_Toc5675"/>
      <w:bookmarkStart w:id="170" w:name="_Toc23856"/>
      <w:bookmarkStart w:id="171" w:name="_Toc2304"/>
      <w:bookmarkStart w:id="172" w:name="_Toc24009"/>
      <w:bookmarkStart w:id="173" w:name="_Toc17252"/>
      <w:r>
        <w:rPr>
          <w:rFonts w:hint="eastAsia" w:ascii="宋体" w:hAnsi="宋体" w:cs="宋体"/>
          <w:sz w:val="32"/>
        </w:rPr>
        <w:t>2.2基础运维保障服务</w:t>
      </w:r>
      <w:bookmarkEnd w:id="169"/>
      <w:bookmarkEnd w:id="170"/>
      <w:bookmarkEnd w:id="171"/>
      <w:bookmarkEnd w:id="172"/>
      <w:bookmarkEnd w:id="173"/>
    </w:p>
    <w:p>
      <w:pPr>
        <w:pStyle w:val="8"/>
        <w:spacing w:before="52" w:line="364" w:lineRule="auto"/>
        <w:ind w:left="0" w:right="895" w:firstLine="479"/>
        <w:jc w:val="both"/>
      </w:pPr>
      <w:r>
        <w:rPr>
          <w:rFonts w:hint="eastAsia" w:ascii="Times New Roman" w:hAnsi="Times New Roman" w:cs="宋体"/>
          <w:kern w:val="2"/>
          <w:sz w:val="24"/>
          <w:szCs w:val="22"/>
        </w:rPr>
        <w:t>重汽业务系统所涉及的中间件、主机、网络等提供 7*24 小时本地及二线专家远程支持服务，服务包括以下内容：</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2.2.1统一调度服务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为保证业务系统正常运行，要求维护人员和团队拥有大型IT运维服务管理经验，可以提供运维联络、汇报、技术协调、实施管理等工作；</w:t>
      </w:r>
    </w:p>
    <w:p>
      <w:pPr>
        <w:pStyle w:val="8"/>
        <w:spacing w:before="52" w:line="364" w:lineRule="auto"/>
        <w:ind w:left="0" w:right="895" w:firstLine="479"/>
        <w:jc w:val="both"/>
        <w:rPr>
          <w:rFonts w:ascii="Times New Roman" w:hAnsi="Times New Roman" w:cs="宋体"/>
          <w:kern w:val="2"/>
          <w:sz w:val="24"/>
          <w:szCs w:val="22"/>
          <w:lang w:val="zh-TW"/>
        </w:rPr>
      </w:pPr>
      <w:r>
        <w:rPr>
          <w:rFonts w:hint="eastAsia" w:ascii="Times New Roman" w:hAnsi="Times New Roman" w:cs="宋体"/>
          <w:kern w:val="2"/>
          <w:sz w:val="24"/>
          <w:szCs w:val="22"/>
        </w:rPr>
        <w:t>项目团队须拥有ITIL落地实践经验，并可以根据ITIL理念并结合中国重汽相关的管理制度进行事件管理；</w:t>
      </w:r>
      <w:r>
        <w:rPr>
          <w:rFonts w:hint="eastAsia" w:ascii="Times New Roman" w:hAnsi="Times New Roman" w:cs="宋体"/>
          <w:kern w:val="2"/>
          <w:sz w:val="24"/>
          <w:szCs w:val="22"/>
          <w:lang w:val="zh-TW" w:eastAsia="zh-TW"/>
        </w:rPr>
        <w:t>对</w:t>
      </w:r>
      <w:r>
        <w:rPr>
          <w:rFonts w:hint="eastAsia" w:ascii="Times New Roman" w:hAnsi="Times New Roman" w:cs="宋体"/>
          <w:kern w:val="2"/>
          <w:sz w:val="24"/>
          <w:szCs w:val="22"/>
          <w:lang w:val="zh-TW"/>
        </w:rPr>
        <w:t>重汽</w:t>
      </w:r>
      <w:r>
        <w:rPr>
          <w:rFonts w:hint="eastAsia" w:ascii="Times New Roman" w:hAnsi="Times New Roman" w:cs="宋体"/>
          <w:kern w:val="2"/>
          <w:sz w:val="24"/>
          <w:szCs w:val="22"/>
          <w:lang w:val="zh-TW" w:eastAsia="zh-TW"/>
        </w:rPr>
        <w:t>所有业务系统的所有服务请求进行跟踪，协调二线、三线维护人员进行事件的排查</w:t>
      </w:r>
      <w:r>
        <w:rPr>
          <w:rFonts w:hint="eastAsia" w:ascii="Times New Roman" w:hAnsi="Times New Roman" w:cs="宋体"/>
          <w:kern w:val="2"/>
          <w:sz w:val="24"/>
          <w:szCs w:val="22"/>
          <w:lang w:val="zh-TW"/>
        </w:rPr>
        <w:t>、</w:t>
      </w:r>
      <w:r>
        <w:rPr>
          <w:rFonts w:hint="eastAsia" w:ascii="Times New Roman" w:hAnsi="Times New Roman" w:cs="宋体"/>
          <w:kern w:val="2"/>
          <w:sz w:val="24"/>
          <w:szCs w:val="22"/>
        </w:rPr>
        <w:t>解决。当</w:t>
      </w:r>
      <w:r>
        <w:rPr>
          <w:rFonts w:hint="eastAsia" w:ascii="Times New Roman" w:hAnsi="Times New Roman" w:cs="宋体"/>
          <w:kern w:val="2"/>
          <w:sz w:val="24"/>
          <w:szCs w:val="22"/>
          <w:lang w:val="zh-TW" w:eastAsia="zh-TW"/>
        </w:rPr>
        <w:t>维护人员未能及时处理的事件</w:t>
      </w:r>
      <w:r>
        <w:rPr>
          <w:rFonts w:hint="eastAsia" w:ascii="Times New Roman" w:hAnsi="Times New Roman" w:cs="宋体"/>
          <w:kern w:val="2"/>
          <w:sz w:val="24"/>
          <w:szCs w:val="22"/>
        </w:rPr>
        <w:t>时</w:t>
      </w:r>
      <w:r>
        <w:rPr>
          <w:rFonts w:hint="eastAsia" w:ascii="Times New Roman" w:hAnsi="Times New Roman" w:cs="宋体"/>
          <w:kern w:val="2"/>
          <w:sz w:val="24"/>
          <w:szCs w:val="22"/>
          <w:lang w:val="zh-TW" w:eastAsia="zh-TW"/>
        </w:rPr>
        <w:t>需要严格按照事件处理流程及时的进行升级，</w:t>
      </w:r>
      <w:r>
        <w:rPr>
          <w:rFonts w:hint="eastAsia" w:ascii="Times New Roman" w:hAnsi="Times New Roman" w:cs="宋体"/>
          <w:kern w:val="2"/>
          <w:sz w:val="24"/>
          <w:szCs w:val="22"/>
        </w:rPr>
        <w:t>并可以</w:t>
      </w:r>
      <w:r>
        <w:rPr>
          <w:rFonts w:hint="eastAsia" w:ascii="Times New Roman" w:hAnsi="Times New Roman" w:cs="宋体"/>
          <w:kern w:val="2"/>
          <w:sz w:val="24"/>
          <w:szCs w:val="22"/>
          <w:lang w:val="zh-TW" w:eastAsia="zh-TW"/>
        </w:rPr>
        <w:t>协调更多</w:t>
      </w:r>
      <w:r>
        <w:rPr>
          <w:rFonts w:hint="eastAsia" w:ascii="Times New Roman" w:hAnsi="Times New Roman" w:cs="宋体"/>
          <w:kern w:val="2"/>
          <w:sz w:val="24"/>
          <w:szCs w:val="22"/>
        </w:rPr>
        <w:t>专家</w:t>
      </w:r>
      <w:r>
        <w:rPr>
          <w:rFonts w:hint="eastAsia" w:ascii="Times New Roman" w:hAnsi="Times New Roman" w:cs="宋体"/>
          <w:kern w:val="2"/>
          <w:sz w:val="24"/>
          <w:szCs w:val="22"/>
          <w:lang w:val="zh-TW" w:eastAsia="zh-TW"/>
        </w:rPr>
        <w:t>资源进行事件的处理，并随时告知用户事件的处理状况</w:t>
      </w:r>
      <w:r>
        <w:rPr>
          <w:rFonts w:hint="eastAsia" w:ascii="Times New Roman" w:hAnsi="Times New Roman" w:cs="宋体"/>
          <w:kern w:val="2"/>
          <w:sz w:val="24"/>
          <w:szCs w:val="22"/>
          <w:lang w:val="zh-TW"/>
        </w:rPr>
        <w:t>。</w:t>
      </w:r>
    </w:p>
    <w:p>
      <w:pPr>
        <w:pStyle w:val="8"/>
        <w:spacing w:line="520" w:lineRule="exact"/>
        <w:ind w:left="0" w:firstLine="480" w:firstLineChars="200"/>
        <w:jc w:val="both"/>
        <w:rPr>
          <w:rFonts w:ascii="宋体" w:hAnsi="宋体" w:cs="宋体"/>
          <w:b/>
          <w:bCs/>
          <w:sz w:val="30"/>
          <w:szCs w:val="30"/>
        </w:rPr>
      </w:pPr>
      <w:r>
        <w:rPr>
          <w:rFonts w:hint="eastAsia" w:ascii="Times New Roman" w:hAnsi="Times New Roman" w:cs="宋体"/>
          <w:kern w:val="2"/>
          <w:sz w:val="24"/>
          <w:szCs w:val="22"/>
        </w:rPr>
        <w:t>通过团队对于</w:t>
      </w:r>
      <w:r>
        <w:rPr>
          <w:rFonts w:hint="eastAsia" w:ascii="Times New Roman" w:hAnsi="Times New Roman" w:cs="宋体"/>
          <w:kern w:val="2"/>
          <w:sz w:val="24"/>
          <w:szCs w:val="22"/>
          <w:lang w:val="zh-TW" w:eastAsia="zh-TW"/>
        </w:rPr>
        <w:t>ITIL</w:t>
      </w:r>
      <w:r>
        <w:rPr>
          <w:rFonts w:hint="eastAsia" w:ascii="Times New Roman" w:hAnsi="Times New Roman" w:cs="宋体"/>
          <w:kern w:val="2"/>
          <w:sz w:val="24"/>
          <w:szCs w:val="22"/>
        </w:rPr>
        <w:t>落地的经验结合</w:t>
      </w:r>
      <w:r>
        <w:rPr>
          <w:rFonts w:hint="eastAsia" w:ascii="Times New Roman" w:hAnsi="Times New Roman" w:cs="宋体"/>
          <w:kern w:val="2"/>
          <w:sz w:val="24"/>
          <w:szCs w:val="22"/>
          <w:lang w:val="zh-TW"/>
        </w:rPr>
        <w:t>中国重汽</w:t>
      </w:r>
      <w:r>
        <w:rPr>
          <w:rFonts w:hint="eastAsia" w:ascii="Times New Roman" w:hAnsi="Times New Roman" w:cs="宋体"/>
          <w:kern w:val="2"/>
          <w:sz w:val="24"/>
          <w:szCs w:val="22"/>
          <w:lang w:val="zh-TW" w:eastAsia="zh-TW"/>
        </w:rPr>
        <w:t>相关的管理制度</w:t>
      </w:r>
      <w:r>
        <w:rPr>
          <w:rFonts w:hint="eastAsia" w:ascii="Times New Roman" w:hAnsi="Times New Roman" w:cs="宋体"/>
          <w:kern w:val="2"/>
          <w:sz w:val="24"/>
          <w:szCs w:val="22"/>
          <w:lang w:val="zh-TW"/>
        </w:rPr>
        <w:t>，</w:t>
      </w:r>
      <w:r>
        <w:rPr>
          <w:rFonts w:hint="eastAsia" w:ascii="Times New Roman" w:hAnsi="Times New Roman" w:cs="宋体"/>
          <w:kern w:val="2"/>
          <w:sz w:val="24"/>
          <w:szCs w:val="22"/>
        </w:rPr>
        <w:t>作为事件处理的统一入口，</w:t>
      </w:r>
      <w:r>
        <w:rPr>
          <w:rFonts w:hint="eastAsia" w:ascii="Times New Roman" w:hAnsi="Times New Roman" w:cs="宋体"/>
          <w:kern w:val="2"/>
          <w:sz w:val="24"/>
          <w:szCs w:val="22"/>
          <w:lang w:val="zh-TW"/>
        </w:rPr>
        <w:t>对问题管理流程进行规范</w:t>
      </w:r>
      <w:r>
        <w:rPr>
          <w:rFonts w:hint="eastAsia" w:ascii="Times New Roman" w:hAnsi="Times New Roman" w:cs="宋体"/>
          <w:kern w:val="2"/>
          <w:sz w:val="24"/>
          <w:szCs w:val="22"/>
        </w:rPr>
        <w:t>和跟进，</w:t>
      </w:r>
      <w:r>
        <w:rPr>
          <w:rFonts w:hint="eastAsia" w:ascii="Times New Roman" w:hAnsi="Times New Roman" w:cs="宋体"/>
          <w:kern w:val="2"/>
          <w:sz w:val="24"/>
          <w:szCs w:val="22"/>
          <w:lang w:val="zh-TW"/>
        </w:rPr>
        <w:t>负责对问题进行全</w:t>
      </w:r>
      <w:r>
        <w:rPr>
          <w:rFonts w:hint="eastAsia" w:ascii="Times New Roman" w:hAnsi="Times New Roman" w:cs="宋体"/>
          <w:kern w:val="2"/>
          <w:sz w:val="24"/>
          <w:szCs w:val="22"/>
        </w:rPr>
        <w:t>生命</w:t>
      </w:r>
      <w:r>
        <w:rPr>
          <w:rFonts w:hint="eastAsia" w:ascii="Times New Roman" w:hAnsi="Times New Roman" w:cs="宋体"/>
          <w:kern w:val="2"/>
          <w:sz w:val="24"/>
          <w:szCs w:val="22"/>
          <w:lang w:val="zh-TW"/>
        </w:rPr>
        <w:t>周期的管理，包括对各类问题的识别、查找问题的根源、评估及制定问题解决方案；负责协调及跟踪各系统的问题处理情况，并定期对问题处理状态进</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对重汽信息化系</w:t>
      </w:r>
      <w:r>
        <w:rPr>
          <w:rFonts w:hint="eastAsia" w:ascii="Times New Roman" w:hAnsi="Times New Roman" w:cs="宋体"/>
          <w:kern w:val="2"/>
          <w:sz w:val="24"/>
          <w:szCs w:val="22"/>
          <w:lang w:val="zh-TW"/>
        </w:rPr>
        <w:t>行通报。</w:t>
      </w:r>
      <w:r>
        <w:rPr>
          <w:rFonts w:hint="eastAsia" w:ascii="Times New Roman" w:hAnsi="Times New Roman" w:cs="宋体"/>
          <w:kern w:val="2"/>
          <w:sz w:val="24"/>
          <w:szCs w:val="22"/>
        </w:rPr>
        <w:t>提升重汽各类事件的处理效率和质量。</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2.2.2基础运维服务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统中的软硬件（包括中间件、操作系统、网络和业务系统）提供基础维护，包括但不限于安装、部署、配置、检查以及各类资产相关IP、负责人、业务、配置信息的登记维护。</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2.2.3运行监控服务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负责对重汽的各类系统及其相关的组件进行监控工作，需对告警信息进行准确判断，并及时、恰当的处理，如有必要需进行升级上报。</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在监控工作中，对于甲方的监控指标需要给出合理建议，根据不同系统的运行状况定制合适的监控指标集，构建监控指标体系，确保监控数据质量，从而保证响应处理效率。</w:t>
      </w:r>
    </w:p>
    <w:p>
      <w:pPr>
        <w:pStyle w:val="8"/>
        <w:spacing w:before="52" w:line="364" w:lineRule="auto"/>
        <w:ind w:left="0" w:right="895" w:firstLine="479"/>
        <w:jc w:val="both"/>
        <w:rPr>
          <w:rFonts w:ascii="宋体" w:hAnsi="宋体" w:cs="宋体"/>
          <w:b/>
          <w:bCs/>
          <w:sz w:val="24"/>
          <w:szCs w:val="24"/>
        </w:rPr>
      </w:pPr>
      <w:r>
        <w:rPr>
          <w:rFonts w:hint="eastAsia" w:ascii="Times New Roman" w:hAnsi="Times New Roman" w:cs="宋体"/>
          <w:kern w:val="2"/>
          <w:sz w:val="24"/>
          <w:szCs w:val="22"/>
        </w:rPr>
        <w:t>在项目周期内，对于甲方新项目中所涉及的环境进行及时监控部署，确保了解重汽全部业务系统的运行状况。</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2.2.4运营分析服务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对重汽信息系统的运行状态进行分析，对各类指标的发展态势进行分析，及时发现并解决问题；对各个系统的告警分布、问题统计、原因分析和各类工作进行梳理报告；以月度为时间节点输出各业务系统运营分析报告。确保重汽信息化系统整体运营状态了解、事态可控和重要变更存档。</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2.2.5故障处理服务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服务团队需对重汽信息化系统中的故障完成闭环处理，遵循记录、分析、处理、跟进、解决思路。</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故障处理后须进行故障分析并出具故障报告，确保找到故障原因，避免二次发生或对类似事件起到参考作用。对于影响较大的故障，进行故障复盘，编写复盘，切实故障原因和解决方案。</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服务级别：</w:t>
      </w:r>
    </w:p>
    <w:tbl>
      <w:tblPr>
        <w:tblStyle w:val="15"/>
        <w:tblW w:w="8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6"/>
        <w:gridCol w:w="931"/>
        <w:gridCol w:w="1891"/>
        <w:gridCol w:w="1227"/>
        <w:gridCol w:w="1134"/>
        <w:gridCol w:w="1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1406" w:type="dxa"/>
            <w:vAlign w:val="bottom"/>
          </w:tcPr>
          <w:p>
            <w:pPr>
              <w:tabs>
                <w:tab w:val="right" w:pos="-2120"/>
              </w:tabs>
              <w:snapToGrid w:val="0"/>
              <w:rPr>
                <w:rFonts w:ascii="宋体" w:hAnsi="宋体" w:cs="宋体"/>
                <w:b/>
                <w:sz w:val="18"/>
                <w:szCs w:val="18"/>
              </w:rPr>
            </w:pPr>
            <w:r>
              <w:rPr>
                <w:rFonts w:hint="eastAsia" w:ascii="宋体" w:hAnsi="宋体" w:cs="宋体"/>
                <w:b/>
                <w:sz w:val="18"/>
                <w:szCs w:val="18"/>
              </w:rPr>
              <w:t>服务级别</w:t>
            </w:r>
          </w:p>
        </w:tc>
        <w:tc>
          <w:tcPr>
            <w:tcW w:w="931" w:type="dxa"/>
            <w:vAlign w:val="bottom"/>
          </w:tcPr>
          <w:p>
            <w:pPr>
              <w:tabs>
                <w:tab w:val="right" w:pos="-2120"/>
              </w:tabs>
              <w:snapToGrid w:val="0"/>
              <w:rPr>
                <w:rFonts w:ascii="宋体" w:hAnsi="宋体" w:cs="宋体"/>
                <w:b/>
                <w:sz w:val="18"/>
                <w:szCs w:val="18"/>
              </w:rPr>
            </w:pPr>
            <w:r>
              <w:rPr>
                <w:rFonts w:hint="eastAsia" w:ascii="宋体" w:hAnsi="宋体" w:cs="宋体"/>
                <w:b/>
                <w:sz w:val="18"/>
                <w:szCs w:val="18"/>
              </w:rPr>
              <w:t>故障响应时间</w:t>
            </w:r>
          </w:p>
        </w:tc>
        <w:tc>
          <w:tcPr>
            <w:tcW w:w="1891" w:type="dxa"/>
            <w:vAlign w:val="bottom"/>
          </w:tcPr>
          <w:p>
            <w:pPr>
              <w:tabs>
                <w:tab w:val="right" w:pos="-2120"/>
              </w:tabs>
              <w:snapToGrid w:val="0"/>
              <w:rPr>
                <w:rFonts w:ascii="宋体" w:hAnsi="宋体" w:cs="宋体"/>
                <w:b/>
                <w:sz w:val="18"/>
                <w:szCs w:val="18"/>
              </w:rPr>
            </w:pPr>
            <w:r>
              <w:rPr>
                <w:rFonts w:hint="eastAsia" w:ascii="宋体" w:hAnsi="宋体" w:cs="宋体"/>
                <w:b/>
                <w:sz w:val="18"/>
                <w:szCs w:val="18"/>
              </w:rPr>
              <w:t>业务恢复时间（卖方收到故障通知开始）</w:t>
            </w:r>
          </w:p>
        </w:tc>
        <w:tc>
          <w:tcPr>
            <w:tcW w:w="1227" w:type="dxa"/>
            <w:vAlign w:val="bottom"/>
          </w:tcPr>
          <w:p>
            <w:pPr>
              <w:tabs>
                <w:tab w:val="right" w:pos="-2120"/>
              </w:tabs>
              <w:snapToGrid w:val="0"/>
              <w:rPr>
                <w:rFonts w:ascii="宋体" w:hAnsi="宋体" w:cs="宋体"/>
                <w:b/>
                <w:sz w:val="18"/>
                <w:szCs w:val="18"/>
              </w:rPr>
            </w:pPr>
            <w:r>
              <w:rPr>
                <w:rFonts w:hint="eastAsia" w:ascii="宋体" w:hAnsi="宋体" w:cs="宋体"/>
                <w:b/>
                <w:sz w:val="18"/>
                <w:szCs w:val="18"/>
              </w:rPr>
              <w:t>清除故障时间</w:t>
            </w:r>
          </w:p>
        </w:tc>
        <w:tc>
          <w:tcPr>
            <w:tcW w:w="1134" w:type="dxa"/>
            <w:vAlign w:val="bottom"/>
          </w:tcPr>
          <w:p>
            <w:pPr>
              <w:tabs>
                <w:tab w:val="right" w:pos="-2120"/>
              </w:tabs>
              <w:snapToGrid w:val="0"/>
              <w:rPr>
                <w:rFonts w:ascii="宋体" w:hAnsi="宋体" w:cs="宋体"/>
                <w:b/>
                <w:sz w:val="18"/>
                <w:szCs w:val="18"/>
              </w:rPr>
            </w:pPr>
            <w:r>
              <w:rPr>
                <w:rFonts w:hint="eastAsia" w:ascii="宋体" w:hAnsi="宋体" w:cs="宋体"/>
                <w:b/>
                <w:sz w:val="18"/>
                <w:szCs w:val="18"/>
              </w:rPr>
              <w:t>故障报告交付时限</w:t>
            </w:r>
          </w:p>
        </w:tc>
        <w:tc>
          <w:tcPr>
            <w:tcW w:w="1769" w:type="dxa"/>
            <w:vAlign w:val="center"/>
          </w:tcPr>
          <w:p>
            <w:pPr>
              <w:tabs>
                <w:tab w:val="right" w:pos="-2120"/>
              </w:tabs>
              <w:snapToGrid w:val="0"/>
              <w:rPr>
                <w:rFonts w:ascii="宋体" w:hAnsi="宋体" w:cs="宋体"/>
                <w:b/>
                <w:sz w:val="18"/>
                <w:szCs w:val="18"/>
              </w:rPr>
            </w:pPr>
            <w:r>
              <w:rPr>
                <w:rFonts w:hint="eastAsia" w:ascii="宋体" w:hAnsi="宋体" w:cs="宋体"/>
                <w:b/>
                <w:sz w:val="18"/>
                <w:szCs w:val="18"/>
              </w:rPr>
              <w:t>故障处理到场时间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406"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I级</w:t>
            </w:r>
          </w:p>
          <w:p>
            <w:pPr>
              <w:tabs>
                <w:tab w:val="right" w:pos="-2120"/>
              </w:tabs>
              <w:snapToGrid w:val="0"/>
              <w:rPr>
                <w:rFonts w:ascii="宋体" w:hAnsi="宋体" w:eastAsia="宋体" w:cs="宋体"/>
                <w:sz w:val="18"/>
                <w:szCs w:val="18"/>
              </w:rPr>
            </w:pPr>
            <w:r>
              <w:rPr>
                <w:rFonts w:hint="eastAsia" w:ascii="宋体" w:hAnsi="宋体" w:eastAsia="宋体" w:cs="宋体"/>
                <w:sz w:val="18"/>
                <w:szCs w:val="18"/>
              </w:rPr>
              <w:t>（特别重大）</w:t>
            </w:r>
          </w:p>
        </w:tc>
        <w:tc>
          <w:tcPr>
            <w:tcW w:w="93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5分钟</w:t>
            </w:r>
          </w:p>
        </w:tc>
        <w:tc>
          <w:tcPr>
            <w:tcW w:w="189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1小时</w:t>
            </w:r>
          </w:p>
        </w:tc>
        <w:tc>
          <w:tcPr>
            <w:tcW w:w="1227"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2个小时</w:t>
            </w:r>
          </w:p>
        </w:tc>
        <w:tc>
          <w:tcPr>
            <w:tcW w:w="1134"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业务恢复后1个自然天</w:t>
            </w:r>
          </w:p>
        </w:tc>
        <w:tc>
          <w:tcPr>
            <w:tcW w:w="1769"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0.5小时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406"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II级</w:t>
            </w:r>
          </w:p>
          <w:p>
            <w:pPr>
              <w:tabs>
                <w:tab w:val="right" w:pos="-2120"/>
              </w:tabs>
              <w:snapToGrid w:val="0"/>
              <w:rPr>
                <w:rFonts w:ascii="宋体" w:hAnsi="宋体" w:eastAsia="宋体" w:cs="宋体"/>
                <w:sz w:val="18"/>
                <w:szCs w:val="18"/>
              </w:rPr>
            </w:pPr>
            <w:r>
              <w:rPr>
                <w:rFonts w:hint="eastAsia" w:ascii="宋体" w:hAnsi="宋体" w:eastAsia="宋体" w:cs="宋体"/>
                <w:sz w:val="18"/>
                <w:szCs w:val="18"/>
              </w:rPr>
              <w:t>（重大）</w:t>
            </w:r>
          </w:p>
        </w:tc>
        <w:tc>
          <w:tcPr>
            <w:tcW w:w="93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5分钟</w:t>
            </w:r>
          </w:p>
        </w:tc>
        <w:tc>
          <w:tcPr>
            <w:tcW w:w="189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1.5小时</w:t>
            </w:r>
          </w:p>
        </w:tc>
        <w:tc>
          <w:tcPr>
            <w:tcW w:w="1227"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4个小时</w:t>
            </w:r>
          </w:p>
        </w:tc>
        <w:tc>
          <w:tcPr>
            <w:tcW w:w="1134"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业务恢复后1个自然天</w:t>
            </w:r>
          </w:p>
        </w:tc>
        <w:tc>
          <w:tcPr>
            <w:tcW w:w="1769"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0.5小时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06"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III级</w:t>
            </w:r>
          </w:p>
          <w:p>
            <w:pPr>
              <w:tabs>
                <w:tab w:val="right" w:pos="-2120"/>
              </w:tabs>
              <w:snapToGrid w:val="0"/>
              <w:rPr>
                <w:rFonts w:ascii="宋体" w:hAnsi="宋体" w:eastAsia="宋体" w:cs="宋体"/>
                <w:sz w:val="18"/>
                <w:szCs w:val="18"/>
              </w:rPr>
            </w:pPr>
            <w:r>
              <w:rPr>
                <w:rFonts w:hint="eastAsia" w:ascii="宋体" w:hAnsi="宋体" w:eastAsia="宋体" w:cs="宋体"/>
                <w:sz w:val="18"/>
                <w:szCs w:val="18"/>
              </w:rPr>
              <w:t>（较大）</w:t>
            </w:r>
          </w:p>
        </w:tc>
        <w:tc>
          <w:tcPr>
            <w:tcW w:w="93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10分钟</w:t>
            </w:r>
          </w:p>
        </w:tc>
        <w:tc>
          <w:tcPr>
            <w:tcW w:w="189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2小时</w:t>
            </w:r>
          </w:p>
        </w:tc>
        <w:tc>
          <w:tcPr>
            <w:tcW w:w="1227"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8个小时</w:t>
            </w:r>
          </w:p>
        </w:tc>
        <w:tc>
          <w:tcPr>
            <w:tcW w:w="1134"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业务恢复后1个自然天</w:t>
            </w:r>
          </w:p>
        </w:tc>
        <w:tc>
          <w:tcPr>
            <w:tcW w:w="1769"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1小时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06"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IV级</w:t>
            </w:r>
          </w:p>
          <w:p>
            <w:pPr>
              <w:tabs>
                <w:tab w:val="right" w:pos="-2120"/>
              </w:tabs>
              <w:snapToGrid w:val="0"/>
              <w:rPr>
                <w:rFonts w:ascii="宋体" w:hAnsi="宋体" w:eastAsia="宋体" w:cs="宋体"/>
                <w:sz w:val="18"/>
                <w:szCs w:val="18"/>
              </w:rPr>
            </w:pPr>
            <w:r>
              <w:rPr>
                <w:rFonts w:hint="eastAsia" w:ascii="宋体" w:hAnsi="宋体" w:eastAsia="宋体" w:cs="宋体"/>
                <w:sz w:val="18"/>
                <w:szCs w:val="18"/>
              </w:rPr>
              <w:t>（一般）</w:t>
            </w:r>
          </w:p>
        </w:tc>
        <w:tc>
          <w:tcPr>
            <w:tcW w:w="93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10分钟</w:t>
            </w:r>
          </w:p>
        </w:tc>
        <w:tc>
          <w:tcPr>
            <w:tcW w:w="1891"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2小时</w:t>
            </w:r>
          </w:p>
        </w:tc>
        <w:tc>
          <w:tcPr>
            <w:tcW w:w="1227"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12个小时</w:t>
            </w:r>
          </w:p>
        </w:tc>
        <w:tc>
          <w:tcPr>
            <w:tcW w:w="1134"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业务恢复后1个自然天</w:t>
            </w:r>
          </w:p>
        </w:tc>
        <w:tc>
          <w:tcPr>
            <w:tcW w:w="1769" w:type="dxa"/>
            <w:vAlign w:val="center"/>
          </w:tcPr>
          <w:p>
            <w:pPr>
              <w:tabs>
                <w:tab w:val="right" w:pos="-2120"/>
              </w:tabs>
              <w:snapToGrid w:val="0"/>
              <w:rPr>
                <w:rFonts w:ascii="宋体" w:hAnsi="宋体" w:eastAsia="宋体" w:cs="宋体"/>
                <w:sz w:val="18"/>
                <w:szCs w:val="18"/>
              </w:rPr>
            </w:pPr>
            <w:r>
              <w:rPr>
                <w:rFonts w:hint="eastAsia" w:ascii="宋体" w:hAnsi="宋体" w:eastAsia="宋体" w:cs="宋体"/>
                <w:sz w:val="18"/>
                <w:szCs w:val="18"/>
              </w:rPr>
              <w:t>1小时</w:t>
            </w:r>
          </w:p>
        </w:tc>
      </w:tr>
    </w:tbl>
    <w:p>
      <w:pPr>
        <w:pStyle w:val="8"/>
        <w:spacing w:before="52" w:line="364" w:lineRule="auto"/>
        <w:ind w:left="0" w:right="895" w:firstLine="479"/>
        <w:jc w:val="both"/>
        <w:rPr>
          <w:rFonts w:ascii="Times New Roman" w:hAnsi="Times New Roman" w:cs="宋体"/>
          <w:kern w:val="2"/>
          <w:sz w:val="24"/>
          <w:szCs w:val="22"/>
        </w:rPr>
      </w:pP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2.2.6信息迁移服务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为各个信息化系统提供迁移服务，包括中间件、操作系统相关的程序和文件迁移。要求如下：</w:t>
      </w:r>
    </w:p>
    <w:p>
      <w:pPr>
        <w:pStyle w:val="8"/>
        <w:numPr>
          <w:ilvl w:val="0"/>
          <w:numId w:val="27"/>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不影响业务系统正常功能。</w:t>
      </w:r>
    </w:p>
    <w:p>
      <w:pPr>
        <w:pStyle w:val="8"/>
        <w:numPr>
          <w:ilvl w:val="0"/>
          <w:numId w:val="27"/>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不对业务系统造成性能影响。</w:t>
      </w:r>
    </w:p>
    <w:p>
      <w:pPr>
        <w:pStyle w:val="8"/>
        <w:numPr>
          <w:ilvl w:val="0"/>
          <w:numId w:val="27"/>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确保数据完整、无遗漏。</w:t>
      </w:r>
    </w:p>
    <w:p>
      <w:pPr>
        <w:pStyle w:val="8"/>
        <w:numPr>
          <w:ilvl w:val="0"/>
          <w:numId w:val="27"/>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确保数据可用性。</w:t>
      </w:r>
    </w:p>
    <w:p>
      <w:pPr>
        <w:pStyle w:val="8"/>
        <w:numPr>
          <w:ilvl w:val="0"/>
          <w:numId w:val="27"/>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确保在规定时间内完成迁移。</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2.2.7安全保障服务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为确保系统安全性，供应商需对各业务信息相关的中间件和主机安全隐患进行分析及处理工作；并配合安全检查中所发现的问题进行修复和规避。及时对工作中发现的各类安全隐患进行上报和解决。有必要的时候进行软件升级和补丁修复工作。</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在安全保障工作中确保安全保障工作可靠、安全，提前做好验证，测试工作，保证不影响业务系统正常运行。</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2.2.8关键窗口保障</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国家法定假日（元旦、春节、清明、五一、端午、国庆、中秋）期间，或其他重要时间窗口前做好各系统的巡检，及时解决发现的问题；在节假日和重要窗口期间保障系统运行稳定，及时解决该时期内的。</w:t>
      </w:r>
    </w:p>
    <w:p>
      <w:pPr>
        <w:pStyle w:val="8"/>
        <w:spacing w:before="52" w:line="364" w:lineRule="auto"/>
        <w:ind w:left="0" w:right="895" w:firstLine="479"/>
        <w:jc w:val="both"/>
        <w:rPr>
          <w:rFonts w:ascii="宋体" w:hAnsi="宋体" w:cs="宋体"/>
          <w:b/>
          <w:bCs/>
          <w:sz w:val="24"/>
          <w:szCs w:val="24"/>
        </w:rPr>
      </w:pPr>
      <w:r>
        <w:rPr>
          <w:rFonts w:hint="eastAsia" w:ascii="Times New Roman" w:hAnsi="Times New Roman" w:cs="宋体"/>
          <w:kern w:val="2"/>
          <w:sz w:val="24"/>
          <w:szCs w:val="22"/>
        </w:rPr>
        <w:t>关键时间窗口保障前，需提供详细的保障工作计划。</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2.2.9工程割接参与工作</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保障各业务系统的割接工作顺利完成，对于供应商服务团队主导的割接任务，事先做好割接方案，经甲方审批通过后方可进行实施。由其他甲方，部门或者供应商主导的割接工作中，供应商应严格按照割接计划和操作要求实施，确保割接顺利。未经甲方审批通过进行割接如发生问题，由供应商负责。</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主要包括且不限于以下工作：</w:t>
      </w:r>
    </w:p>
    <w:p>
      <w:pPr>
        <w:pStyle w:val="8"/>
        <w:numPr>
          <w:ilvl w:val="0"/>
          <w:numId w:val="28"/>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组织技术方案讨论，制定保证措施和回退方案。</w:t>
      </w:r>
    </w:p>
    <w:p>
      <w:pPr>
        <w:pStyle w:val="8"/>
        <w:numPr>
          <w:ilvl w:val="0"/>
          <w:numId w:val="28"/>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制定割接实施计划。</w:t>
      </w:r>
    </w:p>
    <w:p>
      <w:pPr>
        <w:pStyle w:val="8"/>
        <w:numPr>
          <w:ilvl w:val="0"/>
          <w:numId w:val="28"/>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参考实际割接环境，进行测试环境的搭建。</w:t>
      </w:r>
    </w:p>
    <w:p>
      <w:pPr>
        <w:pStyle w:val="8"/>
        <w:numPr>
          <w:ilvl w:val="0"/>
          <w:numId w:val="28"/>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提前做好方案实际测试验证工作，确保迁移时功能和性能均可控，不影响业务系统。</w:t>
      </w:r>
    </w:p>
    <w:p>
      <w:pPr>
        <w:pStyle w:val="8"/>
        <w:numPr>
          <w:ilvl w:val="0"/>
          <w:numId w:val="28"/>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割接过程中进行环境和数据的检查。</w:t>
      </w:r>
    </w:p>
    <w:p>
      <w:pPr>
        <w:pStyle w:val="8"/>
        <w:numPr>
          <w:ilvl w:val="0"/>
          <w:numId w:val="28"/>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处理割接过程中发生的问题和突发事件。</w:t>
      </w:r>
    </w:p>
    <w:p>
      <w:pPr>
        <w:pStyle w:val="8"/>
        <w:numPr>
          <w:ilvl w:val="0"/>
          <w:numId w:val="28"/>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割接完成后出具割接总结报告。</w:t>
      </w:r>
    </w:p>
    <w:p>
      <w:pPr>
        <w:pStyle w:val="27"/>
        <w:numPr>
          <w:ilvl w:val="2"/>
          <w:numId w:val="0"/>
        </w:numPr>
        <w:ind w:firstLine="643" w:firstLineChars="200"/>
        <w:rPr>
          <w:rFonts w:ascii="宋体" w:hAnsi="宋体" w:cs="宋体"/>
          <w:sz w:val="32"/>
        </w:rPr>
      </w:pPr>
      <w:bookmarkStart w:id="174" w:name="_Toc6896"/>
      <w:bookmarkStart w:id="175" w:name="_Toc31531"/>
      <w:bookmarkStart w:id="176" w:name="_Toc25347"/>
    </w:p>
    <w:p>
      <w:pPr>
        <w:pStyle w:val="27"/>
        <w:numPr>
          <w:ilvl w:val="2"/>
          <w:numId w:val="0"/>
        </w:numPr>
        <w:ind w:firstLine="643" w:firstLineChars="200"/>
      </w:pPr>
      <w:bookmarkStart w:id="177" w:name="_Toc3960"/>
      <w:bookmarkStart w:id="178" w:name="_Toc26970"/>
      <w:r>
        <w:rPr>
          <w:rFonts w:hint="eastAsia" w:ascii="宋体" w:hAnsi="宋体" w:cs="宋体"/>
          <w:sz w:val="32"/>
        </w:rPr>
        <w:t>2.3性能优化服务</w:t>
      </w:r>
      <w:bookmarkEnd w:id="174"/>
      <w:bookmarkEnd w:id="175"/>
      <w:bookmarkEnd w:id="176"/>
      <w:bookmarkEnd w:id="177"/>
      <w:bookmarkEnd w:id="178"/>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2.3.1中间件优化服务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及时对中间件进行性能优化分析，及时解决在分析过程中的性能隐患及问题，对中间件的参数设置、主机配置进行登记汇总，结合业务繁忙程度进行性能的分析建议以及优化调整，保证业务系统运行效率。</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服务包含且不限于以下内容：</w:t>
      </w:r>
    </w:p>
    <w:p>
      <w:pPr>
        <w:pStyle w:val="8"/>
        <w:numPr>
          <w:ilvl w:val="0"/>
          <w:numId w:val="29"/>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制定中间件配置信息统计表。</w:t>
      </w:r>
    </w:p>
    <w:p>
      <w:pPr>
        <w:pStyle w:val="8"/>
        <w:numPr>
          <w:ilvl w:val="0"/>
          <w:numId w:val="29"/>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性能分析。</w:t>
      </w:r>
    </w:p>
    <w:p>
      <w:pPr>
        <w:pStyle w:val="8"/>
        <w:numPr>
          <w:ilvl w:val="0"/>
          <w:numId w:val="29"/>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中间件参数优化。</w:t>
      </w:r>
    </w:p>
    <w:p>
      <w:pPr>
        <w:pStyle w:val="8"/>
        <w:numPr>
          <w:ilvl w:val="0"/>
          <w:numId w:val="29"/>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操作系统参数优化。</w:t>
      </w:r>
    </w:p>
    <w:p>
      <w:pPr>
        <w:pStyle w:val="8"/>
        <w:numPr>
          <w:ilvl w:val="0"/>
          <w:numId w:val="29"/>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JVM分析。</w:t>
      </w:r>
    </w:p>
    <w:p>
      <w:pPr>
        <w:pStyle w:val="8"/>
        <w:numPr>
          <w:ilvl w:val="0"/>
          <w:numId w:val="29"/>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提供性能分析处理报告。</w:t>
      </w:r>
    </w:p>
    <w:p>
      <w:pPr>
        <w:pStyle w:val="8"/>
        <w:numPr>
          <w:ilvl w:val="0"/>
          <w:numId w:val="29"/>
        </w:numPr>
        <w:spacing w:before="52" w:line="364" w:lineRule="auto"/>
        <w:ind w:right="895"/>
        <w:jc w:val="both"/>
        <w:rPr>
          <w:rFonts w:ascii="Times New Roman" w:hAnsi="Times New Roman" w:cs="宋体"/>
          <w:kern w:val="2"/>
          <w:sz w:val="24"/>
          <w:szCs w:val="22"/>
        </w:rPr>
      </w:pPr>
      <w:r>
        <w:rPr>
          <w:rFonts w:hint="eastAsia" w:ascii="Times New Roman" w:hAnsi="Times New Roman" w:cs="宋体"/>
          <w:kern w:val="2"/>
          <w:sz w:val="24"/>
          <w:szCs w:val="22"/>
        </w:rPr>
        <w:t>各类中间件最优配置方案</w:t>
      </w:r>
    </w:p>
    <w:p>
      <w:pPr>
        <w:pStyle w:val="8"/>
        <w:spacing w:line="520" w:lineRule="exact"/>
        <w:ind w:left="0" w:firstLine="602" w:firstLineChars="200"/>
        <w:jc w:val="both"/>
        <w:rPr>
          <w:rFonts w:ascii="宋体" w:hAnsi="宋体" w:cs="宋体"/>
          <w:b/>
          <w:bCs/>
          <w:sz w:val="30"/>
          <w:szCs w:val="30"/>
        </w:rPr>
      </w:pPr>
      <w:r>
        <w:rPr>
          <w:rFonts w:hint="eastAsia" w:ascii="宋体" w:hAnsi="宋体" w:cs="宋体"/>
          <w:b/>
          <w:bCs/>
          <w:sz w:val="30"/>
          <w:szCs w:val="30"/>
        </w:rPr>
        <w:t>2.3.2端到端全链路性能优化服务</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通过可视化方式显示业务系统整体的运行状态，以便进行系统的瓶颈和问题分析，方便进行分析和调优，全面提升业务系统用户体验。以业务为导向，保障系统使用体验，进行端到端的全链路性能监控并提供优化服务，包括应用系统、中间件、数据库、操作系统、网络等环节，确保系统良好的运行状态。</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供应商提供的工具需按照应用系统进行健康度分析，并提供健康状态总揽图，通过颜色区分健康状态的不同分级。支持业务系统逻辑拓扑图展示，并支持拓扑图的下钻，可查看拓扑图对象的属性、状态等信息。拓扑图上呈现告警信息及状态。</w:t>
      </w:r>
    </w:p>
    <w:p>
      <w:pPr>
        <w:pStyle w:val="8"/>
        <w:spacing w:before="52" w:line="364" w:lineRule="auto"/>
        <w:ind w:left="0" w:right="895" w:firstLine="479"/>
        <w:jc w:val="both"/>
        <w:rPr>
          <w:rFonts w:ascii="Times New Roman" w:hAnsi="Times New Roman" w:cs="宋体"/>
          <w:kern w:val="2"/>
          <w:sz w:val="24"/>
          <w:szCs w:val="22"/>
        </w:rPr>
      </w:pPr>
      <w:r>
        <w:rPr>
          <w:rFonts w:hint="eastAsia" w:ascii="Times New Roman" w:hAnsi="Times New Roman" w:cs="宋体"/>
          <w:kern w:val="2"/>
          <w:sz w:val="24"/>
          <w:szCs w:val="22"/>
        </w:rPr>
        <w:t>实现应用系统健康度计算，并提供应用系统健康状态总览视图，按不同颜色呈现不同系统的健康状态。支持业务系统拓扑展示，拓扑支持2D效果及伪3D效果智能排版布局；拓扑支持关系下钻，支持拓扑节点右键查看资产信息、告警信息、常用固定操作（可关联自动化运维脚本）；拓扑上呈现系统相关告警列表，并支持实时操作台（支持交互式命令操作）。</w:t>
      </w:r>
    </w:p>
    <w:p>
      <w:pPr>
        <w:pStyle w:val="27"/>
        <w:numPr>
          <w:ilvl w:val="2"/>
          <w:numId w:val="0"/>
        </w:numPr>
        <w:ind w:firstLine="643" w:firstLineChars="200"/>
        <w:rPr>
          <w:rFonts w:ascii="宋体" w:hAnsi="宋体" w:cs="宋体"/>
          <w:sz w:val="32"/>
        </w:rPr>
      </w:pPr>
      <w:bookmarkStart w:id="179" w:name="_Toc6818"/>
      <w:bookmarkStart w:id="180" w:name="_Toc63"/>
      <w:bookmarkStart w:id="181" w:name="_Toc10099"/>
    </w:p>
    <w:p>
      <w:pPr>
        <w:pStyle w:val="27"/>
        <w:numPr>
          <w:ilvl w:val="2"/>
          <w:numId w:val="0"/>
        </w:numPr>
        <w:ind w:firstLine="643" w:firstLineChars="200"/>
      </w:pPr>
      <w:bookmarkStart w:id="182" w:name="_Toc28180"/>
      <w:bookmarkStart w:id="183" w:name="_Toc10056"/>
      <w:r>
        <w:rPr>
          <w:rFonts w:hint="eastAsia" w:ascii="宋体" w:hAnsi="宋体" w:cs="宋体"/>
          <w:sz w:val="32"/>
        </w:rPr>
        <w:t>2.4系统整合服务</w:t>
      </w:r>
      <w:bookmarkEnd w:id="179"/>
      <w:bookmarkEnd w:id="180"/>
      <w:bookmarkEnd w:id="181"/>
      <w:bookmarkEnd w:id="182"/>
      <w:bookmarkEnd w:id="183"/>
    </w:p>
    <w:p>
      <w:pPr>
        <w:pStyle w:val="19"/>
        <w:ind w:firstLine="480"/>
      </w:pPr>
      <w:r>
        <w:rPr>
          <w:rFonts w:hint="eastAsia"/>
        </w:rPr>
        <w:t>优化资源使用率将应用系统架构中存在的利用率低、负载超标、存在单点故障或者复杂性较高的架构进行分析、优化和整合。</w:t>
      </w:r>
    </w:p>
    <w:p>
      <w:pPr>
        <w:pStyle w:val="19"/>
        <w:ind w:firstLine="480"/>
      </w:pPr>
      <w:r>
        <w:rPr>
          <w:rFonts w:hint="eastAsia"/>
        </w:rPr>
        <w:t>供应商须提供中间件和系统的整合方案，包含且不限于以下内容：</w:t>
      </w:r>
    </w:p>
    <w:p>
      <w:pPr>
        <w:pStyle w:val="19"/>
        <w:numPr>
          <w:ilvl w:val="0"/>
          <w:numId w:val="30"/>
        </w:numPr>
        <w:ind w:firstLineChars="0"/>
      </w:pPr>
      <w:r>
        <w:rPr>
          <w:rFonts w:hint="eastAsia"/>
        </w:rPr>
        <w:t>架构评审分析报告。</w:t>
      </w:r>
    </w:p>
    <w:p>
      <w:pPr>
        <w:pStyle w:val="19"/>
        <w:numPr>
          <w:ilvl w:val="0"/>
          <w:numId w:val="30"/>
        </w:numPr>
        <w:ind w:firstLineChars="0"/>
      </w:pPr>
      <w:r>
        <w:rPr>
          <w:rFonts w:hint="eastAsia"/>
        </w:rPr>
        <w:t>节点整合分析报告。</w:t>
      </w:r>
    </w:p>
    <w:p>
      <w:pPr>
        <w:pStyle w:val="19"/>
        <w:numPr>
          <w:ilvl w:val="0"/>
          <w:numId w:val="30"/>
        </w:numPr>
        <w:ind w:firstLineChars="0"/>
      </w:pPr>
      <w:r>
        <w:rPr>
          <w:rFonts w:hint="eastAsia"/>
        </w:rPr>
        <w:t>资源整合实施方案。</w:t>
      </w:r>
    </w:p>
    <w:p>
      <w:pPr>
        <w:pStyle w:val="19"/>
        <w:numPr>
          <w:ilvl w:val="0"/>
          <w:numId w:val="30"/>
        </w:numPr>
        <w:ind w:firstLineChars="0"/>
      </w:pPr>
      <w:r>
        <w:rPr>
          <w:rFonts w:hint="eastAsia"/>
        </w:rPr>
        <w:t>资源整合测试验证报告。</w:t>
      </w:r>
    </w:p>
    <w:p>
      <w:pPr>
        <w:pStyle w:val="19"/>
        <w:numPr>
          <w:ilvl w:val="0"/>
          <w:numId w:val="30"/>
        </w:numPr>
        <w:ind w:firstLineChars="0"/>
      </w:pPr>
      <w:r>
        <w:rPr>
          <w:rFonts w:hint="eastAsia"/>
        </w:rPr>
        <w:t>资源整合实施计划。</w:t>
      </w:r>
    </w:p>
    <w:p>
      <w:pPr>
        <w:pStyle w:val="19"/>
        <w:numPr>
          <w:ilvl w:val="0"/>
          <w:numId w:val="30"/>
        </w:numPr>
        <w:ind w:firstLineChars="0"/>
      </w:pPr>
      <w:r>
        <w:rPr>
          <w:rFonts w:hint="eastAsia"/>
        </w:rPr>
        <w:t>资源配置统计表。</w:t>
      </w:r>
    </w:p>
    <w:p>
      <w:pPr>
        <w:pStyle w:val="19"/>
        <w:numPr>
          <w:ilvl w:val="0"/>
          <w:numId w:val="30"/>
        </w:numPr>
        <w:ind w:firstLineChars="0"/>
      </w:pPr>
      <w:r>
        <w:rPr>
          <w:rFonts w:hint="eastAsia"/>
        </w:rPr>
        <w:t>资源性能监控分析报告。</w:t>
      </w:r>
    </w:p>
    <w:p>
      <w:pPr>
        <w:pStyle w:val="19"/>
        <w:numPr>
          <w:ilvl w:val="0"/>
          <w:numId w:val="30"/>
        </w:numPr>
        <w:ind w:firstLineChars="0"/>
      </w:pPr>
      <w:r>
        <w:rPr>
          <w:rFonts w:hint="eastAsia"/>
        </w:rPr>
        <w:t>系统迁移/割接方案。</w:t>
      </w:r>
    </w:p>
    <w:p>
      <w:pPr>
        <w:pStyle w:val="19"/>
        <w:numPr>
          <w:ilvl w:val="0"/>
          <w:numId w:val="30"/>
        </w:numPr>
        <w:ind w:firstLineChars="0"/>
      </w:pPr>
      <w:r>
        <w:rPr>
          <w:rFonts w:hint="eastAsia"/>
        </w:rPr>
        <w:t>系统整合实施经验总结报告。</w:t>
      </w:r>
      <w:bookmarkStart w:id="184" w:name="_Toc1544"/>
      <w:r>
        <w:rPr>
          <w:rFonts w:hint="eastAsia"/>
        </w:rPr>
        <w:t xml:space="preserve"> </w:t>
      </w:r>
    </w:p>
    <w:p>
      <w:pPr>
        <w:pStyle w:val="19"/>
        <w:ind w:firstLine="0" w:firstLineChars="0"/>
      </w:pPr>
    </w:p>
    <w:p>
      <w:pPr>
        <w:pStyle w:val="27"/>
        <w:numPr>
          <w:ilvl w:val="2"/>
          <w:numId w:val="0"/>
        </w:numPr>
        <w:ind w:firstLine="643" w:firstLineChars="200"/>
      </w:pPr>
      <w:bookmarkStart w:id="185" w:name="_Toc19047"/>
      <w:bookmarkStart w:id="186" w:name="_Toc23603"/>
      <w:bookmarkStart w:id="187" w:name="_Toc21551"/>
      <w:bookmarkStart w:id="188" w:name="_Toc18354"/>
      <w:r>
        <w:rPr>
          <w:rFonts w:hint="eastAsia" w:ascii="宋体" w:hAnsi="宋体" w:cs="宋体"/>
          <w:sz w:val="32"/>
        </w:rPr>
        <w:t>2.5应用迁移服务</w:t>
      </w:r>
      <w:bookmarkEnd w:id="184"/>
      <w:bookmarkEnd w:id="185"/>
      <w:bookmarkEnd w:id="186"/>
      <w:bookmarkEnd w:id="187"/>
      <w:bookmarkEnd w:id="188"/>
    </w:p>
    <w:p>
      <w:pPr>
        <w:pStyle w:val="19"/>
        <w:ind w:firstLine="480"/>
      </w:pPr>
      <w:r>
        <w:rPr>
          <w:rFonts w:hint="eastAsia"/>
        </w:rPr>
        <w:t>配合中国重汽进行业务系统迁移及云改数治项目，进行系统云化改造工程，保障系统架构稳定、平滑过渡。</w:t>
      </w:r>
    </w:p>
    <w:p>
      <w:pPr>
        <w:pStyle w:val="19"/>
        <w:numPr>
          <w:ilvl w:val="0"/>
          <w:numId w:val="31"/>
        </w:numPr>
        <w:ind w:firstLineChars="0"/>
      </w:pPr>
      <w:r>
        <w:rPr>
          <w:rFonts w:hint="eastAsia"/>
        </w:rPr>
        <w:t>要求：</w:t>
      </w:r>
    </w:p>
    <w:p>
      <w:pPr>
        <w:pStyle w:val="19"/>
        <w:numPr>
          <w:ilvl w:val="0"/>
          <w:numId w:val="32"/>
        </w:numPr>
        <w:ind w:firstLineChars="0"/>
      </w:pPr>
      <w:r>
        <w:rPr>
          <w:rFonts w:hint="eastAsia"/>
        </w:rPr>
        <w:t>供应商具备大型制造业业务系统云化改造经验。</w:t>
      </w:r>
    </w:p>
    <w:p>
      <w:pPr>
        <w:pStyle w:val="19"/>
        <w:numPr>
          <w:ilvl w:val="0"/>
          <w:numId w:val="32"/>
        </w:numPr>
        <w:ind w:firstLineChars="0"/>
      </w:pPr>
      <w:r>
        <w:rPr>
          <w:rFonts w:hint="eastAsia"/>
        </w:rPr>
        <w:t>供应商具备制造业大型业务系统迁移经验，可处理迁移过程中与业务系统相关的应用、中间件、数据文件、配置参数、软件实施、软件优化等工作内容。</w:t>
      </w:r>
    </w:p>
    <w:p>
      <w:pPr>
        <w:pStyle w:val="19"/>
        <w:numPr>
          <w:ilvl w:val="0"/>
          <w:numId w:val="32"/>
        </w:numPr>
        <w:ind w:firstLineChars="0"/>
      </w:pPr>
      <w:r>
        <w:rPr>
          <w:rFonts w:hint="eastAsia"/>
        </w:rPr>
        <w:t>供应商须提供数据和应用迁移工具及平台，确保迁移的实时性、准确性、数据安全性和稳定性。</w:t>
      </w:r>
    </w:p>
    <w:p>
      <w:pPr>
        <w:pStyle w:val="19"/>
        <w:numPr>
          <w:ilvl w:val="0"/>
          <w:numId w:val="32"/>
        </w:numPr>
        <w:ind w:firstLineChars="0"/>
      </w:pPr>
      <w:r>
        <w:rPr>
          <w:rFonts w:hint="eastAsia"/>
        </w:rPr>
        <w:t>供应商需提供对重汽生产、制造和职能等相关领域系统的充分理解，包括且不限于业务时间段、繁忙时期、系统关联性和系统重要性等信息。</w:t>
      </w:r>
    </w:p>
    <w:p>
      <w:pPr>
        <w:pStyle w:val="19"/>
        <w:numPr>
          <w:ilvl w:val="0"/>
          <w:numId w:val="31"/>
        </w:numPr>
        <w:ind w:firstLineChars="0"/>
      </w:pPr>
      <w:r>
        <w:rPr>
          <w:rFonts w:hint="eastAsia"/>
        </w:rPr>
        <w:t xml:space="preserve">工作内容，包含但不限于以下： </w:t>
      </w:r>
    </w:p>
    <w:p>
      <w:pPr>
        <w:pStyle w:val="19"/>
        <w:numPr>
          <w:ilvl w:val="0"/>
          <w:numId w:val="33"/>
        </w:numPr>
        <w:ind w:firstLineChars="0"/>
      </w:pPr>
      <w:r>
        <w:t xml:space="preserve">完整的调研及资源预估，进行方案的设计 </w:t>
      </w:r>
      <w:r>
        <w:rPr>
          <w:rFonts w:hint="eastAsia"/>
        </w:rPr>
        <w:t>。</w:t>
      </w:r>
    </w:p>
    <w:p>
      <w:pPr>
        <w:pStyle w:val="19"/>
        <w:numPr>
          <w:ilvl w:val="0"/>
          <w:numId w:val="33"/>
        </w:numPr>
        <w:ind w:firstLineChars="0"/>
      </w:pPr>
      <w:r>
        <w:rPr>
          <w:rFonts w:hint="eastAsia"/>
        </w:rPr>
        <w:t>系统上云最佳方案和改造方案。</w:t>
      </w:r>
    </w:p>
    <w:p>
      <w:pPr>
        <w:pStyle w:val="19"/>
        <w:numPr>
          <w:ilvl w:val="0"/>
          <w:numId w:val="33"/>
        </w:numPr>
        <w:ind w:firstLineChars="0"/>
      </w:pPr>
      <w:r>
        <w:t xml:space="preserve">进行完善的方案测试及模割，确保改造顺利进行。 </w:t>
      </w:r>
    </w:p>
    <w:p>
      <w:pPr>
        <w:pStyle w:val="19"/>
        <w:numPr>
          <w:ilvl w:val="0"/>
          <w:numId w:val="33"/>
        </w:numPr>
        <w:ind w:firstLineChars="0"/>
      </w:pPr>
      <w:r>
        <w:t xml:space="preserve">进行方案实施，保障系统稳定、平滑向云化过渡。 </w:t>
      </w:r>
    </w:p>
    <w:p>
      <w:pPr>
        <w:pStyle w:val="19"/>
        <w:ind w:firstLine="0" w:firstLineChars="0"/>
      </w:pPr>
    </w:p>
    <w:p>
      <w:pPr>
        <w:pStyle w:val="27"/>
        <w:numPr>
          <w:ilvl w:val="2"/>
          <w:numId w:val="0"/>
        </w:numPr>
        <w:ind w:firstLine="643" w:firstLineChars="200"/>
        <w:rPr>
          <w:rFonts w:ascii="宋体" w:hAnsi="宋体" w:cs="宋体"/>
          <w:sz w:val="32"/>
        </w:rPr>
      </w:pPr>
      <w:bookmarkStart w:id="189" w:name="_Toc8339"/>
      <w:bookmarkStart w:id="190" w:name="_Toc9061"/>
      <w:bookmarkStart w:id="191" w:name="_Toc12185"/>
      <w:bookmarkStart w:id="192" w:name="_Toc19178"/>
      <w:bookmarkStart w:id="193" w:name="_Toc12434"/>
      <w:r>
        <w:rPr>
          <w:rFonts w:hint="eastAsia" w:ascii="宋体" w:hAnsi="宋体" w:cs="宋体"/>
          <w:sz w:val="32"/>
        </w:rPr>
        <w:t>2.6运维管控平台服务</w:t>
      </w:r>
      <w:bookmarkEnd w:id="189"/>
      <w:bookmarkEnd w:id="190"/>
      <w:bookmarkEnd w:id="191"/>
      <w:bookmarkEnd w:id="192"/>
      <w:bookmarkEnd w:id="193"/>
    </w:p>
    <w:p>
      <w:pPr>
        <w:pStyle w:val="8"/>
        <w:spacing w:line="520" w:lineRule="exact"/>
        <w:ind w:left="0" w:firstLine="602" w:firstLineChars="200"/>
        <w:jc w:val="both"/>
        <w:rPr>
          <w:rFonts w:ascii="宋体" w:hAnsi="宋体" w:cs="宋体"/>
          <w:b/>
          <w:bCs/>
          <w:sz w:val="30"/>
          <w:szCs w:val="30"/>
        </w:rPr>
      </w:pPr>
      <w:bookmarkStart w:id="194" w:name="_Toc2117"/>
      <w:bookmarkStart w:id="195" w:name="_Toc13774"/>
      <w:bookmarkStart w:id="196" w:name="_Toc12595"/>
      <w:r>
        <w:rPr>
          <w:rFonts w:hint="eastAsia" w:ascii="宋体" w:hAnsi="宋体" w:cs="宋体"/>
          <w:b/>
          <w:bCs/>
          <w:sz w:val="30"/>
          <w:szCs w:val="30"/>
        </w:rPr>
        <w:t>2.6.1集中管控平台服务</w:t>
      </w:r>
      <w:bookmarkEnd w:id="194"/>
      <w:bookmarkEnd w:id="195"/>
      <w:bookmarkEnd w:id="196"/>
    </w:p>
    <w:p>
      <w:pPr>
        <w:pStyle w:val="19"/>
        <w:ind w:firstLine="480"/>
      </w:pPr>
      <w:r>
        <w:rPr>
          <w:rFonts w:hint="eastAsia"/>
        </w:rPr>
        <w:t xml:space="preserve">目前中国重汽涉及的中间件版本和系统类型较多，为确保系统的高效运行，需有集中化的性能监控与统一管理手段对中国重汽的业务系统和中间件进行 7×24 小时实时性能监控与集中管理及时掌握系统情况，并定期出相关的性能分析报告，科学地预测和掌握主机应用系统的性能状态，使业务系统和中间件、主机能够满足不断增长的业务应用需要。 </w:t>
      </w:r>
    </w:p>
    <w:p>
      <w:pPr>
        <w:pStyle w:val="19"/>
        <w:ind w:firstLine="480"/>
      </w:pPr>
    </w:p>
    <w:p>
      <w:pPr>
        <w:pStyle w:val="8"/>
        <w:spacing w:before="3"/>
        <w:ind w:left="0"/>
        <w:rPr>
          <w:rFonts w:ascii="Times New Roman" w:hAnsi="Times New Roman"/>
          <w:kern w:val="2"/>
          <w:sz w:val="24"/>
          <w:szCs w:val="24"/>
        </w:rPr>
      </w:pPr>
      <w:r>
        <w:rPr>
          <w:rFonts w:hint="eastAsia" w:ascii="Times New Roman" w:hAnsi="Times New Roman"/>
          <w:kern w:val="2"/>
          <w:sz w:val="24"/>
          <w:szCs w:val="24"/>
        </w:rPr>
        <w:t>性能监控服务须能满足以下要求：</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多平台、多版本支持。 </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提供标准化操作脚本或工具。 </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实时监控所有指标、多层次分析原因。 </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自动告警。 </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直观动态拓扑图形展示。 </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图形化的日志分析功能。 </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可直观展示每套系统健康度，并对健康度进行综合评分。 </w:t>
      </w:r>
    </w:p>
    <w:p>
      <w:pPr>
        <w:pStyle w:val="8"/>
        <w:numPr>
          <w:ilvl w:val="0"/>
          <w:numId w:val="34"/>
        </w:numPr>
        <w:spacing w:before="3"/>
        <w:rPr>
          <w:rFonts w:ascii="宋体" w:hAnsi="宋体" w:cs="宋体"/>
          <w:sz w:val="24"/>
          <w:szCs w:val="24"/>
        </w:rPr>
      </w:pPr>
      <w:r>
        <w:rPr>
          <w:rFonts w:hint="eastAsia" w:ascii="宋体" w:hAnsi="宋体" w:cs="宋体"/>
          <w:sz w:val="24"/>
          <w:szCs w:val="24"/>
        </w:rPr>
        <w:t>性能问题集中展示，快速发现问题数据库。</w:t>
      </w:r>
    </w:p>
    <w:p>
      <w:pPr>
        <w:pStyle w:val="8"/>
        <w:numPr>
          <w:ilvl w:val="0"/>
          <w:numId w:val="34"/>
        </w:numPr>
        <w:spacing w:before="3"/>
        <w:rPr>
          <w:rFonts w:ascii="宋体" w:hAnsi="宋体" w:cs="宋体"/>
          <w:sz w:val="24"/>
          <w:szCs w:val="24"/>
        </w:rPr>
      </w:pPr>
      <w:r>
        <w:rPr>
          <w:rFonts w:hint="eastAsia" w:ascii="宋体" w:hAnsi="宋体" w:cs="宋体"/>
          <w:sz w:val="24"/>
          <w:szCs w:val="24"/>
        </w:rPr>
        <w:t xml:space="preserve">通过图表可以快速找到问题所在。 </w:t>
      </w:r>
    </w:p>
    <w:p>
      <w:pPr>
        <w:pStyle w:val="8"/>
        <w:numPr>
          <w:ilvl w:val="0"/>
          <w:numId w:val="34"/>
        </w:numPr>
        <w:spacing w:before="3"/>
      </w:pPr>
      <w:r>
        <w:rPr>
          <w:rFonts w:hint="eastAsia" w:ascii="宋体" w:hAnsi="宋体" w:cs="宋体"/>
          <w:sz w:val="24"/>
          <w:szCs w:val="24"/>
        </w:rPr>
        <w:t>通过对 TOP SQL 的下钻分析，快速定位 SQL 语句问题，如执行计划突变，执行次数变化或全表扫描等。</w:t>
      </w:r>
    </w:p>
    <w:p>
      <w:pPr>
        <w:pStyle w:val="8"/>
        <w:numPr>
          <w:ilvl w:val="0"/>
          <w:numId w:val="34"/>
        </w:numPr>
        <w:spacing w:before="3"/>
        <w:rPr>
          <w:rFonts w:ascii="宋体" w:hAnsi="宋体" w:cs="宋体"/>
          <w:sz w:val="24"/>
          <w:szCs w:val="24"/>
        </w:rPr>
      </w:pPr>
      <w:r>
        <w:rPr>
          <w:rFonts w:hint="eastAsia" w:ascii="宋体" w:hAnsi="宋体" w:cs="宋体"/>
          <w:sz w:val="24"/>
          <w:szCs w:val="24"/>
        </w:rPr>
        <w:t>可统一管控所有中间件和数据库，并可直观展示各组件对应的配置、话会、参数、版本等信息。</w:t>
      </w:r>
    </w:p>
    <w:p>
      <w:pPr>
        <w:pStyle w:val="8"/>
        <w:spacing w:line="520" w:lineRule="exact"/>
        <w:ind w:left="0" w:firstLine="602" w:firstLineChars="200"/>
        <w:jc w:val="both"/>
        <w:rPr>
          <w:rFonts w:ascii="宋体" w:hAnsi="宋体" w:cs="宋体"/>
          <w:b/>
          <w:bCs/>
          <w:sz w:val="30"/>
          <w:szCs w:val="30"/>
        </w:rPr>
      </w:pPr>
      <w:bookmarkStart w:id="197" w:name="_Toc21187"/>
      <w:bookmarkStart w:id="198" w:name="_Toc25480"/>
      <w:bookmarkStart w:id="199" w:name="_Toc23711"/>
      <w:r>
        <w:rPr>
          <w:rFonts w:hint="eastAsia" w:ascii="宋体" w:hAnsi="宋体" w:cs="宋体"/>
          <w:b/>
          <w:bCs/>
          <w:sz w:val="30"/>
          <w:szCs w:val="30"/>
        </w:rPr>
        <w:t>2.6.2服务管控平台服务</w:t>
      </w:r>
      <w:bookmarkEnd w:id="197"/>
      <w:bookmarkEnd w:id="198"/>
      <w:bookmarkEnd w:id="199"/>
    </w:p>
    <w:p>
      <w:pPr>
        <w:pStyle w:val="19"/>
        <w:ind w:firstLine="480"/>
      </w:pPr>
      <w:r>
        <w:rPr>
          <w:rFonts w:hint="eastAsia"/>
        </w:rPr>
        <w:t>随着业务需求的加大，访问量的剧增，中国重汽的系统越来越复杂，系统和服务调用变得越来越频繁，由此引发的问题的问题越来越突出。目前急需一套有效的机制和手段对服务调用关系进行识别和治理，对针对服务和系统调用问题给出优化方案保证业务系统正常运行。</w:t>
      </w:r>
    </w:p>
    <w:p>
      <w:pPr>
        <w:pStyle w:val="19"/>
        <w:ind w:firstLine="480"/>
      </w:pPr>
      <w:r>
        <w:rPr>
          <w:rFonts w:hint="eastAsia"/>
        </w:rPr>
        <w:t xml:space="preserve">鉴于中国重汽系统服务调用和服务治理的现状，乙方提供的服务需要满足如下条件： </w:t>
      </w:r>
    </w:p>
    <w:p>
      <w:pPr>
        <w:pStyle w:val="8"/>
        <w:numPr>
          <w:ilvl w:val="0"/>
          <w:numId w:val="35"/>
        </w:numPr>
        <w:spacing w:before="3"/>
        <w:rPr>
          <w:rFonts w:ascii="宋体" w:hAnsi="宋体" w:cs="宋体"/>
          <w:sz w:val="24"/>
          <w:szCs w:val="24"/>
        </w:rPr>
      </w:pPr>
      <w:r>
        <w:rPr>
          <w:rFonts w:hint="eastAsia" w:ascii="宋体" w:hAnsi="宋体" w:cs="宋体"/>
          <w:sz w:val="24"/>
          <w:szCs w:val="24"/>
        </w:rPr>
        <w:t>对业务系统和服务调用关系进行识别，梳理调用关系。</w:t>
      </w:r>
    </w:p>
    <w:p>
      <w:pPr>
        <w:pStyle w:val="8"/>
        <w:numPr>
          <w:ilvl w:val="0"/>
          <w:numId w:val="35"/>
        </w:numPr>
        <w:spacing w:before="3"/>
        <w:rPr>
          <w:rFonts w:ascii="宋体" w:hAnsi="宋体" w:cs="宋体"/>
          <w:sz w:val="24"/>
          <w:szCs w:val="24"/>
        </w:rPr>
      </w:pPr>
      <w:r>
        <w:rPr>
          <w:rFonts w:hint="eastAsia" w:ascii="宋体" w:hAnsi="宋体" w:cs="宋体"/>
          <w:sz w:val="24"/>
          <w:szCs w:val="24"/>
        </w:rPr>
        <w:t>对多种语言的异构系统进行统一监控，实现异构系统的全栈监控。</w:t>
      </w:r>
    </w:p>
    <w:p>
      <w:pPr>
        <w:pStyle w:val="8"/>
        <w:numPr>
          <w:ilvl w:val="0"/>
          <w:numId w:val="35"/>
        </w:numPr>
        <w:spacing w:before="3"/>
        <w:rPr>
          <w:rFonts w:ascii="宋体" w:hAnsi="宋体" w:cs="宋体"/>
          <w:sz w:val="24"/>
          <w:szCs w:val="24"/>
        </w:rPr>
      </w:pPr>
      <w:r>
        <w:rPr>
          <w:rFonts w:hint="eastAsia" w:ascii="宋体" w:hAnsi="宋体" w:cs="宋体"/>
          <w:sz w:val="24"/>
          <w:szCs w:val="24"/>
        </w:rPr>
        <w:t>能够分析分布式系统的每一次系统调用、消息发送和缓存访问、数据库访问等，从而精准发现系统的瓶颈和隐患，以直观的图例，展示所有应用的总体拓扑、应用运行状态。</w:t>
      </w:r>
    </w:p>
    <w:p>
      <w:pPr>
        <w:pStyle w:val="8"/>
        <w:numPr>
          <w:ilvl w:val="0"/>
          <w:numId w:val="35"/>
        </w:numPr>
        <w:spacing w:before="3"/>
        <w:rPr>
          <w:rFonts w:ascii="宋体" w:hAnsi="宋体" w:cs="宋体"/>
          <w:sz w:val="24"/>
          <w:szCs w:val="24"/>
        </w:rPr>
      </w:pPr>
      <w:r>
        <w:rPr>
          <w:rFonts w:hint="eastAsia" w:ascii="宋体" w:hAnsi="宋体" w:cs="宋体"/>
          <w:sz w:val="24"/>
          <w:szCs w:val="24"/>
        </w:rPr>
        <w:t>可追溯业务系统调用链路对链路进行追踪分析。</w:t>
      </w:r>
    </w:p>
    <w:p>
      <w:pPr>
        <w:pStyle w:val="8"/>
        <w:numPr>
          <w:ilvl w:val="0"/>
          <w:numId w:val="35"/>
        </w:numPr>
        <w:spacing w:before="3"/>
      </w:pPr>
      <w:r>
        <w:rPr>
          <w:rFonts w:hint="eastAsia" w:ascii="宋体" w:hAnsi="宋体" w:cs="宋体"/>
          <w:sz w:val="24"/>
          <w:szCs w:val="24"/>
        </w:rPr>
        <w:t xml:space="preserve">可通过可视化界面识别每条 SQL 归属版本。 </w:t>
      </w:r>
    </w:p>
    <w:p>
      <w:pPr>
        <w:pStyle w:val="8"/>
        <w:spacing w:line="520" w:lineRule="exact"/>
        <w:ind w:left="0" w:firstLine="602" w:firstLineChars="200"/>
        <w:jc w:val="both"/>
        <w:rPr>
          <w:rFonts w:ascii="宋体" w:hAnsi="宋体" w:cs="宋体"/>
          <w:b/>
          <w:bCs/>
          <w:sz w:val="30"/>
          <w:szCs w:val="30"/>
        </w:rPr>
      </w:pPr>
      <w:bookmarkStart w:id="200" w:name="_Toc32299"/>
      <w:bookmarkStart w:id="201" w:name="_Toc28076"/>
      <w:bookmarkStart w:id="202" w:name="_Toc22004"/>
      <w:r>
        <w:rPr>
          <w:rFonts w:hint="eastAsia" w:ascii="宋体" w:hAnsi="宋体" w:cs="宋体"/>
          <w:b/>
          <w:bCs/>
          <w:sz w:val="30"/>
          <w:szCs w:val="30"/>
        </w:rPr>
        <w:t>2.6.3资产管控平台服务</w:t>
      </w:r>
      <w:bookmarkEnd w:id="200"/>
      <w:bookmarkEnd w:id="201"/>
      <w:bookmarkEnd w:id="202"/>
    </w:p>
    <w:p>
      <w:pPr>
        <w:pStyle w:val="19"/>
        <w:ind w:firstLine="480"/>
      </w:pPr>
      <w:r>
        <w:rPr>
          <w:rFonts w:hint="eastAsia"/>
        </w:rPr>
        <w:t>通过对</w:t>
      </w:r>
      <w:r>
        <w:t>IT</w:t>
      </w:r>
      <w:r>
        <w:rPr>
          <w:rFonts w:hint="eastAsia"/>
        </w:rPr>
        <w:t>运维管理中的所有软硬件对象进行统一管理，为其他服务管理流程提供有关</w:t>
      </w:r>
      <w:r>
        <w:t>IT</w:t>
      </w:r>
      <w:r>
        <w:rPr>
          <w:rFonts w:hint="eastAsia"/>
        </w:rPr>
        <w:t>基础架构、系统架构配置的准确信息，为事件管理、问题管理、变更管理和发布管理的运行提供支持，为监控、自动化运维等系统建设提供基础。</w:t>
      </w:r>
    </w:p>
    <w:p>
      <w:pPr>
        <w:pStyle w:val="8"/>
        <w:numPr>
          <w:ilvl w:val="0"/>
          <w:numId w:val="36"/>
        </w:numPr>
        <w:spacing w:before="3" w:line="360" w:lineRule="auto"/>
        <w:rPr>
          <w:rFonts w:ascii="宋体" w:hAnsi="宋体" w:cs="宋体"/>
          <w:sz w:val="24"/>
          <w:szCs w:val="24"/>
        </w:rPr>
      </w:pPr>
      <w:r>
        <w:rPr>
          <w:rFonts w:hint="eastAsia" w:ascii="宋体" w:hAnsi="宋体" w:cs="宋体"/>
          <w:sz w:val="24"/>
          <w:szCs w:val="24"/>
        </w:rPr>
        <w:t>梳理各业务系统涉及的IT资源架构图及所属关系，生成业务系统拓扑图</w:t>
      </w:r>
    </w:p>
    <w:p>
      <w:pPr>
        <w:pStyle w:val="8"/>
        <w:numPr>
          <w:ilvl w:val="0"/>
          <w:numId w:val="36"/>
        </w:numPr>
        <w:spacing w:before="3" w:line="360" w:lineRule="auto"/>
        <w:rPr>
          <w:rFonts w:ascii="宋体" w:hAnsi="宋体" w:cs="宋体"/>
          <w:sz w:val="24"/>
          <w:szCs w:val="24"/>
        </w:rPr>
      </w:pPr>
      <w:r>
        <w:rPr>
          <w:rFonts w:hint="eastAsia" w:ascii="宋体" w:hAnsi="宋体" w:cs="宋体"/>
          <w:sz w:val="24"/>
          <w:szCs w:val="24"/>
        </w:rPr>
        <w:t>完善各业务系统调用关系，掌控各系统直接联系</w:t>
      </w:r>
    </w:p>
    <w:p>
      <w:pPr>
        <w:pStyle w:val="8"/>
        <w:numPr>
          <w:ilvl w:val="0"/>
          <w:numId w:val="36"/>
        </w:numPr>
        <w:spacing w:before="3" w:line="360" w:lineRule="auto"/>
        <w:rPr>
          <w:rFonts w:ascii="宋体" w:hAnsi="宋体" w:cs="宋体"/>
          <w:sz w:val="24"/>
          <w:szCs w:val="24"/>
        </w:rPr>
      </w:pPr>
      <w:r>
        <w:rPr>
          <w:rFonts w:hint="eastAsia" w:ascii="宋体" w:hAnsi="宋体" w:cs="宋体"/>
          <w:sz w:val="24"/>
          <w:szCs w:val="24"/>
        </w:rPr>
        <w:t>梳理新系统架构图、部署架构、业务流程图等资料</w:t>
      </w:r>
    </w:p>
    <w:p>
      <w:pPr>
        <w:pStyle w:val="8"/>
        <w:numPr>
          <w:ilvl w:val="0"/>
          <w:numId w:val="36"/>
        </w:numPr>
        <w:spacing w:before="3" w:line="360" w:lineRule="auto"/>
        <w:rPr>
          <w:rFonts w:ascii="宋体" w:hAnsi="宋体" w:cs="宋体"/>
          <w:sz w:val="24"/>
          <w:szCs w:val="24"/>
        </w:rPr>
      </w:pPr>
      <w:r>
        <w:rPr>
          <w:rFonts w:hint="eastAsia" w:ascii="宋体" w:hAnsi="宋体" w:cs="宋体"/>
          <w:sz w:val="24"/>
          <w:szCs w:val="24"/>
        </w:rPr>
        <w:t>系统架构视图：查看系统涉及的IT资源架构图及所属关系</w:t>
      </w:r>
    </w:p>
    <w:p>
      <w:pPr>
        <w:pStyle w:val="8"/>
        <w:numPr>
          <w:ilvl w:val="0"/>
          <w:numId w:val="36"/>
        </w:numPr>
        <w:spacing w:before="3" w:line="360" w:lineRule="auto"/>
        <w:rPr>
          <w:rFonts w:ascii="宋体" w:hAnsi="宋体" w:cs="宋体"/>
          <w:sz w:val="24"/>
          <w:szCs w:val="24"/>
        </w:rPr>
      </w:pPr>
      <w:r>
        <w:rPr>
          <w:rFonts w:hint="eastAsia" w:ascii="宋体" w:hAnsi="宋体" w:cs="宋体"/>
          <w:sz w:val="24"/>
          <w:szCs w:val="24"/>
        </w:rPr>
        <w:t xml:space="preserve">业务接口梳理与分析功能，各业务模块之间接口流程定义、技术实现方法。如提取各系统关键业务，分析数据流，行成数据流图。 </w:t>
      </w:r>
    </w:p>
    <w:p>
      <w:pPr>
        <w:pStyle w:val="27"/>
        <w:numPr>
          <w:ilvl w:val="2"/>
          <w:numId w:val="0"/>
        </w:numPr>
        <w:ind w:firstLine="643" w:firstLineChars="200"/>
        <w:rPr>
          <w:rFonts w:ascii="宋体" w:hAnsi="宋体" w:cs="宋体"/>
          <w:sz w:val="32"/>
        </w:rPr>
      </w:pPr>
      <w:bookmarkStart w:id="203" w:name="_Toc8273"/>
      <w:bookmarkStart w:id="204" w:name="_Toc31926"/>
    </w:p>
    <w:p>
      <w:pPr>
        <w:pStyle w:val="27"/>
        <w:numPr>
          <w:ilvl w:val="2"/>
          <w:numId w:val="0"/>
        </w:numPr>
        <w:ind w:firstLine="643" w:firstLineChars="200"/>
        <w:rPr>
          <w:rFonts w:ascii="宋体" w:hAnsi="宋体" w:cs="宋体"/>
          <w:sz w:val="32"/>
        </w:rPr>
      </w:pPr>
      <w:bookmarkStart w:id="205" w:name="_Toc20252"/>
      <w:bookmarkStart w:id="206" w:name="_Toc29801"/>
      <w:r>
        <w:rPr>
          <w:rFonts w:hint="eastAsia" w:ascii="宋体" w:hAnsi="宋体" w:cs="宋体"/>
          <w:sz w:val="32"/>
        </w:rPr>
        <w:t>2.7 人力资源要求</w:t>
      </w:r>
      <w:bookmarkEnd w:id="203"/>
      <w:bookmarkEnd w:id="204"/>
      <w:bookmarkEnd w:id="205"/>
      <w:bookmarkEnd w:id="206"/>
    </w:p>
    <w:p>
      <w:pPr>
        <w:autoSpaceDE w:val="0"/>
        <w:autoSpaceDN w:val="0"/>
        <w:adjustRightInd w:val="0"/>
        <w:spacing w:line="360" w:lineRule="auto"/>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lang w:bidi="ar"/>
        </w:rPr>
        <w:t>投标人要建立实施该项目的组织架构及人员清单，要求保持项目组人员的稳定，此项目中项目组成员原则上不得更换并保证全时投入，如有必要，乙方要求项目成员更换需经甲方审批且替换比例不得超过10%，投标人须提供项项目经理及项目组所有成员简历。甲方保留要求更换乙方项目经理及项目成员的权利。</w:t>
      </w:r>
    </w:p>
    <w:p>
      <w:pPr>
        <w:pStyle w:val="8"/>
        <w:spacing w:line="520" w:lineRule="exact"/>
        <w:ind w:left="0" w:firstLine="602" w:firstLineChars="200"/>
        <w:jc w:val="both"/>
        <w:rPr>
          <w:rFonts w:ascii="宋体" w:hAnsi="宋体" w:cs="宋体"/>
          <w:b/>
          <w:bCs/>
          <w:sz w:val="30"/>
          <w:szCs w:val="30"/>
        </w:rPr>
      </w:pPr>
      <w:bookmarkStart w:id="207" w:name="_Toc11867"/>
      <w:bookmarkStart w:id="208" w:name="_Toc14258"/>
      <w:bookmarkStart w:id="209" w:name="_Toc9051"/>
      <w:r>
        <w:rPr>
          <w:rFonts w:hint="eastAsia" w:ascii="宋体" w:hAnsi="宋体" w:cs="宋体"/>
          <w:b/>
          <w:bCs/>
          <w:sz w:val="30"/>
          <w:szCs w:val="30"/>
        </w:rPr>
        <w:t>2.7.1 项目经理</w:t>
      </w:r>
      <w:bookmarkEnd w:id="207"/>
      <w:bookmarkEnd w:id="208"/>
      <w:bookmarkEnd w:id="209"/>
    </w:p>
    <w:p>
      <w:pPr>
        <w:pStyle w:val="28"/>
        <w:widowControl/>
        <w:spacing w:after="156" w:afterLines="50"/>
        <w:ind w:firstLine="480"/>
        <w:rPr>
          <w:rFonts w:ascii="宋体" w:cs="宋体"/>
          <w:szCs w:val="21"/>
        </w:rPr>
      </w:pPr>
      <w:r>
        <w:rPr>
          <w:rFonts w:hint="eastAsia" w:ascii="宋体" w:cs="宋体"/>
          <w:szCs w:val="21"/>
        </w:rPr>
        <w:t>项目经理：项目经理具有PMP或工信部信息系统项目管理师证书，具有行业内8年（含）以上工作经验，且具有参与大型项目的经验。</w:t>
      </w:r>
    </w:p>
    <w:p>
      <w:pPr>
        <w:pStyle w:val="8"/>
        <w:spacing w:line="520" w:lineRule="exact"/>
        <w:ind w:left="0" w:firstLine="602" w:firstLineChars="200"/>
        <w:jc w:val="both"/>
        <w:rPr>
          <w:rFonts w:ascii="宋体" w:hAnsi="宋体" w:cs="宋体"/>
          <w:b/>
          <w:bCs/>
          <w:sz w:val="30"/>
          <w:szCs w:val="30"/>
        </w:rPr>
      </w:pPr>
      <w:bookmarkStart w:id="210" w:name="_Toc19740"/>
      <w:bookmarkStart w:id="211" w:name="_Toc30540"/>
      <w:bookmarkStart w:id="212" w:name="_Toc18481"/>
      <w:r>
        <w:rPr>
          <w:rFonts w:hint="eastAsia" w:ascii="宋体" w:hAnsi="宋体" w:cs="宋体"/>
          <w:b/>
          <w:bCs/>
          <w:sz w:val="30"/>
          <w:szCs w:val="30"/>
        </w:rPr>
        <w:t>2.7.2 项目核心成员</w:t>
      </w:r>
      <w:bookmarkEnd w:id="210"/>
      <w:bookmarkEnd w:id="211"/>
      <w:bookmarkEnd w:id="212"/>
    </w:p>
    <w:p>
      <w:pPr>
        <w:pStyle w:val="28"/>
        <w:widowControl/>
        <w:spacing w:after="156" w:afterLines="50"/>
        <w:ind w:firstLine="480"/>
        <w:rPr>
          <w:rFonts w:ascii="宋体" w:cs="宋体"/>
          <w:szCs w:val="21"/>
        </w:rPr>
      </w:pPr>
      <w:r>
        <w:rPr>
          <w:rFonts w:hint="eastAsia" w:ascii="宋体" w:cs="宋体"/>
          <w:szCs w:val="21"/>
        </w:rPr>
        <w:t>团队核心成员：团队核心成员持有工信部认证的系统架构师、工信部认证的软件工程师、ORACLE OCM、CCIE、VMware认证专家(VCA)专业证书的一种或多种。核心成员具有本科及以上学历，且具备3年及以上行业经验且后备人员数量不少于10人。</w:t>
      </w:r>
    </w:p>
    <w:p>
      <w:pPr>
        <w:pStyle w:val="19"/>
        <w:ind w:firstLine="480"/>
      </w:pPr>
    </w:p>
    <w:p>
      <w:pPr>
        <w:pStyle w:val="8"/>
        <w:spacing w:before="3"/>
        <w:ind w:left="0"/>
        <w:rPr>
          <w:rFonts w:ascii="宋体" w:hAnsi="宋体" w:cs="宋体"/>
          <w:sz w:val="24"/>
          <w:szCs w:val="24"/>
        </w:rPr>
      </w:pPr>
    </w:p>
    <w:p>
      <w:pPr>
        <w:pStyle w:val="19"/>
        <w:numPr>
          <w:ilvl w:val="0"/>
          <w:numId w:val="37"/>
        </w:numPr>
        <w:ind w:firstLine="0" w:firstLineChars="0"/>
        <w:rPr>
          <w:rFonts w:hint="eastAsia" w:cs="宋体"/>
          <w:b/>
          <w:kern w:val="44"/>
          <w:sz w:val="44"/>
          <w:szCs w:val="44"/>
        </w:rPr>
      </w:pPr>
      <w:r>
        <w:rPr>
          <w:rFonts w:hint="eastAsia" w:cs="宋体"/>
          <w:b/>
          <w:kern w:val="44"/>
          <w:sz w:val="44"/>
          <w:szCs w:val="44"/>
        </w:rPr>
        <w:t>第三包项目技术要求：</w:t>
      </w:r>
    </w:p>
    <w:p>
      <w:pPr>
        <w:spacing w:line="276" w:lineRule="auto"/>
        <w:ind w:firstLine="420" w:firstLineChars="200"/>
        <w:rPr>
          <w:rFonts w:hint="eastAsia"/>
        </w:rPr>
      </w:pPr>
    </w:p>
    <w:p>
      <w:pPr>
        <w:pStyle w:val="19"/>
        <w:ind w:firstLine="480"/>
        <w:rPr>
          <w:rFonts w:hint="default" w:ascii="宋体" w:hAnsi="宋体" w:eastAsia="宋体" w:cs="宋体"/>
          <w:kern w:val="0"/>
          <w:sz w:val="24"/>
          <w:lang w:val="en-US" w:eastAsia="zh-CN"/>
        </w:rPr>
      </w:pPr>
      <w:r>
        <w:rPr>
          <w:rFonts w:hint="eastAsia"/>
        </w:rPr>
        <w:t>投标人应按照甲方要求提供技术支撑服务。乙方负责按照中国重汽要求提供</w:t>
      </w:r>
      <w:r>
        <w:rPr>
          <w:rFonts w:hint="eastAsia"/>
          <w:lang w:val="en-US" w:eastAsia="zh-CN"/>
        </w:rPr>
        <w:t>云原生、pass组件、后端微服务、微前端</w:t>
      </w:r>
      <w:r>
        <w:rPr>
          <w:rFonts w:hint="eastAsia"/>
        </w:rPr>
        <w:t>等</w:t>
      </w:r>
      <w:r>
        <w:rPr>
          <w:rFonts w:hint="eastAsia"/>
          <w:lang w:val="en-US" w:eastAsia="zh-CN"/>
        </w:rPr>
        <w:t>全栈</w:t>
      </w:r>
      <w:r>
        <w:rPr>
          <w:rFonts w:hint="eastAsia"/>
        </w:rPr>
        <w:t>技术支撑服务</w:t>
      </w:r>
      <w:r>
        <w:rPr>
          <w:rFonts w:hint="eastAsia" w:ascii="宋体" w:hAnsi="宋体" w:eastAsia="宋体" w:cs="宋体"/>
          <w:kern w:val="0"/>
          <w:sz w:val="24"/>
        </w:rPr>
        <w:t>，具体如下：</w:t>
      </w:r>
      <w:r>
        <w:rPr>
          <w:rFonts w:hint="eastAsia" w:ascii="宋体" w:hAnsi="宋体" w:eastAsia="宋体" w:cs="宋体"/>
          <w:kern w:val="0"/>
          <w:sz w:val="24"/>
          <w:lang w:val="en-US" w:eastAsia="zh-CN"/>
        </w:rPr>
        <w:t xml:space="preserve"> </w:t>
      </w:r>
    </w:p>
    <w:p>
      <w:pPr>
        <w:numPr>
          <w:ilvl w:val="0"/>
          <w:numId w:val="38"/>
        </w:numPr>
        <w:spacing w:line="276" w:lineRule="auto"/>
        <w:ind w:left="420" w:leftChars="0"/>
        <w:rPr>
          <w:rFonts w:ascii="宋体" w:hAnsi="宋体" w:eastAsia="宋体" w:cs="宋体"/>
          <w:sz w:val="24"/>
        </w:rPr>
      </w:pPr>
      <w:r>
        <w:rPr>
          <w:rFonts w:hint="eastAsia" w:ascii="宋体" w:hAnsi="宋体" w:eastAsia="宋体" w:cs="宋体"/>
          <w:sz w:val="24"/>
        </w:rPr>
        <w:t>系统开发服务，按照要求完成对应用系统架构重构，进行前后端分离，优化系统业务流程，对系统业务模块</w:t>
      </w:r>
      <w:r>
        <w:rPr>
          <w:rFonts w:hint="eastAsia" w:ascii="宋体" w:hAnsi="宋体" w:eastAsia="宋体" w:cs="宋体"/>
          <w:sz w:val="24"/>
          <w:lang w:val="en-US" w:eastAsia="zh-CN"/>
        </w:rPr>
        <w:t>拆分</w:t>
      </w:r>
      <w:r>
        <w:rPr>
          <w:rFonts w:hint="eastAsia" w:ascii="宋体" w:hAnsi="宋体" w:eastAsia="宋体" w:cs="宋体"/>
          <w:sz w:val="24"/>
        </w:rPr>
        <w:t>，进行针对性问题定位和修复、功能优化、新需求开发和业务数据修复工作等，保障应用系统的正常运行使用，同时为业务人员提供更专业的服务体验。</w:t>
      </w:r>
    </w:p>
    <w:p>
      <w:pPr>
        <w:numPr>
          <w:ilvl w:val="0"/>
          <w:numId w:val="38"/>
        </w:numPr>
        <w:spacing w:line="276" w:lineRule="auto"/>
        <w:ind w:left="420" w:leftChars="0" w:firstLine="0" w:firstLineChars="0"/>
        <w:rPr>
          <w:rFonts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7*24小时二线专家远程支持服务。支持形式包括邮件、电话等。</w:t>
      </w:r>
    </w:p>
    <w:p>
      <w:pPr>
        <w:numPr>
          <w:ilvl w:val="0"/>
          <w:numId w:val="38"/>
        </w:numPr>
        <w:spacing w:line="276" w:lineRule="auto"/>
        <w:ind w:left="420" w:leftChars="0" w:firstLine="0" w:firstLineChars="0"/>
        <w:rPr>
          <w:rFonts w:ascii="宋体" w:hAnsi="宋体" w:eastAsia="宋体" w:cs="宋体"/>
          <w:sz w:val="24"/>
        </w:rPr>
      </w:pPr>
      <w:r>
        <w:rPr>
          <w:rFonts w:hint="eastAsia"/>
        </w:rPr>
        <w:t>系统测试服务：</w:t>
      </w:r>
      <w:r>
        <w:rPr>
          <w:rFonts w:hint="eastAsia" w:ascii="宋体" w:hAnsi="宋体" w:eastAsia="宋体" w:cs="宋体"/>
          <w:sz w:val="24"/>
        </w:rPr>
        <w:t>对系统业务模块功能进行测试，消除系统潜在问题，提高项目质量，为项目稳定性保驾护航。</w:t>
      </w:r>
    </w:p>
    <w:p>
      <w:pPr>
        <w:numPr>
          <w:ilvl w:val="0"/>
          <w:numId w:val="38"/>
        </w:numPr>
        <w:spacing w:line="276" w:lineRule="auto"/>
        <w:ind w:left="420" w:leftChars="0" w:firstLine="0" w:firstLineChars="0"/>
        <w:rPr>
          <w:rFonts w:ascii="宋体" w:hAnsi="宋体" w:eastAsia="宋体" w:cs="宋体"/>
          <w:sz w:val="24"/>
        </w:rPr>
      </w:pPr>
      <w:r>
        <w:rPr>
          <w:rFonts w:hint="eastAsia" w:ascii="宋体" w:hAnsi="宋体" w:eastAsia="宋体" w:cs="宋体"/>
          <w:sz w:val="24"/>
        </w:rPr>
        <w:t>架构优化与规划服务。乙方按照要求提供专家帮助甲方对现有系统架构进行优化以及对新系统进行规划。</w:t>
      </w:r>
    </w:p>
    <w:p>
      <w:pPr>
        <w:snapToGrid w:val="0"/>
        <w:spacing w:line="360" w:lineRule="auto"/>
        <w:ind w:left="420" w:firstLine="720" w:firstLineChars="300"/>
        <w:rPr>
          <w:rFonts w:ascii="宋体" w:hAnsi="宋体" w:eastAsia="宋体" w:cs="宋体"/>
          <w:sz w:val="24"/>
        </w:rPr>
      </w:pPr>
    </w:p>
    <w:p>
      <w:pPr>
        <w:snapToGrid w:val="0"/>
        <w:ind w:left="420" w:firstLine="720" w:firstLineChars="300"/>
      </w:pPr>
      <w:r>
        <w:rPr>
          <w:rFonts w:hint="eastAsia" w:ascii="宋体" w:hAnsi="宋体" w:eastAsia="宋体" w:cs="宋体"/>
          <w:sz w:val="24"/>
        </w:rPr>
        <w:t>为确保以上工作顺利完成，投标人应</w:t>
      </w:r>
      <w:r>
        <w:rPr>
          <w:rFonts w:hint="eastAsia" w:ascii="宋体" w:hAnsi="宋体" w:cs="宋体"/>
          <w:sz w:val="24"/>
        </w:rPr>
        <w:t>具备相关行业业务系统</w:t>
      </w:r>
      <w:r>
        <w:rPr>
          <w:rFonts w:hint="eastAsia" w:ascii="宋体" w:hAnsi="宋体" w:eastAsia="宋体" w:cs="宋体"/>
          <w:sz w:val="24"/>
        </w:rPr>
        <w:t>服务案例。</w:t>
      </w:r>
    </w:p>
    <w:p>
      <w:pPr>
        <w:pStyle w:val="22"/>
        <w:numPr>
          <w:ilvl w:val="1"/>
          <w:numId w:val="18"/>
        </w:numPr>
        <w:rPr>
          <w:rFonts w:hint="default" w:eastAsia="宋体"/>
          <w:lang w:val="en-US" w:eastAsia="zh-CN"/>
        </w:rPr>
      </w:pPr>
      <w:bookmarkStart w:id="213" w:name="_Toc17089"/>
      <w:r>
        <w:rPr>
          <w:rFonts w:hint="eastAsia"/>
        </w:rPr>
        <w:t>服务人员要求</w:t>
      </w:r>
      <w:bookmarkEnd w:id="213"/>
    </w:p>
    <w:p>
      <w:pPr>
        <w:spacing w:line="276" w:lineRule="auto"/>
        <w:ind w:firstLine="435"/>
        <w:rPr>
          <w:rFonts w:ascii="宋体" w:hAnsi="宋体" w:eastAsia="宋体" w:cs="宋体"/>
          <w:sz w:val="24"/>
        </w:rPr>
      </w:pPr>
      <w:r>
        <w:rPr>
          <w:rFonts w:hint="eastAsia" w:ascii="宋体" w:hAnsi="宋体" w:eastAsia="宋体" w:cs="宋体"/>
          <w:sz w:val="24"/>
        </w:rPr>
        <w:t>投标人应为该项目在中国重汽现场设置专门的服务团队。包括技术支撑人员、项目经理等，负责系统架构设计、功能开发、前端开发、测试等技术支撑服务。服务团队要求如下：</w:t>
      </w:r>
    </w:p>
    <w:p>
      <w:pPr>
        <w:spacing w:line="276" w:lineRule="auto"/>
        <w:ind w:firstLine="435"/>
        <w:rPr>
          <w:rFonts w:ascii="宋体" w:hAnsi="宋体" w:eastAsia="宋体" w:cs="宋体"/>
          <w:sz w:val="24"/>
        </w:rPr>
      </w:pPr>
      <w:r>
        <w:rPr>
          <w:rFonts w:hint="eastAsia" w:ascii="宋体" w:hAnsi="宋体" w:eastAsia="宋体" w:cs="宋体"/>
          <w:sz w:val="24"/>
        </w:rPr>
        <w:t>（一）服务团队成员数量及资质如下：</w:t>
      </w:r>
    </w:p>
    <w:p>
      <w:pPr>
        <w:numPr>
          <w:ilvl w:val="1"/>
          <w:numId w:val="39"/>
        </w:numPr>
        <w:spacing w:line="276" w:lineRule="auto"/>
        <w:rPr>
          <w:rFonts w:ascii="宋体" w:hAnsi="宋体" w:eastAsia="宋体" w:cs="宋体"/>
          <w:sz w:val="24"/>
        </w:rPr>
      </w:pPr>
      <w:r>
        <w:rPr>
          <w:rFonts w:hint="eastAsia" w:ascii="宋体" w:hAnsi="宋体" w:eastAsia="宋体" w:cs="宋体"/>
          <w:sz w:val="24"/>
        </w:rPr>
        <w:t>现场项目负责人，负责监督服务执行，了解现场服务动态，有同类项目服务经验，具备项目管理认证资质，熟悉软件开发管理流程。</w:t>
      </w:r>
    </w:p>
    <w:p>
      <w:pPr>
        <w:numPr>
          <w:ilvl w:val="1"/>
          <w:numId w:val="39"/>
        </w:numPr>
        <w:spacing w:line="276" w:lineRule="auto"/>
        <w:rPr>
          <w:rFonts w:ascii="宋体" w:hAnsi="宋体" w:eastAsia="宋体" w:cs="宋体"/>
          <w:bCs/>
          <w:sz w:val="24"/>
        </w:rPr>
      </w:pPr>
      <w:r>
        <w:rPr>
          <w:rFonts w:hint="eastAsia" w:ascii="宋体" w:hAnsi="宋体" w:eastAsia="宋体" w:cs="宋体"/>
          <w:bCs/>
          <w:sz w:val="24"/>
        </w:rPr>
        <w:t>★项目团队人员数量、工作年限要求如下：</w:t>
      </w:r>
    </w:p>
    <w:p>
      <w:pPr>
        <w:pStyle w:val="26"/>
        <w:numPr>
          <w:ilvl w:val="0"/>
          <w:numId w:val="40"/>
        </w:numPr>
        <w:ind w:firstLineChars="0"/>
        <w:rPr>
          <w:color w:val="FF0000"/>
        </w:rPr>
      </w:pPr>
      <w:r>
        <w:rPr>
          <w:rFonts w:hint="eastAsia" w:ascii="宋体" w:hAnsi="宋体" w:eastAsia="宋体" w:cs="宋体"/>
          <w:bCs/>
          <w:sz w:val="24"/>
        </w:rPr>
        <w:t>投标人应提供不少于10人的技术支撑服务</w:t>
      </w:r>
      <w:r>
        <w:rPr>
          <w:rFonts w:hint="eastAsia"/>
          <w:color w:val="FF0000"/>
        </w:rPr>
        <w:t>。</w:t>
      </w:r>
    </w:p>
    <w:p>
      <w:pPr>
        <w:pStyle w:val="26"/>
        <w:numPr>
          <w:ilvl w:val="0"/>
          <w:numId w:val="40"/>
        </w:numPr>
        <w:spacing w:line="360" w:lineRule="auto"/>
        <w:ind w:firstLineChars="0"/>
      </w:pPr>
      <w:r>
        <w:rPr>
          <w:rFonts w:hint="eastAsia"/>
          <w:lang w:val="en-US" w:eastAsia="zh-CN"/>
        </w:rPr>
        <w:t>项目成员学历要求本科及以上学历</w:t>
      </w:r>
      <w:r>
        <w:t>。</w:t>
      </w:r>
    </w:p>
    <w:p>
      <w:pPr>
        <w:pStyle w:val="26"/>
        <w:numPr>
          <w:ilvl w:val="0"/>
          <w:numId w:val="40"/>
        </w:numPr>
        <w:spacing w:line="360" w:lineRule="auto"/>
        <w:ind w:firstLineChars="0"/>
      </w:pPr>
      <w:r>
        <w:rPr>
          <w:rFonts w:hint="eastAsia"/>
          <w:lang w:val="en-US" w:eastAsia="zh-CN"/>
        </w:rPr>
        <w:t>高级人员工作年限要求8年以上，具备云原生、微服务开发经验，在本家单位服务一年以上。</w:t>
      </w:r>
    </w:p>
    <w:p>
      <w:pPr>
        <w:pStyle w:val="26"/>
        <w:numPr>
          <w:ilvl w:val="0"/>
          <w:numId w:val="40"/>
        </w:numPr>
        <w:spacing w:line="360" w:lineRule="auto"/>
        <w:ind w:firstLineChars="0"/>
      </w:pPr>
      <w:r>
        <w:rPr>
          <w:rFonts w:hint="eastAsia"/>
          <w:lang w:val="en-US" w:eastAsia="zh-CN"/>
        </w:rPr>
        <w:t>中级人员要求5年以上具备微服务开发经验</w:t>
      </w:r>
      <w:r>
        <w:t>。</w:t>
      </w:r>
      <w:r>
        <w:rPr>
          <w:rFonts w:hint="eastAsia"/>
          <w:lang w:val="en-US" w:eastAsia="zh-CN"/>
        </w:rPr>
        <w:t>在本家单位服务一年以上。</w:t>
      </w:r>
    </w:p>
    <w:p>
      <w:pPr>
        <w:pStyle w:val="26"/>
        <w:widowControl w:val="0"/>
        <w:numPr>
          <w:ilvl w:val="0"/>
          <w:numId w:val="0"/>
        </w:numPr>
        <w:spacing w:line="360" w:lineRule="auto"/>
        <w:jc w:val="both"/>
      </w:pPr>
    </w:p>
    <w:p>
      <w:pPr>
        <w:numPr>
          <w:ilvl w:val="1"/>
          <w:numId w:val="39"/>
        </w:numPr>
        <w:spacing w:line="276" w:lineRule="auto"/>
        <w:rPr>
          <w:rFonts w:ascii="宋体" w:hAnsi="宋体" w:eastAsia="宋体" w:cs="宋体"/>
          <w:sz w:val="24"/>
        </w:rPr>
      </w:pPr>
      <w:r>
        <w:rPr>
          <w:rFonts w:hint="eastAsia" w:ascii="宋体" w:hAnsi="宋体" w:eastAsia="宋体" w:cs="宋体"/>
          <w:sz w:val="24"/>
        </w:rPr>
        <w:t>临时服务人员，即投标人按照甲方要求为项目实施临时调配到现场提供支持服务的工程师，工程师数量和资质应符合甲方项目经理的要求。</w:t>
      </w:r>
    </w:p>
    <w:p>
      <w:pPr>
        <w:widowControl w:val="0"/>
        <w:numPr>
          <w:ilvl w:val="0"/>
          <w:numId w:val="0"/>
        </w:numPr>
        <w:spacing w:line="276" w:lineRule="auto"/>
        <w:jc w:val="both"/>
        <w:rPr>
          <w:rFonts w:ascii="宋体" w:hAnsi="宋体" w:eastAsia="宋体" w:cs="宋体"/>
          <w:sz w:val="24"/>
        </w:rPr>
      </w:pPr>
    </w:p>
    <w:p>
      <w:pPr>
        <w:spacing w:line="276" w:lineRule="auto"/>
        <w:ind w:firstLine="435"/>
        <w:rPr>
          <w:rFonts w:ascii="宋体" w:hAnsi="宋体" w:eastAsia="宋体" w:cs="宋体"/>
          <w:sz w:val="24"/>
        </w:rPr>
      </w:pPr>
      <w:r>
        <w:rPr>
          <w:rFonts w:hint="eastAsia" w:ascii="宋体" w:hAnsi="宋体" w:eastAsia="宋体" w:cs="宋体"/>
          <w:sz w:val="24"/>
        </w:rPr>
        <w:t>（二）为保证项目服务的质量，乙方应承诺：</w:t>
      </w:r>
    </w:p>
    <w:p>
      <w:pPr>
        <w:numPr>
          <w:ilvl w:val="0"/>
          <w:numId w:val="21"/>
        </w:numPr>
        <w:spacing w:line="276" w:lineRule="auto"/>
        <w:rPr>
          <w:rFonts w:ascii="宋体" w:hAnsi="宋体" w:eastAsia="宋体" w:cs="宋体"/>
          <w:sz w:val="24"/>
        </w:rPr>
      </w:pPr>
      <w:r>
        <w:rPr>
          <w:rFonts w:hint="eastAsia" w:ascii="宋体" w:hAnsi="宋体" w:eastAsia="宋体" w:cs="宋体"/>
          <w:sz w:val="24"/>
        </w:rPr>
        <w:t>乙方若对现场服务人员进行调整，需提前通知，并征得甲方同意，且所更换的工程师需按新驻场人员进行考核评定，通过考评后方可与调离的工程师共同在中国重汽办公场所进行现场工作交接。若更换的现场工程师未通过甲方的技术能力考试，则需重新指派工程师，因此产生维护时间空缺不计入工作量。</w:t>
      </w:r>
    </w:p>
    <w:p>
      <w:pPr>
        <w:numPr>
          <w:ilvl w:val="0"/>
          <w:numId w:val="21"/>
        </w:numPr>
        <w:spacing w:line="276" w:lineRule="auto"/>
        <w:rPr>
          <w:rFonts w:ascii="宋体" w:hAnsi="宋体" w:eastAsia="宋体" w:cs="宋体"/>
          <w:bCs/>
          <w:sz w:val="24"/>
        </w:rPr>
      </w:pPr>
      <w:r>
        <w:rPr>
          <w:rFonts w:hint="eastAsia" w:ascii="宋体" w:hAnsi="宋体" w:eastAsia="宋体" w:cs="宋体"/>
          <w:bCs/>
          <w:sz w:val="24"/>
        </w:rPr>
        <w:t>★ 保证驻场服务工程师的安全性和稳定性，未经甲方同意，不得随意更换工程师，如未经甲方许可更换工程师，甲方有权终止该项目。</w:t>
      </w:r>
    </w:p>
    <w:p>
      <w:pPr>
        <w:spacing w:line="276" w:lineRule="auto"/>
        <w:ind w:firstLine="435"/>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sz w:val="24"/>
        </w:rPr>
        <w:t xml:space="preserve">团队服务人员应遵守甲方的规章制度和管理办法，开发人员必须做到： </w:t>
      </w:r>
    </w:p>
    <w:p>
      <w:pPr>
        <w:spacing w:line="276" w:lineRule="auto"/>
        <w:ind w:left="420"/>
        <w:rPr>
          <w:rFonts w:ascii="宋体" w:hAnsi="宋体" w:eastAsia="宋体" w:cs="宋体"/>
          <w:sz w:val="24"/>
        </w:rPr>
      </w:pPr>
      <w:r>
        <w:rPr>
          <w:rFonts w:hint="eastAsia" w:ascii="宋体" w:hAnsi="宋体" w:eastAsia="宋体" w:cs="宋体"/>
          <w:sz w:val="24"/>
        </w:rPr>
        <w:t xml:space="preserve">（1） 遵守中国重汽的作息制度上下班，不得无故旷工； </w:t>
      </w:r>
    </w:p>
    <w:p>
      <w:pPr>
        <w:spacing w:line="276" w:lineRule="auto"/>
        <w:ind w:left="420"/>
        <w:rPr>
          <w:rFonts w:ascii="宋体" w:hAnsi="宋体" w:eastAsia="宋体" w:cs="宋体"/>
          <w:sz w:val="24"/>
        </w:rPr>
      </w:pPr>
      <w:r>
        <w:rPr>
          <w:rFonts w:hint="eastAsia" w:ascii="宋体" w:hAnsi="宋体" w:eastAsia="宋体" w:cs="宋体"/>
          <w:sz w:val="24"/>
        </w:rPr>
        <w:t xml:space="preserve">（2） 服从甲方项目工作安排，并积极主动完成任务，具备良好的敬业精神； </w:t>
      </w:r>
    </w:p>
    <w:p>
      <w:pPr>
        <w:spacing w:line="276" w:lineRule="auto"/>
        <w:ind w:left="1140" w:leftChars="200" w:hanging="720" w:hangingChars="300"/>
        <w:rPr>
          <w:rFonts w:ascii="宋体" w:hAnsi="宋体" w:eastAsia="宋体" w:cs="宋体"/>
          <w:sz w:val="24"/>
        </w:rPr>
      </w:pPr>
      <w:r>
        <w:rPr>
          <w:rFonts w:hint="eastAsia" w:ascii="宋体" w:hAnsi="宋体" w:eastAsia="宋体" w:cs="宋体"/>
          <w:sz w:val="24"/>
        </w:rPr>
        <w:t xml:space="preserve">（3） 如有特殊情况需要回公司或短时间内出差解决其他问题，必须向甲方项目经理申请，得到批准后方可离开； </w:t>
      </w:r>
    </w:p>
    <w:p>
      <w:pPr>
        <w:spacing w:line="276" w:lineRule="auto"/>
        <w:ind w:firstLine="480" w:firstLineChars="200"/>
        <w:rPr>
          <w:rFonts w:ascii="宋体" w:hAnsi="宋体" w:eastAsia="宋体" w:cs="宋体"/>
          <w:sz w:val="24"/>
        </w:rPr>
      </w:pPr>
      <w:r>
        <w:rPr>
          <w:rFonts w:hint="eastAsia" w:ascii="宋体" w:hAnsi="宋体" w:eastAsia="宋体" w:cs="宋体"/>
          <w:sz w:val="24"/>
        </w:rPr>
        <w:t>（4） 现场服务人员应保证手机</w:t>
      </w:r>
      <w:r>
        <w:rPr>
          <w:rFonts w:hint="eastAsia" w:ascii="宋体" w:hAnsi="宋体" w:cs="宋体"/>
          <w:sz w:val="24"/>
        </w:rPr>
        <w:t>畅通</w:t>
      </w:r>
      <w:r>
        <w:rPr>
          <w:rFonts w:hint="eastAsia" w:ascii="宋体" w:hAnsi="宋体" w:eastAsia="宋体" w:cs="宋体"/>
          <w:sz w:val="24"/>
        </w:rPr>
        <w:t>，提供7×24小时的响应。</w:t>
      </w:r>
    </w:p>
    <w:p>
      <w:pPr>
        <w:numPr>
          <w:ilvl w:val="0"/>
          <w:numId w:val="0"/>
        </w:numPr>
        <w:spacing w:line="276" w:lineRule="auto"/>
        <w:ind w:left="420" w:leftChars="0"/>
        <w:rPr>
          <w:rFonts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乙方服务人员的办公设备（如电脑、仪器仪表、通信工具、维修工具等）、办公用品由乙方提供，办公电脑需要按甲方要求安装加密、安全等管理软件。</w:t>
      </w:r>
    </w:p>
    <w:p>
      <w:pPr>
        <w:numPr>
          <w:ilvl w:val="0"/>
          <w:numId w:val="0"/>
        </w:numPr>
        <w:spacing w:line="276" w:lineRule="auto"/>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五</w:t>
      </w:r>
      <w:r>
        <w:rPr>
          <w:rFonts w:hint="eastAsia" w:ascii="宋体" w:hAnsi="宋体" w:eastAsia="宋体" w:cs="宋体"/>
          <w:sz w:val="24"/>
          <w:lang w:eastAsia="zh-CN"/>
        </w:rPr>
        <w:t>）</w:t>
      </w:r>
      <w:r>
        <w:rPr>
          <w:rFonts w:hint="eastAsia" w:ascii="宋体" w:hAnsi="宋体" w:eastAsia="宋体" w:cs="宋体"/>
          <w:sz w:val="24"/>
        </w:rPr>
        <w:t>本地化服务机构要求，投标方应在济南设有本地化服务机构，或承诺中标后10日内成立，为本项目的顺利实施提供保障。</w:t>
      </w:r>
    </w:p>
    <w:p>
      <w:pPr>
        <w:spacing w:line="276" w:lineRule="auto"/>
        <w:rPr>
          <w:rFonts w:ascii="宋体" w:hAnsi="宋体" w:eastAsia="宋体" w:cs="宋体"/>
          <w:sz w:val="24"/>
        </w:rPr>
      </w:pPr>
    </w:p>
    <w:p>
      <w:pPr>
        <w:pStyle w:val="22"/>
        <w:numPr>
          <w:ilvl w:val="1"/>
          <w:numId w:val="18"/>
        </w:numPr>
        <w:ind w:left="0" w:firstLine="0"/>
      </w:pPr>
      <w:bookmarkStart w:id="214" w:name="_Toc12019"/>
      <w:r>
        <w:rPr>
          <w:rFonts w:hint="eastAsia"/>
        </w:rPr>
        <w:t>服务质量管理与考核</w:t>
      </w:r>
      <w:bookmarkEnd w:id="214"/>
    </w:p>
    <w:p>
      <w:pPr>
        <w:pStyle w:val="4"/>
        <w:numPr>
          <w:ilvl w:val="0"/>
          <w:numId w:val="41"/>
        </w:numPr>
        <w:spacing w:before="280" w:after="290" w:line="276" w:lineRule="auto"/>
        <w:rPr>
          <w:rFonts w:ascii="宋体" w:hAnsi="宋体" w:eastAsia="宋体" w:cs="宋体"/>
          <w:sz w:val="24"/>
        </w:rPr>
      </w:pPr>
      <w:r>
        <w:rPr>
          <w:rFonts w:hint="eastAsia" w:ascii="宋体" w:hAnsi="宋体" w:eastAsia="宋体" w:cs="宋体"/>
          <w:sz w:val="24"/>
        </w:rPr>
        <w:t>服务质量管理</w:t>
      </w:r>
    </w:p>
    <w:p>
      <w:pPr>
        <w:spacing w:line="276" w:lineRule="auto"/>
        <w:ind w:firstLine="435"/>
        <w:rPr>
          <w:rFonts w:ascii="宋体" w:hAnsi="宋体" w:eastAsia="宋体" w:cs="宋体"/>
          <w:sz w:val="24"/>
        </w:rPr>
      </w:pPr>
      <w:r>
        <w:rPr>
          <w:rFonts w:hint="eastAsia" w:ascii="宋体" w:hAnsi="宋体" w:eastAsia="宋体" w:cs="宋体"/>
          <w:sz w:val="24"/>
        </w:rPr>
        <w:t>乙方应提供服务质量管理机制，至少应满足以下要求：</w:t>
      </w:r>
    </w:p>
    <w:p>
      <w:pPr>
        <w:spacing w:line="276" w:lineRule="auto"/>
        <w:ind w:firstLine="435"/>
        <w:rPr>
          <w:rFonts w:ascii="宋体" w:hAnsi="宋体" w:eastAsia="宋体" w:cs="宋体"/>
          <w:sz w:val="24"/>
        </w:rPr>
      </w:pPr>
      <w:r>
        <w:rPr>
          <w:rFonts w:hint="eastAsia" w:ascii="宋体" w:hAnsi="宋体" w:eastAsia="宋体" w:cs="宋体"/>
          <w:sz w:val="24"/>
        </w:rPr>
        <w:t>（1）乙方项目负责人应按照周、月对项目的服务质量进行跟踪，形成相应的服务报告发送给甲方指定人员。</w:t>
      </w:r>
    </w:p>
    <w:p>
      <w:pPr>
        <w:spacing w:line="276" w:lineRule="auto"/>
        <w:ind w:firstLine="435"/>
        <w:rPr>
          <w:rFonts w:ascii="宋体" w:hAnsi="宋体" w:eastAsia="宋体" w:cs="宋体"/>
          <w:sz w:val="24"/>
        </w:rPr>
      </w:pPr>
      <w:r>
        <w:rPr>
          <w:rFonts w:hint="eastAsia" w:ascii="宋体" w:hAnsi="宋体" w:eastAsia="宋体" w:cs="宋体"/>
          <w:sz w:val="24"/>
        </w:rPr>
        <w:t>（2）乙方项目负责人每周召集服务例会，对上月的服务情况进行总结。</w:t>
      </w:r>
    </w:p>
    <w:p>
      <w:pPr>
        <w:pStyle w:val="4"/>
        <w:numPr>
          <w:ilvl w:val="0"/>
          <w:numId w:val="41"/>
        </w:numPr>
        <w:spacing w:before="280" w:after="290" w:line="276" w:lineRule="auto"/>
        <w:rPr>
          <w:rFonts w:ascii="宋体" w:hAnsi="宋体" w:eastAsia="宋体" w:cs="宋体"/>
          <w:sz w:val="24"/>
        </w:rPr>
      </w:pPr>
      <w:r>
        <w:rPr>
          <w:rFonts w:hint="eastAsia" w:ascii="宋体" w:hAnsi="宋体" w:eastAsia="宋体" w:cs="宋体"/>
          <w:sz w:val="24"/>
        </w:rPr>
        <w:t>服务质量考核</w:t>
      </w:r>
    </w:p>
    <w:p>
      <w:pPr>
        <w:spacing w:line="276" w:lineRule="auto"/>
        <w:ind w:firstLine="435"/>
        <w:rPr>
          <w:rFonts w:ascii="宋体" w:hAnsi="宋体" w:eastAsia="宋体" w:cs="宋体"/>
          <w:sz w:val="24"/>
        </w:rPr>
      </w:pPr>
      <w:r>
        <w:rPr>
          <w:rFonts w:hint="eastAsia" w:ascii="宋体" w:hAnsi="宋体" w:eastAsia="宋体" w:cs="宋体"/>
          <w:sz w:val="24"/>
        </w:rPr>
        <w:t>甲方将合同额的10％作为质量监督款，用于进行质量考核后的费用支付。乙方需出具由甲方提供的服务验收报告方可取得质量监督款。</w:t>
      </w:r>
    </w:p>
    <w:p>
      <w:pPr>
        <w:spacing w:line="276" w:lineRule="auto"/>
        <w:ind w:firstLine="435"/>
        <w:rPr>
          <w:rFonts w:ascii="宋体" w:hAnsi="宋体" w:eastAsia="宋体" w:cs="宋体"/>
          <w:sz w:val="24"/>
        </w:rPr>
      </w:pPr>
      <w:r>
        <w:rPr>
          <w:rFonts w:hint="eastAsia" w:ascii="宋体" w:hAnsi="宋体" w:eastAsia="宋体" w:cs="宋体"/>
          <w:sz w:val="24"/>
        </w:rPr>
        <w:t>1.质量考核方式</w:t>
      </w:r>
    </w:p>
    <w:p>
      <w:pPr>
        <w:spacing w:line="276" w:lineRule="auto"/>
        <w:ind w:firstLine="435"/>
        <w:rPr>
          <w:rFonts w:ascii="宋体" w:hAnsi="宋体" w:eastAsia="宋体" w:cs="宋体"/>
          <w:sz w:val="24"/>
        </w:rPr>
      </w:pPr>
      <w:r>
        <w:rPr>
          <w:rFonts w:hint="eastAsia" w:ascii="宋体" w:hAnsi="宋体" w:eastAsia="宋体" w:cs="宋体"/>
          <w:sz w:val="24"/>
        </w:rPr>
        <w:t>服务质量考核以整个服务期为一个考核期，每月进行考评。</w:t>
      </w:r>
    </w:p>
    <w:p>
      <w:pPr>
        <w:numPr>
          <w:ilvl w:val="0"/>
          <w:numId w:val="24"/>
        </w:numPr>
        <w:spacing w:line="276" w:lineRule="auto"/>
        <w:rPr>
          <w:rFonts w:ascii="宋体" w:hAnsi="宋体" w:eastAsia="宋体" w:cs="宋体"/>
          <w:sz w:val="24"/>
        </w:rPr>
      </w:pPr>
      <w:r>
        <w:rPr>
          <w:rFonts w:hint="eastAsia" w:ascii="宋体" w:hAnsi="宋体" w:eastAsia="宋体" w:cs="宋体"/>
          <w:sz w:val="24"/>
        </w:rPr>
        <w:t>考核评分包括月度测评分、年度测评总分。年度测评分=∑月度实际评分/测评次数。</w:t>
      </w:r>
    </w:p>
    <w:p>
      <w:pPr>
        <w:numPr>
          <w:ilvl w:val="0"/>
          <w:numId w:val="24"/>
        </w:numPr>
        <w:spacing w:line="276" w:lineRule="auto"/>
        <w:rPr>
          <w:rFonts w:ascii="宋体" w:hAnsi="宋体" w:eastAsia="宋体" w:cs="宋体"/>
          <w:sz w:val="24"/>
        </w:rPr>
      </w:pPr>
      <w:r>
        <w:rPr>
          <w:rFonts w:hint="eastAsia" w:ascii="宋体" w:hAnsi="宋体" w:eastAsia="宋体" w:cs="宋体"/>
          <w:sz w:val="24"/>
        </w:rPr>
        <w:t>月度评分标准，详细考核项和权重见附表。计算规则月度得分=100-∑考核项扣分*权重。</w:t>
      </w:r>
    </w:p>
    <w:p>
      <w:pPr>
        <w:spacing w:line="276" w:lineRule="auto"/>
        <w:rPr>
          <w:rFonts w:ascii="宋体" w:hAnsi="宋体" w:eastAsia="宋体" w:cs="宋体"/>
          <w:sz w:val="24"/>
        </w:rPr>
      </w:pPr>
    </w:p>
    <w:p>
      <w:pPr>
        <w:spacing w:line="276" w:lineRule="auto"/>
        <w:ind w:firstLine="435"/>
        <w:rPr>
          <w:rFonts w:ascii="宋体" w:hAnsi="宋体" w:eastAsia="宋体" w:cs="宋体"/>
          <w:sz w:val="24"/>
        </w:rPr>
      </w:pPr>
      <w:r>
        <w:rPr>
          <w:rFonts w:hint="eastAsia" w:ascii="宋体" w:hAnsi="宋体" w:eastAsia="宋体" w:cs="宋体"/>
          <w:sz w:val="24"/>
        </w:rPr>
        <w:t>2.质量监督款支付方式</w:t>
      </w:r>
    </w:p>
    <w:p>
      <w:pPr>
        <w:spacing w:line="276" w:lineRule="auto"/>
        <w:ind w:firstLine="435"/>
        <w:rPr>
          <w:rFonts w:ascii="宋体" w:hAnsi="宋体" w:eastAsia="宋体" w:cs="宋体"/>
          <w:sz w:val="24"/>
        </w:rPr>
      </w:pPr>
      <w:r>
        <w:rPr>
          <w:rFonts w:hint="eastAsia" w:ascii="宋体" w:hAnsi="宋体" w:eastAsia="宋体" w:cs="宋体"/>
          <w:sz w:val="24"/>
        </w:rPr>
        <w:t>年度考核时，甲方根据考核结果向乙方支付质量监督款。年度考核成绩高于等于90分，则支付质量监督款；否则每降低1分，扣质量监督款的10%；如年度考核成绩低于80分（不含80），则扣全部质量监督款。</w:t>
      </w:r>
    </w:p>
    <w:p>
      <w:pPr>
        <w:spacing w:line="276" w:lineRule="auto"/>
        <w:ind w:firstLine="435"/>
        <w:rPr>
          <w:rFonts w:ascii="宋体" w:hAnsi="宋体" w:eastAsia="宋体" w:cs="宋体"/>
          <w:color w:val="FF0000"/>
          <w:sz w:val="24"/>
        </w:rPr>
      </w:pPr>
    </w:p>
    <w:p>
      <w:pPr>
        <w:pStyle w:val="22"/>
        <w:numPr>
          <w:ilvl w:val="1"/>
          <w:numId w:val="18"/>
        </w:numPr>
        <w:ind w:left="0" w:firstLine="0"/>
        <w:rPr>
          <w:rFonts w:hint="default" w:eastAsia="宋体"/>
          <w:lang w:val="en-US" w:eastAsia="zh-CN"/>
        </w:rPr>
      </w:pPr>
      <w:r>
        <w:rPr>
          <w:rFonts w:hint="eastAsia"/>
        </w:rPr>
        <w:t>服务内容说明</w:t>
      </w:r>
    </w:p>
    <w:p>
      <w:pPr>
        <w:pStyle w:val="4"/>
        <w:numPr>
          <w:ilvl w:val="0"/>
          <w:numId w:val="42"/>
        </w:numPr>
        <w:spacing w:before="280" w:after="290" w:line="276" w:lineRule="auto"/>
        <w:rPr>
          <w:rFonts w:ascii="宋体" w:hAnsi="宋体"/>
        </w:rPr>
      </w:pPr>
      <w:r>
        <w:rPr>
          <w:rFonts w:hint="eastAsia" w:ascii="宋体" w:hAnsi="宋体"/>
        </w:rPr>
        <w:t>现场服务</w:t>
      </w:r>
    </w:p>
    <w:p>
      <w:pPr>
        <w:pStyle w:val="6"/>
        <w:numPr>
          <w:ilvl w:val="0"/>
          <w:numId w:val="43"/>
        </w:numPr>
        <w:spacing w:line="276" w:lineRule="auto"/>
      </w:pPr>
      <w:r>
        <w:rPr>
          <w:rFonts w:hint="eastAsia"/>
        </w:rPr>
        <w:t>软件开发服务</w:t>
      </w:r>
    </w:p>
    <w:p>
      <w:pPr>
        <w:spacing w:line="276" w:lineRule="auto"/>
        <w:ind w:firstLine="480" w:firstLineChars="200"/>
        <w:rPr>
          <w:rFonts w:ascii="宋体" w:hAnsi="宋体" w:eastAsia="宋体" w:cs="宋体"/>
          <w:sz w:val="24"/>
        </w:rPr>
      </w:pPr>
      <w:r>
        <w:rPr>
          <w:rFonts w:hint="eastAsia" w:ascii="宋体" w:hAnsi="宋体" w:eastAsia="宋体" w:cs="宋体"/>
          <w:sz w:val="24"/>
        </w:rPr>
        <w:t>为保证重汽各项目开发进度。对重汽各项目进行功能开发，其中包括</w:t>
      </w:r>
    </w:p>
    <w:p>
      <w:pPr>
        <w:spacing w:line="276" w:lineRule="auto"/>
        <w:ind w:firstLine="480" w:firstLineChars="200"/>
        <w:rPr>
          <w:rFonts w:ascii="宋体" w:hAnsi="宋体" w:eastAsia="宋体" w:cs="宋体"/>
          <w:sz w:val="24"/>
        </w:rPr>
      </w:pPr>
      <w:r>
        <w:rPr>
          <w:rFonts w:hint="eastAsia" w:ascii="宋体" w:hAnsi="宋体" w:eastAsia="宋体" w:cs="宋体"/>
          <w:sz w:val="24"/>
        </w:rPr>
        <w:t>完成对应用系统架构重构，进行前后端分离，优化系统业务流程，对系统业务模块隔离，进行针对性问题定位和修复、功能优化、新需求开发和业务数据修复工作等，保障应用系统的正常运行使用，同时为业务人员提供更专业的服务体验</w:t>
      </w:r>
    </w:p>
    <w:p>
      <w:pPr>
        <w:numPr>
          <w:ilvl w:val="0"/>
          <w:numId w:val="44"/>
        </w:numPr>
        <w:spacing w:line="276" w:lineRule="auto"/>
        <w:ind w:firstLine="482"/>
        <w:rPr>
          <w:rFonts w:ascii="宋体" w:hAnsi="宋体" w:eastAsia="宋体" w:cs="宋体"/>
          <w:sz w:val="24"/>
        </w:rPr>
      </w:pPr>
      <w:r>
        <w:rPr>
          <w:rFonts w:hint="eastAsia" w:ascii="宋体" w:hAnsi="宋体" w:eastAsia="宋体" w:cs="宋体"/>
          <w:sz w:val="24"/>
        </w:rPr>
        <w:t>系统新需求开发</w:t>
      </w:r>
    </w:p>
    <w:p>
      <w:pPr>
        <w:spacing w:line="276" w:lineRule="auto"/>
        <w:ind w:firstLine="240" w:firstLineChars="100"/>
        <w:rPr>
          <w:rFonts w:ascii="宋体" w:hAnsi="宋体" w:eastAsia="宋体" w:cs="宋体"/>
          <w:sz w:val="24"/>
        </w:rPr>
      </w:pPr>
      <w:r>
        <w:rPr>
          <w:rFonts w:hint="eastAsia" w:ascii="宋体" w:hAnsi="宋体" w:eastAsia="宋体" w:cs="宋体"/>
          <w:sz w:val="24"/>
        </w:rPr>
        <w:t>服务团队须及时对重汽各业务科室提出的新需求进行功能开发，保证开发进度和开发质量，有效支撑业务正常发展。</w:t>
      </w:r>
    </w:p>
    <w:p>
      <w:pPr>
        <w:numPr>
          <w:ilvl w:val="0"/>
          <w:numId w:val="44"/>
        </w:numPr>
        <w:spacing w:line="276" w:lineRule="auto"/>
        <w:ind w:firstLine="482"/>
        <w:rPr>
          <w:b/>
        </w:rPr>
      </w:pPr>
      <w:r>
        <w:rPr>
          <w:rFonts w:hint="eastAsia"/>
          <w:b/>
        </w:rPr>
        <w:t>系统优化</w:t>
      </w:r>
    </w:p>
    <w:p>
      <w:pPr>
        <w:spacing w:line="276" w:lineRule="auto"/>
        <w:ind w:firstLine="240" w:firstLineChars="100"/>
        <w:rPr>
          <w:b/>
        </w:rPr>
      </w:pPr>
      <w:r>
        <w:rPr>
          <w:rFonts w:hint="eastAsia" w:ascii="宋体" w:hAnsi="宋体" w:eastAsia="宋体" w:cs="宋体"/>
          <w:sz w:val="24"/>
        </w:rPr>
        <w:t>服务团队须及时对重汽各业务科室提出变更需求进行优化，及时响应业务流程变更。</w:t>
      </w:r>
    </w:p>
    <w:p>
      <w:pPr>
        <w:numPr>
          <w:ilvl w:val="0"/>
          <w:numId w:val="44"/>
        </w:numPr>
        <w:spacing w:line="276" w:lineRule="auto"/>
        <w:ind w:firstLine="482"/>
        <w:rPr>
          <w:b/>
        </w:rPr>
      </w:pPr>
      <w:r>
        <w:rPr>
          <w:rFonts w:hint="eastAsia"/>
          <w:b/>
        </w:rPr>
        <w:t>bug修复</w:t>
      </w:r>
    </w:p>
    <w:p>
      <w:pPr>
        <w:spacing w:line="276" w:lineRule="auto"/>
        <w:ind w:firstLine="480" w:firstLineChars="200"/>
        <w:rPr>
          <w:b/>
        </w:rPr>
      </w:pPr>
      <w:r>
        <w:rPr>
          <w:rFonts w:hint="eastAsia" w:ascii="宋体" w:hAnsi="宋体" w:eastAsia="宋体" w:cs="宋体"/>
          <w:sz w:val="24"/>
        </w:rPr>
        <w:t>服务团队须及时响应重汽各项目出现的程序BUG并及时对程序进行处理，在非工作时间对于通过电话支持服务和远程技术支持服务都不能解决的问题，投标人须迅速提供现场故障处理服务，安排对应模块资深工程师分析BUG原因，制定BUG解决方案，并最终修复程序，保证正常生产。对于BUG处理，须遵循记录、分析、处理、解决的闭环处理方法，以找到问题根源为最终解决的标准。</w:t>
      </w:r>
    </w:p>
    <w:p>
      <w:pPr>
        <w:numPr>
          <w:ilvl w:val="0"/>
          <w:numId w:val="44"/>
        </w:numPr>
        <w:spacing w:line="276" w:lineRule="auto"/>
        <w:ind w:firstLine="482"/>
        <w:rPr>
          <w:b/>
        </w:rPr>
      </w:pPr>
      <w:r>
        <w:rPr>
          <w:rFonts w:hint="eastAsia"/>
          <w:b/>
        </w:rPr>
        <w:t>故障响应及处理时间要求</w:t>
      </w:r>
    </w:p>
    <w:p>
      <w:pPr>
        <w:spacing w:line="276" w:lineRule="auto"/>
        <w:rPr>
          <w:rFonts w:eastAsia="宋体"/>
          <w:sz w:val="24"/>
        </w:rPr>
      </w:pPr>
      <w:r>
        <w:rPr>
          <w:rFonts w:hint="eastAsia"/>
          <w:sz w:val="24"/>
        </w:rPr>
        <w:tab/>
      </w:r>
      <w:r>
        <w:rPr>
          <w:rFonts w:hint="eastAsia"/>
          <w:sz w:val="24"/>
        </w:rPr>
        <w:t>对于故障的处理，要求如下：</w:t>
      </w:r>
    </w:p>
    <w:tbl>
      <w:tblPr>
        <w:tblStyle w:val="15"/>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050"/>
        <w:gridCol w:w="170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故障级别</w:t>
            </w:r>
          </w:p>
        </w:tc>
        <w:tc>
          <w:tcPr>
            <w:tcW w:w="5050" w:type="dxa"/>
            <w:vAlign w:val="center"/>
          </w:tcPr>
          <w:p>
            <w:pPr>
              <w:spacing w:line="276" w:lineRule="auto"/>
              <w:ind w:firstLine="480"/>
            </w:pPr>
            <w:r>
              <w:rPr>
                <w:rFonts w:hint="eastAsia"/>
              </w:rPr>
              <w:t>故障描述</w:t>
            </w:r>
          </w:p>
        </w:tc>
        <w:tc>
          <w:tcPr>
            <w:tcW w:w="1701" w:type="dxa"/>
            <w:vAlign w:val="center"/>
          </w:tcPr>
          <w:p>
            <w:pPr>
              <w:spacing w:line="276" w:lineRule="auto"/>
            </w:pPr>
            <w:r>
              <w:rPr>
                <w:rFonts w:hint="eastAsia"/>
              </w:rPr>
              <w:t>响应时间要求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一级故障</w:t>
            </w:r>
          </w:p>
        </w:tc>
        <w:tc>
          <w:tcPr>
            <w:tcW w:w="5050" w:type="dxa"/>
            <w:vAlign w:val="center"/>
          </w:tcPr>
          <w:p>
            <w:pPr>
              <w:spacing w:line="276" w:lineRule="auto"/>
              <w:ind w:firstLine="34"/>
            </w:pPr>
            <w:r>
              <w:rPr>
                <w:rFonts w:hint="eastAsia"/>
              </w:rPr>
              <w:t>系统崩溃，基本功能不能实现或者全面退化</w:t>
            </w:r>
          </w:p>
        </w:tc>
        <w:tc>
          <w:tcPr>
            <w:tcW w:w="1701" w:type="dxa"/>
            <w:vAlign w:val="center"/>
          </w:tcPr>
          <w:p>
            <w:pPr>
              <w:spacing w:line="276" w:lineRule="auto"/>
              <w:ind w:firstLine="21"/>
            </w:pPr>
            <w:r>
              <w:rPr>
                <w:rFonts w:hint="eastAsia"/>
              </w:rPr>
              <w:t>少于15分钟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二级故障</w:t>
            </w:r>
          </w:p>
        </w:tc>
        <w:tc>
          <w:tcPr>
            <w:tcW w:w="5050" w:type="dxa"/>
            <w:vAlign w:val="center"/>
          </w:tcPr>
          <w:p>
            <w:pPr>
              <w:spacing w:line="276" w:lineRule="auto"/>
              <w:ind w:firstLine="34"/>
            </w:pPr>
            <w:r>
              <w:rPr>
                <w:rFonts w:hint="eastAsia"/>
              </w:rPr>
              <w:t>潜在的系统崩溃，或大量功能不能正常运行</w:t>
            </w:r>
          </w:p>
        </w:tc>
        <w:tc>
          <w:tcPr>
            <w:tcW w:w="1701" w:type="dxa"/>
            <w:vAlign w:val="center"/>
          </w:tcPr>
          <w:p>
            <w:pPr>
              <w:spacing w:line="276" w:lineRule="auto"/>
              <w:ind w:firstLine="34"/>
            </w:pPr>
            <w:r>
              <w:rPr>
                <w:rFonts w:hint="eastAsia"/>
              </w:rPr>
              <w:t>少于30分钟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8" w:type="dxa"/>
            <w:vAlign w:val="center"/>
          </w:tcPr>
          <w:p>
            <w:pPr>
              <w:spacing w:line="276" w:lineRule="auto"/>
              <w:ind w:firstLine="480"/>
            </w:pPr>
            <w:r>
              <w:rPr>
                <w:rFonts w:hint="eastAsia"/>
              </w:rPr>
              <w:t>三级故障</w:t>
            </w:r>
          </w:p>
        </w:tc>
        <w:tc>
          <w:tcPr>
            <w:tcW w:w="5050" w:type="dxa"/>
            <w:vAlign w:val="center"/>
          </w:tcPr>
          <w:p>
            <w:pPr>
              <w:spacing w:line="276" w:lineRule="auto"/>
              <w:ind w:firstLine="34"/>
            </w:pPr>
            <w:r>
              <w:rPr>
                <w:rFonts w:hint="eastAsia"/>
              </w:rPr>
              <w:t>直接影响生产制造核心业务不能进行</w:t>
            </w:r>
          </w:p>
        </w:tc>
        <w:tc>
          <w:tcPr>
            <w:tcW w:w="1701" w:type="dxa"/>
            <w:vAlign w:val="center"/>
          </w:tcPr>
          <w:p>
            <w:pPr>
              <w:spacing w:line="276" w:lineRule="auto"/>
              <w:ind w:firstLine="34"/>
            </w:pPr>
            <w:r>
              <w:rPr>
                <w:rFonts w:hint="eastAsia"/>
              </w:rPr>
              <w:t>少于1小时</w:t>
            </w:r>
          </w:p>
        </w:tc>
      </w:tr>
    </w:tbl>
    <w:p>
      <w:pPr>
        <w:spacing w:line="276" w:lineRule="auto"/>
        <w:ind w:firstLine="480" w:firstLineChars="200"/>
        <w:rPr>
          <w:rFonts w:ascii="宋体" w:hAnsi="宋体" w:eastAsia="宋体" w:cs="宋体"/>
          <w:sz w:val="24"/>
        </w:rPr>
      </w:pPr>
    </w:p>
    <w:p>
      <w:pPr>
        <w:spacing w:line="276" w:lineRule="auto"/>
        <w:rPr>
          <w:b/>
        </w:rPr>
      </w:pPr>
    </w:p>
    <w:p>
      <w:pPr>
        <w:pStyle w:val="6"/>
        <w:numPr>
          <w:ilvl w:val="0"/>
          <w:numId w:val="43"/>
        </w:numPr>
        <w:spacing w:line="276" w:lineRule="auto"/>
      </w:pPr>
      <w:r>
        <w:rPr>
          <w:rFonts w:hint="eastAsia"/>
        </w:rPr>
        <w:t>软件测试服务</w:t>
      </w:r>
    </w:p>
    <w:p>
      <w:pPr>
        <w:spacing w:line="276" w:lineRule="auto"/>
        <w:ind w:firstLine="480" w:firstLineChars="200"/>
        <w:rPr>
          <w:iCs/>
        </w:rPr>
      </w:pPr>
      <w:r>
        <w:rPr>
          <w:rFonts w:hint="eastAsia" w:ascii="宋体" w:hAnsi="宋体" w:eastAsia="宋体" w:cs="宋体"/>
          <w:sz w:val="24"/>
        </w:rPr>
        <w:t>服务团队对开发完成的任务进行及时测试，保证开发质量，对重汽整体项目质量进行负责。如发现开发质量问题按照甲方要求进行相应的考核。</w:t>
      </w:r>
    </w:p>
    <w:p>
      <w:pPr>
        <w:pStyle w:val="6"/>
        <w:numPr>
          <w:ilvl w:val="0"/>
          <w:numId w:val="43"/>
        </w:numPr>
        <w:spacing w:line="276" w:lineRule="auto"/>
      </w:pPr>
      <w:r>
        <w:rPr>
          <w:rFonts w:hint="eastAsia"/>
        </w:rPr>
        <w:t>架构设计服务</w:t>
      </w:r>
    </w:p>
    <w:p>
      <w:pPr>
        <w:spacing w:line="276" w:lineRule="auto"/>
        <w:ind w:firstLine="480" w:firstLineChars="200"/>
        <w:rPr>
          <w:rFonts w:ascii="宋体" w:hAnsi="宋体"/>
          <w:sz w:val="24"/>
        </w:rPr>
      </w:pPr>
      <w:r>
        <w:rPr>
          <w:rFonts w:hint="eastAsia" w:ascii="宋体" w:hAnsi="宋体"/>
          <w:sz w:val="24"/>
        </w:rPr>
        <w:t>目前中国重汽涉及的项目较多，各项目采用的技术架构各异。为统一技术底座，对甲方提出的部分系统进行系统架构重构、前后端分离。</w:t>
      </w:r>
    </w:p>
    <w:p>
      <w:pPr>
        <w:spacing w:line="276" w:lineRule="auto"/>
      </w:pPr>
    </w:p>
    <w:p>
      <w:pPr>
        <w:pStyle w:val="6"/>
        <w:numPr>
          <w:ilvl w:val="0"/>
          <w:numId w:val="43"/>
        </w:numPr>
        <w:spacing w:line="276" w:lineRule="auto"/>
      </w:pPr>
      <w:r>
        <w:rPr>
          <w:rFonts w:hint="eastAsia"/>
        </w:rPr>
        <w:t>关健时间窗口保障</w:t>
      </w:r>
    </w:p>
    <w:p>
      <w:pPr>
        <w:spacing w:line="276" w:lineRule="auto"/>
        <w:ind w:firstLine="480" w:firstLineChars="200"/>
        <w:rPr>
          <w:rFonts w:ascii="宋体" w:hAnsi="宋体" w:eastAsia="宋体" w:cs="宋体"/>
          <w:sz w:val="24"/>
        </w:rPr>
      </w:pPr>
      <w:r>
        <w:rPr>
          <w:rFonts w:hint="eastAsia" w:ascii="宋体" w:hAnsi="宋体" w:eastAsia="宋体" w:cs="宋体"/>
          <w:sz w:val="24"/>
        </w:rPr>
        <w:t>国家法定假日（元旦、春节、清明、五一、端午、国庆、中秋）期间，或其他关键时间窗口，每月出账、市场活动等负载高峰期。为确系统的安全、高效、稳定运行，须制订完善的保障措施，实现系统运行的可防、可控、可治。</w:t>
      </w:r>
    </w:p>
    <w:p>
      <w:pPr>
        <w:spacing w:line="276" w:lineRule="auto"/>
        <w:ind w:firstLine="480" w:firstLineChars="200"/>
        <w:rPr>
          <w:rFonts w:ascii="宋体" w:hAnsi="宋体" w:eastAsia="宋体" w:cs="宋体"/>
          <w:sz w:val="24"/>
        </w:rPr>
      </w:pPr>
      <w:r>
        <w:rPr>
          <w:rFonts w:hint="eastAsia" w:ascii="宋体" w:hAnsi="宋体" w:eastAsia="宋体" w:cs="宋体"/>
          <w:sz w:val="24"/>
        </w:rPr>
        <w:t>关键时间窗口保障前，需提供详细的保障工作计划，并交中国重汽相关负责人。根据不同的保障级别，保障措施须详实有效。</w:t>
      </w:r>
    </w:p>
    <w:p>
      <w:pPr>
        <w:pStyle w:val="6"/>
        <w:numPr>
          <w:ilvl w:val="0"/>
          <w:numId w:val="43"/>
        </w:numPr>
        <w:spacing w:line="276" w:lineRule="auto"/>
      </w:pPr>
      <w:r>
        <w:rPr>
          <w:rFonts w:hint="eastAsia"/>
        </w:rPr>
        <w:t>工程割接配合工作</w:t>
      </w:r>
    </w:p>
    <w:p>
      <w:pPr>
        <w:spacing w:line="276" w:lineRule="auto"/>
        <w:ind w:firstLine="482" w:firstLineChars="200"/>
        <w:rPr>
          <w:rFonts w:ascii="宋体" w:hAnsi="宋体" w:eastAsia="宋体" w:cs="宋体"/>
          <w:b/>
          <w:sz w:val="24"/>
        </w:rPr>
      </w:pPr>
      <w:r>
        <w:rPr>
          <w:rFonts w:hint="eastAsia" w:ascii="宋体" w:hAnsi="宋体" w:eastAsia="宋体" w:cs="宋体"/>
          <w:b/>
          <w:sz w:val="24"/>
        </w:rPr>
        <w:t>（1）工程割接配合</w:t>
      </w:r>
    </w:p>
    <w:p>
      <w:pPr>
        <w:spacing w:line="276" w:lineRule="auto"/>
        <w:ind w:firstLine="480" w:firstLineChars="200"/>
        <w:rPr>
          <w:rFonts w:ascii="宋体" w:hAnsi="宋体" w:eastAsia="宋体" w:cs="宋体"/>
          <w:sz w:val="24"/>
        </w:rPr>
      </w:pPr>
      <w:r>
        <w:rPr>
          <w:rFonts w:hint="eastAsia" w:ascii="宋体" w:hAnsi="宋体" w:eastAsia="宋体" w:cs="宋体"/>
          <w:sz w:val="24"/>
        </w:rPr>
        <w:t>对于重大的工程割接，为确保工程割接的顺利进行，乙方需组织技术专家配合工程的各项工作，要求方案安全有效可回溯。</w:t>
      </w:r>
    </w:p>
    <w:p>
      <w:pPr>
        <w:spacing w:line="276" w:lineRule="auto"/>
        <w:ind w:firstLine="482" w:firstLineChars="200"/>
        <w:rPr>
          <w:rFonts w:ascii="宋体" w:hAnsi="宋体" w:eastAsia="宋体" w:cs="宋体"/>
          <w:b/>
          <w:sz w:val="24"/>
        </w:rPr>
      </w:pPr>
      <w:r>
        <w:rPr>
          <w:rFonts w:hint="eastAsia" w:ascii="宋体" w:hAnsi="宋体" w:eastAsia="宋体" w:cs="宋体"/>
          <w:b/>
          <w:sz w:val="24"/>
        </w:rPr>
        <w:t>（2）应用版本上线配合</w:t>
      </w:r>
    </w:p>
    <w:p>
      <w:pPr>
        <w:spacing w:line="276" w:lineRule="auto"/>
        <w:rPr>
          <w:rFonts w:ascii="宋体" w:hAnsi="宋体" w:eastAsia="宋体" w:cs="宋体"/>
          <w:sz w:val="24"/>
        </w:rPr>
      </w:pPr>
      <w:r>
        <w:rPr>
          <w:rFonts w:hint="eastAsia" w:ascii="宋体" w:hAnsi="宋体" w:eastAsia="宋体" w:cs="宋体"/>
          <w:sz w:val="24"/>
        </w:rPr>
        <w:t xml:space="preserve">    随着业务需求的日趋复杂，为避免版本上线对现网系统造成稳定性以及性能的影响，乙方须组织技术专家做好版本上线保障工作，方案须详实有效。</w:t>
      </w:r>
    </w:p>
    <w:p>
      <w:pPr>
        <w:pStyle w:val="4"/>
        <w:numPr>
          <w:ilvl w:val="0"/>
          <w:numId w:val="42"/>
        </w:numPr>
        <w:spacing w:before="280" w:after="290" w:line="276" w:lineRule="auto"/>
        <w:rPr>
          <w:rFonts w:ascii="宋体" w:hAnsi="宋体"/>
        </w:rPr>
      </w:pPr>
      <w:r>
        <w:rPr>
          <w:rFonts w:hint="eastAsia" w:ascii="宋体" w:hAnsi="宋体"/>
        </w:rPr>
        <w:t>产品技术咨询和综合培训</w:t>
      </w:r>
    </w:p>
    <w:p>
      <w:pPr>
        <w:spacing w:line="276" w:lineRule="auto"/>
        <w:rPr>
          <w:rFonts w:ascii="宋体" w:hAnsi="宋体" w:eastAsia="宋体" w:cs="宋体"/>
          <w:sz w:val="24"/>
        </w:rPr>
      </w:pPr>
      <w:r>
        <w:rPr>
          <w:rFonts w:hint="eastAsia"/>
        </w:rPr>
        <w:tab/>
      </w:r>
      <w:r>
        <w:rPr>
          <w:rFonts w:hint="eastAsia" w:ascii="宋体" w:hAnsi="宋体" w:eastAsia="宋体" w:cs="宋体"/>
          <w:sz w:val="24"/>
        </w:rPr>
        <w:t>对于系统紧急BUG处理、BUG排除、性能调优等方面，乙方需要对中国重汽相关人员提供必要的技术咨询和综合培训服务。</w:t>
      </w:r>
    </w:p>
    <w:p>
      <w:pPr>
        <w:numPr>
          <w:ilvl w:val="0"/>
          <w:numId w:val="26"/>
        </w:numPr>
        <w:spacing w:line="276" w:lineRule="auto"/>
        <w:rPr>
          <w:rFonts w:ascii="宋体" w:hAnsi="宋体" w:eastAsia="宋体" w:cs="宋体"/>
          <w:b/>
          <w:sz w:val="24"/>
        </w:rPr>
      </w:pPr>
      <w:r>
        <w:rPr>
          <w:rFonts w:hint="eastAsia" w:ascii="宋体" w:hAnsi="宋体" w:eastAsia="宋体" w:cs="宋体"/>
          <w:b/>
          <w:sz w:val="24"/>
        </w:rPr>
        <w:t>产品技术咨询服务</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针对系统需求情况,介绍技术选型。</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介绍java开发规范。</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提供云原生架构的技术咨询服务。</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以上咨询内容不限次数，按照甲方的要求进行。</w:t>
      </w:r>
    </w:p>
    <w:p>
      <w:pPr>
        <w:numPr>
          <w:ilvl w:val="0"/>
          <w:numId w:val="26"/>
        </w:numPr>
        <w:spacing w:line="276" w:lineRule="auto"/>
        <w:rPr>
          <w:rFonts w:ascii="宋体" w:hAnsi="宋体" w:eastAsia="宋体" w:cs="宋体"/>
          <w:b/>
          <w:sz w:val="24"/>
        </w:rPr>
      </w:pPr>
      <w:r>
        <w:rPr>
          <w:rFonts w:hint="eastAsia" w:ascii="宋体" w:hAnsi="宋体" w:eastAsia="宋体" w:cs="宋体"/>
          <w:b/>
          <w:sz w:val="24"/>
        </w:rPr>
        <w:t>综合培训</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提供涉及云原生各项技术专题培训。</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培训次数</w:t>
      </w:r>
      <w:r>
        <w:rPr>
          <w:rFonts w:hint="eastAsia" w:ascii="宋体" w:hAnsi="宋体" w:eastAsia="宋体" w:cs="宋体"/>
          <w:sz w:val="24"/>
          <w:lang w:val="en-US" w:eastAsia="zh-CN"/>
        </w:rPr>
        <w:t>6</w:t>
      </w:r>
      <w:r>
        <w:rPr>
          <w:rFonts w:hint="eastAsia" w:ascii="宋体" w:hAnsi="宋体" w:eastAsia="宋体" w:cs="宋体"/>
          <w:sz w:val="24"/>
        </w:rPr>
        <w:t>次，地点在科技大厦或其他甲方提供的地点。</w:t>
      </w:r>
    </w:p>
    <w:p>
      <w:pPr>
        <w:numPr>
          <w:ilvl w:val="3"/>
          <w:numId w:val="25"/>
        </w:numPr>
        <w:spacing w:line="276" w:lineRule="auto"/>
        <w:ind w:left="851" w:hanging="308"/>
        <w:rPr>
          <w:rFonts w:ascii="宋体" w:hAnsi="宋体" w:eastAsia="宋体" w:cs="宋体"/>
          <w:sz w:val="24"/>
        </w:rPr>
      </w:pPr>
      <w:r>
        <w:rPr>
          <w:rFonts w:hint="eastAsia" w:ascii="宋体" w:hAnsi="宋体" w:eastAsia="宋体" w:cs="宋体"/>
          <w:sz w:val="24"/>
        </w:rPr>
        <w:t>培训对象为集团公司开发人员等。</w:t>
      </w:r>
    </w:p>
    <w:p>
      <w:pPr>
        <w:spacing w:line="276" w:lineRule="auto"/>
        <w:ind w:left="543"/>
        <w:rPr>
          <w:rFonts w:ascii="宋体" w:hAnsi="宋体" w:eastAsia="宋体" w:cs="宋体"/>
          <w:sz w:val="24"/>
        </w:rPr>
      </w:pPr>
    </w:p>
    <w:p>
      <w:pPr>
        <w:pStyle w:val="4"/>
        <w:numPr>
          <w:ilvl w:val="0"/>
          <w:numId w:val="42"/>
        </w:numPr>
        <w:spacing w:before="280" w:after="290" w:line="276" w:lineRule="auto"/>
        <w:rPr>
          <w:rFonts w:ascii="宋体" w:hAnsi="宋体"/>
        </w:rPr>
      </w:pPr>
      <w:r>
        <w:rPr>
          <w:rFonts w:hint="eastAsia" w:ascii="宋体" w:hAnsi="宋体"/>
        </w:rPr>
        <w:t>架构优化与规划服务</w:t>
      </w:r>
    </w:p>
    <w:p>
      <w:pPr>
        <w:spacing w:line="276" w:lineRule="auto"/>
        <w:rPr>
          <w:rFonts w:ascii="宋体" w:hAnsi="宋体" w:eastAsia="宋体" w:cs="宋体"/>
          <w:sz w:val="24"/>
        </w:rPr>
      </w:pPr>
      <w:r>
        <w:rPr>
          <w:rFonts w:hint="eastAsia"/>
        </w:rPr>
        <w:tab/>
      </w:r>
      <w:r>
        <w:rPr>
          <w:rFonts w:hint="eastAsia" w:ascii="宋体" w:hAnsi="宋体" w:eastAsia="宋体" w:cs="宋体"/>
          <w:sz w:val="24"/>
        </w:rPr>
        <w:t>为了更好的适用中国重汽业务的发展，乙方需根据重汽业务系统技术架构实际情况给出适合的规划和建议。本服务根据需求方要求，由乙方安排额外的专家资源进行支持与响应，由在java技术领域有丰富经验的技术专家负责提供服务，专家资质要求：</w:t>
      </w:r>
    </w:p>
    <w:p>
      <w:pPr>
        <w:spacing w:line="276" w:lineRule="auto"/>
        <w:ind w:firstLine="420"/>
        <w:rPr>
          <w:rFonts w:ascii="宋体" w:hAnsi="宋体" w:eastAsia="宋体" w:cs="宋体"/>
          <w:sz w:val="24"/>
        </w:rPr>
      </w:pPr>
      <w:r>
        <w:rPr>
          <w:rFonts w:hint="eastAsia" w:ascii="宋体" w:hAnsi="宋体" w:eastAsia="宋体" w:cs="宋体"/>
          <w:sz w:val="24"/>
        </w:rPr>
        <w:t>1、具备微服务</w:t>
      </w:r>
      <w:r>
        <w:rPr>
          <w:rFonts w:hint="eastAsia" w:ascii="宋体" w:hAnsi="宋体" w:eastAsia="宋体" w:cs="宋体"/>
          <w:sz w:val="24"/>
          <w:lang w:val="en-US" w:eastAsia="zh-CN"/>
        </w:rPr>
        <w:t>工作经验5年</w:t>
      </w:r>
      <w:r>
        <w:rPr>
          <w:rFonts w:hint="eastAsia" w:ascii="宋体" w:hAnsi="宋体" w:eastAsia="宋体" w:cs="宋体"/>
          <w:sz w:val="24"/>
        </w:rPr>
        <w:t>、云原生工作经验不低于</w:t>
      </w:r>
      <w:r>
        <w:rPr>
          <w:rFonts w:hint="eastAsia" w:ascii="宋体" w:hAnsi="宋体" w:eastAsia="宋体" w:cs="宋体"/>
          <w:sz w:val="24"/>
          <w:lang w:val="en-US" w:eastAsia="zh-CN"/>
        </w:rPr>
        <w:t>2</w:t>
      </w:r>
      <w:r>
        <w:rPr>
          <w:rFonts w:hint="eastAsia" w:ascii="宋体" w:hAnsi="宋体" w:eastAsia="宋体" w:cs="宋体"/>
          <w:sz w:val="24"/>
        </w:rPr>
        <w:t>年；</w:t>
      </w:r>
    </w:p>
    <w:p>
      <w:pPr>
        <w:spacing w:line="276" w:lineRule="auto"/>
        <w:ind w:firstLine="420"/>
        <w:rPr>
          <w:rFonts w:ascii="宋体" w:hAnsi="宋体" w:eastAsia="宋体" w:cs="宋体"/>
          <w:sz w:val="24"/>
        </w:rPr>
      </w:pPr>
      <w:r>
        <w:rPr>
          <w:rFonts w:hint="eastAsia" w:ascii="宋体" w:hAnsi="宋体" w:eastAsia="宋体" w:cs="宋体"/>
          <w:sz w:val="24"/>
        </w:rPr>
        <w:t>2、从事项目经理工作满五年以上；</w:t>
      </w:r>
    </w:p>
    <w:p>
      <w:pPr>
        <w:spacing w:line="276" w:lineRule="auto"/>
        <w:ind w:firstLine="420"/>
        <w:rPr>
          <w:rFonts w:ascii="宋体" w:hAnsi="宋体" w:eastAsia="宋体" w:cs="宋体"/>
          <w:sz w:val="24"/>
        </w:rPr>
      </w:pPr>
      <w:r>
        <w:rPr>
          <w:rFonts w:hint="eastAsia" w:ascii="宋体" w:hAnsi="宋体" w:eastAsia="宋体" w:cs="宋体"/>
          <w:sz w:val="24"/>
        </w:rPr>
        <w:t>3、做过不低于三个大型微服务项目。</w:t>
      </w:r>
    </w:p>
    <w:p>
      <w:pPr>
        <w:spacing w:line="276" w:lineRule="auto"/>
      </w:pPr>
      <w:r>
        <w:rPr>
          <w:rFonts w:hint="eastAsia"/>
        </w:rPr>
        <w:t>要求方案详实有效且有成功案例。</w:t>
      </w:r>
    </w:p>
    <w:p>
      <w:pPr>
        <w:pStyle w:val="19"/>
        <w:numPr>
          <w:ilvl w:val="0"/>
          <w:numId w:val="0"/>
        </w:numPr>
        <w:ind w:firstLine="0" w:firstLineChars="0"/>
        <w:rPr>
          <w:rFonts w:hint="eastAsia" w:cs="宋体"/>
          <w:b/>
          <w:kern w:val="44"/>
          <w:sz w:val="44"/>
          <w:szCs w:val="44"/>
        </w:rPr>
      </w:pPr>
    </w:p>
    <w:p>
      <w:pPr>
        <w:pStyle w:val="19"/>
        <w:numPr>
          <w:ilvl w:val="0"/>
          <w:numId w:val="0"/>
        </w:numPr>
        <w:ind w:firstLine="0" w:firstLineChars="0"/>
        <w:rPr>
          <w:rFonts w:hint="eastAsia" w:cs="宋体"/>
          <w:b/>
          <w:kern w:val="44"/>
          <w:sz w:val="44"/>
          <w:szCs w:val="44"/>
        </w:rPr>
      </w:pPr>
    </w:p>
    <w:p>
      <w:pPr>
        <w:pStyle w:val="19"/>
        <w:ind w:firstLine="0" w:firstLineChars="0"/>
        <w:rPr>
          <w:rFonts w:cs="宋体"/>
          <w:b/>
          <w:kern w:val="44"/>
          <w:sz w:val="44"/>
          <w:szCs w:val="44"/>
        </w:rPr>
      </w:pPr>
      <w:r>
        <w:rPr>
          <w:rFonts w:hint="eastAsia" w:cs="宋体"/>
          <w:b/>
          <w:kern w:val="44"/>
          <w:sz w:val="44"/>
          <w:szCs w:val="44"/>
        </w:rPr>
        <w:t>4、第四包项目技术要求：</w:t>
      </w:r>
    </w:p>
    <w:p>
      <w:pPr>
        <w:spacing w:line="276" w:lineRule="auto"/>
        <w:ind w:firstLine="480"/>
        <w:rPr>
          <w:rFonts w:ascii="宋体" w:hAnsi="宋体" w:eastAsia="宋体" w:cs="宋体"/>
          <w:b/>
          <w:bCs/>
          <w:sz w:val="32"/>
          <w:szCs w:val="32"/>
        </w:rPr>
      </w:pPr>
      <w:r>
        <w:rPr>
          <w:rFonts w:hint="eastAsia" w:ascii="宋体" w:hAnsi="宋体" w:eastAsia="宋体" w:cs="宋体"/>
          <w:b/>
          <w:bCs/>
          <w:sz w:val="32"/>
          <w:szCs w:val="32"/>
        </w:rPr>
        <w:t>4.1项目范围</w:t>
      </w:r>
    </w:p>
    <w:p>
      <w:pPr>
        <w:pStyle w:val="19"/>
        <w:ind w:firstLine="480"/>
      </w:pPr>
      <w:r>
        <w:rPr>
          <w:rFonts w:hint="eastAsia"/>
        </w:rPr>
        <w:t>投标人应按照甲方要求提供</w:t>
      </w:r>
      <w:r>
        <w:rPr>
          <w:rFonts w:hint="eastAsia"/>
          <w:lang w:val="en-US" w:eastAsia="zh-CN"/>
        </w:rPr>
        <w:t>ABAP开发</w:t>
      </w:r>
      <w:r>
        <w:rPr>
          <w:rFonts w:hint="eastAsia"/>
        </w:rPr>
        <w:t>服务。</w:t>
      </w:r>
      <w:r>
        <w:rPr>
          <w:rFonts w:hint="eastAsia" w:cs="宋体"/>
        </w:rPr>
        <w:t>开发范围包括集团公司正在运行的ERP项目及其他SAP产品项目。</w:t>
      </w:r>
    </w:p>
    <w:p>
      <w:pPr>
        <w:spacing w:line="276" w:lineRule="auto"/>
        <w:ind w:firstLine="480"/>
        <w:rPr>
          <w:rFonts w:ascii="宋体" w:hAnsi="宋体" w:eastAsia="宋体" w:cs="宋体"/>
          <w:sz w:val="32"/>
          <w:szCs w:val="32"/>
        </w:rPr>
      </w:pPr>
    </w:p>
    <w:p>
      <w:pPr>
        <w:spacing w:line="276" w:lineRule="auto"/>
        <w:ind w:firstLine="480" w:firstLineChars="0"/>
        <w:rPr>
          <w:rFonts w:ascii="宋体" w:hAnsi="宋体" w:eastAsia="宋体" w:cs="宋体"/>
          <w:kern w:val="0"/>
          <w:sz w:val="24"/>
        </w:rPr>
      </w:pPr>
      <w:r>
        <w:rPr>
          <w:rFonts w:hint="eastAsia" w:ascii="宋体" w:hAnsi="宋体" w:eastAsia="宋体" w:cs="宋体"/>
          <w:b/>
          <w:bCs/>
          <w:sz w:val="32"/>
          <w:szCs w:val="32"/>
        </w:rPr>
        <w:t>4.2项目技术要求</w:t>
      </w:r>
    </w:p>
    <w:p>
      <w:pPr>
        <w:spacing w:line="276" w:lineRule="auto"/>
        <w:ind w:firstLine="480" w:firstLineChars="200"/>
        <w:rPr>
          <w:rFonts w:ascii="宋体" w:hAnsi="宋体" w:cs="宋体" w:eastAsiaTheme="minorEastAsia"/>
          <w:kern w:val="2"/>
          <w:sz w:val="24"/>
        </w:rPr>
      </w:pPr>
      <w:r>
        <w:rPr>
          <w:rFonts w:hint="eastAsia" w:ascii="宋体" w:hAnsi="宋体" w:eastAsia="宋体" w:cs="宋体"/>
          <w:kern w:val="0"/>
          <w:sz w:val="24"/>
        </w:rPr>
        <w:t>乙方负责为中国重汽提供现场服务、ABAP技术咨询等，具体如</w:t>
      </w:r>
      <w:r>
        <w:rPr>
          <w:rFonts w:hint="eastAsia" w:ascii="宋体" w:hAnsi="宋体" w:cs="宋体" w:eastAsiaTheme="minorEastAsia"/>
          <w:kern w:val="2"/>
          <w:sz w:val="24"/>
        </w:rPr>
        <w:t>下：</w:t>
      </w:r>
    </w:p>
    <w:p>
      <w:pPr>
        <w:pStyle w:val="26"/>
        <w:numPr>
          <w:ilvl w:val="3"/>
          <w:numId w:val="20"/>
        </w:numPr>
        <w:spacing w:line="276" w:lineRule="auto"/>
        <w:ind w:left="840" w:hanging="420" w:firstLineChars="0"/>
        <w:rPr>
          <w:rFonts w:ascii="宋体" w:hAnsi="宋体" w:eastAsia="宋体" w:cs="宋体"/>
          <w:sz w:val="24"/>
        </w:rPr>
      </w:pPr>
      <w:r>
        <w:rPr>
          <w:rFonts w:hint="eastAsia" w:ascii="宋体" w:hAnsi="宋体" w:cs="宋体"/>
          <w:sz w:val="24"/>
        </w:rPr>
        <w:t>现场服务，为中国重汽整个ERP项目提供开发服务，包括对ERP上线功能BUG修复、优化，新需求开发</w:t>
      </w:r>
      <w:r>
        <w:rPr>
          <w:rFonts w:hint="eastAsia" w:ascii="宋体" w:hAnsi="宋体" w:eastAsia="宋体" w:cs="宋体"/>
          <w:sz w:val="24"/>
        </w:rPr>
        <w:t>等在内的若干项服务。</w:t>
      </w:r>
    </w:p>
    <w:p>
      <w:pPr>
        <w:pStyle w:val="26"/>
        <w:numPr>
          <w:ilvl w:val="3"/>
          <w:numId w:val="20"/>
        </w:numPr>
        <w:snapToGrid w:val="0"/>
        <w:spacing w:line="360" w:lineRule="auto"/>
        <w:ind w:left="840" w:leftChars="0" w:hanging="420" w:firstLineChars="0"/>
        <w:rPr>
          <w:rFonts w:hint="eastAsia" w:ascii="宋体" w:hAnsi="宋体" w:eastAsia="宋体" w:cs="宋体"/>
          <w:sz w:val="24"/>
        </w:rPr>
      </w:pPr>
      <w:r>
        <w:rPr>
          <w:rFonts w:hint="eastAsia" w:ascii="宋体" w:hAnsi="宋体" w:cs="宋体"/>
          <w:sz w:val="24"/>
        </w:rPr>
        <w:t>架构优化与规划服务。乙方按照要求提供专家帮助甲方对现有的ERP系统不满足业务需要功能的程序进行优化以及对新系统进行规划。</w:t>
      </w:r>
    </w:p>
    <w:p>
      <w:pPr>
        <w:snapToGrid w:val="0"/>
        <w:spacing w:line="360" w:lineRule="auto"/>
        <w:ind w:left="420" w:firstLine="0"/>
        <w:rPr>
          <w:rFonts w:ascii="宋体" w:hAnsi="宋体" w:eastAsia="宋体" w:cs="宋体"/>
          <w:b/>
          <w:bCs/>
          <w:sz w:val="32"/>
          <w:szCs w:val="32"/>
        </w:rPr>
      </w:pPr>
      <w:r>
        <w:rPr>
          <w:rFonts w:hint="eastAsia" w:ascii="宋体" w:hAnsi="宋体" w:eastAsia="宋体" w:cs="宋体"/>
          <w:sz w:val="24"/>
        </w:rPr>
        <w:t>为确保以上工作顺利完成，投标人应</w:t>
      </w:r>
      <w:r>
        <w:rPr>
          <w:rFonts w:hint="eastAsia" w:ascii="宋体" w:hAnsi="宋体" w:cs="宋体"/>
          <w:sz w:val="24"/>
        </w:rPr>
        <w:t>具备相关行业业务</w:t>
      </w:r>
      <w:r>
        <w:rPr>
          <w:rFonts w:hint="eastAsia" w:ascii="宋体" w:hAnsi="宋体" w:cs="宋体"/>
          <w:sz w:val="24"/>
          <w:lang w:val="en-US" w:eastAsia="zh-CN"/>
        </w:rPr>
        <w:t>ERP系统</w:t>
      </w:r>
      <w:r>
        <w:rPr>
          <w:rFonts w:hint="eastAsia" w:ascii="宋体" w:hAnsi="宋体" w:eastAsia="宋体" w:cs="宋体"/>
          <w:sz w:val="24"/>
        </w:rPr>
        <w:t>服务案例。</w:t>
      </w:r>
    </w:p>
    <w:p>
      <w:pPr>
        <w:spacing w:line="276" w:lineRule="auto"/>
        <w:ind w:firstLine="480"/>
        <w:rPr>
          <w:rFonts w:ascii="宋体" w:hAnsi="宋体" w:eastAsia="宋体" w:cs="宋体"/>
          <w:b/>
          <w:bCs/>
          <w:sz w:val="32"/>
          <w:szCs w:val="32"/>
        </w:rPr>
      </w:pPr>
      <w:r>
        <w:rPr>
          <w:rFonts w:hint="eastAsia" w:ascii="宋体" w:hAnsi="宋体" w:eastAsia="宋体" w:cs="宋体"/>
          <w:b/>
          <w:bCs/>
          <w:sz w:val="32"/>
          <w:szCs w:val="32"/>
        </w:rPr>
        <w:t>4.3服务人员要求</w:t>
      </w:r>
    </w:p>
    <w:p>
      <w:pPr>
        <w:spacing w:line="276" w:lineRule="auto"/>
        <w:ind w:firstLine="435"/>
        <w:rPr>
          <w:rFonts w:ascii="宋体" w:hAnsi="宋体" w:eastAsia="宋体" w:cs="宋体"/>
          <w:sz w:val="24"/>
        </w:rPr>
      </w:pPr>
      <w:r>
        <w:rPr>
          <w:rFonts w:hint="eastAsia" w:ascii="宋体" w:hAnsi="宋体" w:eastAsia="宋体" w:cs="宋体"/>
          <w:sz w:val="24"/>
        </w:rPr>
        <w:t>投标人应为该项目在中国重汽现场设置专门的服务团队，通过项目管理平台等工具对开发任务监控，保证任务完成效率和未开发任务合理管理分配等。服务团队要求如下：</w:t>
      </w:r>
    </w:p>
    <w:p>
      <w:pPr>
        <w:spacing w:line="276" w:lineRule="auto"/>
        <w:ind w:firstLine="435"/>
        <w:rPr>
          <w:rFonts w:ascii="宋体" w:hAnsi="宋体" w:eastAsia="宋体" w:cs="宋体"/>
          <w:sz w:val="24"/>
        </w:rPr>
      </w:pPr>
      <w:r>
        <w:rPr>
          <w:rFonts w:hint="eastAsia" w:ascii="宋体" w:hAnsi="宋体" w:eastAsia="宋体" w:cs="宋体"/>
          <w:sz w:val="24"/>
        </w:rPr>
        <w:t>（一）为保证项目服务的质量，乙方应承诺：</w:t>
      </w:r>
    </w:p>
    <w:p>
      <w:pPr>
        <w:spacing w:line="276" w:lineRule="auto"/>
        <w:ind w:left="1199" w:leftChars="228" w:hanging="720" w:hangingChars="300"/>
        <w:rPr>
          <w:rFonts w:ascii="宋体" w:hAnsi="宋体" w:eastAsia="宋体" w:cs="宋体"/>
          <w:sz w:val="24"/>
        </w:rPr>
      </w:pPr>
      <w:r>
        <w:rPr>
          <w:rFonts w:hint="eastAsia" w:ascii="宋体" w:hAnsi="宋体" w:eastAsia="宋体" w:cs="宋体"/>
          <w:sz w:val="24"/>
        </w:rPr>
        <w:t>（1） 乙方若对现场服务人员进行调整，需提前通知，并征得甲方同意，且所更换的工程师需按新驻场人员进行考核评定，通过考评后方可与调离的工程师共同在中国重汽办公场所进行现场工作交接。若更换的现场工程师未通过甲方的技术能力考试，则需重新指派工程师，因此产生维护时间空缺不计入工作量。</w:t>
      </w:r>
    </w:p>
    <w:p>
      <w:pPr>
        <w:spacing w:line="276" w:lineRule="auto"/>
        <w:ind w:left="1199" w:leftChars="228" w:hanging="720" w:hangingChars="300"/>
        <w:rPr>
          <w:rFonts w:ascii="宋体" w:hAnsi="宋体" w:eastAsia="宋体" w:cs="宋体"/>
          <w:sz w:val="24"/>
        </w:rPr>
      </w:pPr>
      <w:r>
        <w:rPr>
          <w:rFonts w:hint="eastAsia" w:ascii="宋体" w:hAnsi="宋体" w:eastAsia="宋体" w:cs="宋体"/>
          <w:bCs/>
          <w:sz w:val="24"/>
        </w:rPr>
        <w:t>（2） 保证驻场服务工程师的安全性和稳定性，未经甲方同意，不得随意更换工程师，如未经甲方许可更换工程师，甲方有权终止该项目。</w:t>
      </w:r>
    </w:p>
    <w:p>
      <w:pPr>
        <w:spacing w:line="276" w:lineRule="auto"/>
        <w:ind w:firstLine="435"/>
        <w:rPr>
          <w:rFonts w:ascii="宋体" w:hAnsi="宋体" w:eastAsia="宋体" w:cs="宋体"/>
          <w:sz w:val="24"/>
        </w:rPr>
      </w:pPr>
      <w:r>
        <w:rPr>
          <w:rFonts w:hint="eastAsia" w:ascii="宋体" w:hAnsi="宋体" w:eastAsia="宋体" w:cs="宋体"/>
          <w:sz w:val="24"/>
        </w:rPr>
        <w:t xml:space="preserve">（二）团队服务人员应遵守甲方的规章制度和管理办法，开发人员必须做到： </w:t>
      </w:r>
    </w:p>
    <w:p>
      <w:pPr>
        <w:spacing w:line="276" w:lineRule="auto"/>
        <w:ind w:left="420"/>
        <w:rPr>
          <w:rFonts w:ascii="宋体" w:hAnsi="宋体" w:eastAsia="宋体" w:cs="宋体"/>
          <w:sz w:val="24"/>
        </w:rPr>
      </w:pPr>
      <w:r>
        <w:rPr>
          <w:rFonts w:hint="eastAsia" w:ascii="宋体" w:hAnsi="宋体" w:eastAsia="宋体" w:cs="宋体"/>
          <w:sz w:val="24"/>
        </w:rPr>
        <w:t xml:space="preserve">（1） 遵守中国重汽的作息制度上下班，不得无故旷工； </w:t>
      </w:r>
    </w:p>
    <w:p>
      <w:pPr>
        <w:spacing w:line="276" w:lineRule="auto"/>
        <w:ind w:left="420"/>
        <w:rPr>
          <w:rFonts w:ascii="宋体" w:hAnsi="宋体" w:eastAsia="宋体" w:cs="宋体"/>
          <w:sz w:val="24"/>
        </w:rPr>
      </w:pPr>
      <w:r>
        <w:rPr>
          <w:rFonts w:hint="eastAsia" w:ascii="宋体" w:hAnsi="宋体" w:eastAsia="宋体" w:cs="宋体"/>
          <w:sz w:val="24"/>
        </w:rPr>
        <w:t xml:space="preserve">（2） 服从甲方项目工作安排，并积极主动完成任务，具备良好的敬业精神； </w:t>
      </w:r>
    </w:p>
    <w:p>
      <w:pPr>
        <w:spacing w:line="276" w:lineRule="auto"/>
        <w:ind w:left="1140" w:leftChars="200" w:hanging="720" w:hangingChars="300"/>
        <w:rPr>
          <w:rFonts w:ascii="宋体" w:hAnsi="宋体" w:eastAsia="宋体" w:cs="宋体"/>
          <w:sz w:val="24"/>
        </w:rPr>
      </w:pPr>
      <w:r>
        <w:rPr>
          <w:rFonts w:hint="eastAsia" w:ascii="宋体" w:hAnsi="宋体" w:eastAsia="宋体" w:cs="宋体"/>
          <w:sz w:val="24"/>
        </w:rPr>
        <w:t xml:space="preserve">（3） 如有特殊情况需要回公司或短时间内出差解决其他问题，必须向甲方项目经理申请，得到批准后方可离开； </w:t>
      </w:r>
    </w:p>
    <w:p>
      <w:pPr>
        <w:spacing w:line="276" w:lineRule="auto"/>
        <w:ind w:left="420"/>
        <w:rPr>
          <w:rFonts w:ascii="宋体" w:hAnsi="宋体" w:eastAsia="宋体" w:cs="宋体"/>
          <w:sz w:val="24"/>
        </w:rPr>
      </w:pPr>
      <w:r>
        <w:rPr>
          <w:rFonts w:hint="eastAsia" w:ascii="宋体" w:hAnsi="宋体" w:eastAsia="宋体" w:cs="宋体"/>
          <w:sz w:val="24"/>
        </w:rPr>
        <w:t>（4） 现场服务人员应保证手机</w:t>
      </w:r>
      <w:r>
        <w:rPr>
          <w:rFonts w:hint="eastAsia" w:ascii="宋体" w:hAnsi="宋体" w:cs="宋体"/>
          <w:sz w:val="24"/>
        </w:rPr>
        <w:t>畅通</w:t>
      </w:r>
      <w:r>
        <w:rPr>
          <w:rFonts w:hint="eastAsia" w:ascii="宋体" w:hAnsi="宋体" w:eastAsia="宋体" w:cs="宋体"/>
          <w:sz w:val="24"/>
        </w:rPr>
        <w:t>，提供7×24小时的响应。</w:t>
      </w:r>
    </w:p>
    <w:p>
      <w:pPr>
        <w:spacing w:line="276" w:lineRule="auto"/>
        <w:ind w:left="1199" w:leftChars="228" w:hanging="720" w:hangingChars="300"/>
        <w:rPr>
          <w:rFonts w:ascii="宋体" w:hAnsi="宋体" w:eastAsia="宋体" w:cs="宋体"/>
          <w:sz w:val="24"/>
        </w:rPr>
      </w:pPr>
      <w:r>
        <w:rPr>
          <w:rFonts w:hint="eastAsia" w:ascii="宋体" w:hAnsi="宋体" w:eastAsia="宋体" w:cs="宋体"/>
          <w:sz w:val="24"/>
        </w:rPr>
        <w:t>（三）乙方服务人员的办公设备（如电脑、仪器仪表、通信工具、维修工具等）、办公用品由乙方提供，办公电脑需要按甲方要求安装加密、安全等管理软件。</w:t>
      </w:r>
    </w:p>
    <w:p>
      <w:pPr>
        <w:spacing w:line="276" w:lineRule="auto"/>
        <w:rPr>
          <w:rFonts w:ascii="宋体" w:hAnsi="宋体" w:eastAsia="宋体" w:cs="宋体"/>
          <w:sz w:val="24"/>
        </w:rPr>
      </w:pPr>
    </w:p>
    <w:p>
      <w:pPr>
        <w:spacing w:line="276" w:lineRule="auto"/>
        <w:ind w:firstLine="480"/>
        <w:rPr>
          <w:rFonts w:ascii="宋体" w:hAnsi="宋体" w:eastAsia="宋体" w:cs="宋体"/>
          <w:b/>
          <w:bCs/>
          <w:sz w:val="32"/>
          <w:szCs w:val="32"/>
        </w:rPr>
      </w:pPr>
      <w:r>
        <w:rPr>
          <w:rFonts w:hint="eastAsia" w:ascii="宋体" w:hAnsi="宋体" w:eastAsia="宋体" w:cs="宋体"/>
          <w:b/>
          <w:bCs/>
          <w:sz w:val="32"/>
          <w:szCs w:val="32"/>
        </w:rPr>
        <w:t>4.4服务质量管理与考核</w:t>
      </w:r>
    </w:p>
    <w:p>
      <w:pPr>
        <w:spacing w:line="276" w:lineRule="auto"/>
        <w:ind w:firstLine="480"/>
        <w:rPr>
          <w:rFonts w:ascii="宋体" w:hAnsi="宋体" w:eastAsia="宋体" w:cs="宋体"/>
          <w:b/>
          <w:bCs/>
          <w:sz w:val="30"/>
          <w:szCs w:val="30"/>
        </w:rPr>
      </w:pPr>
      <w:r>
        <w:rPr>
          <w:rFonts w:hint="eastAsia" w:ascii="宋体" w:hAnsi="宋体" w:eastAsia="宋体" w:cs="宋体"/>
          <w:b/>
          <w:bCs/>
          <w:sz w:val="30"/>
          <w:szCs w:val="30"/>
        </w:rPr>
        <w:t>4.4.1服务质量管理</w:t>
      </w:r>
    </w:p>
    <w:p>
      <w:pPr>
        <w:spacing w:line="276" w:lineRule="auto"/>
        <w:ind w:firstLine="435"/>
        <w:rPr>
          <w:rFonts w:ascii="宋体" w:hAnsi="宋体" w:eastAsia="宋体" w:cs="宋体"/>
          <w:sz w:val="24"/>
        </w:rPr>
      </w:pPr>
      <w:r>
        <w:rPr>
          <w:rFonts w:hint="eastAsia" w:ascii="宋体" w:hAnsi="宋体" w:eastAsia="宋体" w:cs="宋体"/>
          <w:sz w:val="24"/>
        </w:rPr>
        <w:t>乙方应提供服务质量管理机制，至少应满足以下要求：</w:t>
      </w:r>
    </w:p>
    <w:p>
      <w:pPr>
        <w:spacing w:line="276" w:lineRule="auto"/>
        <w:ind w:firstLine="435"/>
        <w:rPr>
          <w:rFonts w:ascii="宋体" w:hAnsi="宋体" w:eastAsia="宋体" w:cs="宋体"/>
          <w:sz w:val="24"/>
        </w:rPr>
      </w:pPr>
      <w:r>
        <w:rPr>
          <w:rFonts w:hint="eastAsia" w:ascii="宋体" w:hAnsi="宋体" w:eastAsia="宋体" w:cs="宋体"/>
          <w:sz w:val="24"/>
        </w:rPr>
        <w:t>（1）乙方项目负责人应按照周、月对项目的服务质量进行跟踪，形成相应的服务报告发送给甲方指定人员。</w:t>
      </w:r>
    </w:p>
    <w:p>
      <w:pPr>
        <w:spacing w:line="276" w:lineRule="auto"/>
        <w:ind w:firstLine="435"/>
        <w:rPr>
          <w:rFonts w:ascii="宋体" w:hAnsi="宋体" w:eastAsia="宋体" w:cs="宋体"/>
          <w:sz w:val="24"/>
        </w:rPr>
      </w:pPr>
      <w:r>
        <w:rPr>
          <w:rFonts w:hint="eastAsia" w:ascii="宋体" w:hAnsi="宋体" w:eastAsia="宋体" w:cs="宋体"/>
          <w:sz w:val="24"/>
        </w:rPr>
        <w:t>（2）乙方项目负责人每周召集服务例会，对上月的服务情况进行总结。</w:t>
      </w:r>
    </w:p>
    <w:p>
      <w:pPr>
        <w:spacing w:line="276" w:lineRule="auto"/>
        <w:ind w:firstLine="480"/>
        <w:rPr>
          <w:rFonts w:ascii="宋体" w:hAnsi="宋体" w:eastAsia="宋体" w:cs="宋体"/>
          <w:b/>
          <w:bCs/>
          <w:sz w:val="30"/>
          <w:szCs w:val="30"/>
        </w:rPr>
      </w:pPr>
      <w:r>
        <w:rPr>
          <w:rFonts w:hint="eastAsia" w:ascii="宋体" w:hAnsi="宋体" w:eastAsia="宋体" w:cs="宋体"/>
          <w:b/>
          <w:bCs/>
          <w:sz w:val="30"/>
          <w:szCs w:val="30"/>
        </w:rPr>
        <w:t>4.4.2服务质量考核</w:t>
      </w:r>
    </w:p>
    <w:p>
      <w:pPr>
        <w:spacing w:line="276" w:lineRule="auto"/>
        <w:ind w:firstLine="435"/>
        <w:rPr>
          <w:rFonts w:ascii="宋体" w:hAnsi="宋体" w:eastAsia="宋体" w:cs="宋体"/>
          <w:sz w:val="24"/>
        </w:rPr>
      </w:pPr>
      <w:r>
        <w:rPr>
          <w:rFonts w:hint="eastAsia" w:ascii="宋体" w:hAnsi="宋体" w:eastAsia="宋体" w:cs="宋体"/>
          <w:sz w:val="24"/>
        </w:rPr>
        <w:t>甲方将合同额的10％作为质量监督款，用于进行质量考核后的费用支付。乙方需出具由甲方提供的服务验收报告方可取得质量监督款。</w:t>
      </w:r>
    </w:p>
    <w:p>
      <w:pPr>
        <w:spacing w:line="276" w:lineRule="auto"/>
        <w:ind w:firstLine="435"/>
        <w:rPr>
          <w:rFonts w:ascii="宋体" w:hAnsi="宋体" w:eastAsia="宋体" w:cs="宋体"/>
          <w:sz w:val="24"/>
        </w:rPr>
      </w:pPr>
      <w:r>
        <w:rPr>
          <w:rFonts w:hint="eastAsia" w:ascii="宋体" w:hAnsi="宋体" w:eastAsia="宋体" w:cs="宋体"/>
          <w:sz w:val="24"/>
        </w:rPr>
        <w:t>1.质量考核方式</w:t>
      </w:r>
    </w:p>
    <w:p>
      <w:pPr>
        <w:spacing w:line="276" w:lineRule="auto"/>
        <w:ind w:firstLine="435"/>
        <w:rPr>
          <w:rFonts w:ascii="宋体" w:hAnsi="宋体" w:eastAsia="宋体" w:cs="宋体"/>
          <w:sz w:val="24"/>
        </w:rPr>
      </w:pPr>
      <w:r>
        <w:rPr>
          <w:rFonts w:hint="eastAsia" w:ascii="宋体" w:hAnsi="宋体" w:eastAsia="宋体" w:cs="宋体"/>
          <w:sz w:val="24"/>
        </w:rPr>
        <w:t>服务质量考核以整个服务期为一个考核期，每月进行考评。</w:t>
      </w:r>
    </w:p>
    <w:p>
      <w:pPr>
        <w:numPr>
          <w:ilvl w:val="0"/>
          <w:numId w:val="24"/>
        </w:numPr>
        <w:spacing w:line="276" w:lineRule="auto"/>
        <w:rPr>
          <w:rFonts w:ascii="宋体" w:hAnsi="宋体" w:eastAsia="宋体" w:cs="宋体"/>
          <w:sz w:val="24"/>
        </w:rPr>
      </w:pPr>
      <w:r>
        <w:rPr>
          <w:rFonts w:hint="eastAsia" w:ascii="宋体" w:hAnsi="宋体" w:eastAsia="宋体" w:cs="宋体"/>
          <w:sz w:val="24"/>
        </w:rPr>
        <w:t>考核评分包括月度测评分、年度测评总分。年度测评分=∑月度实际评分/测评次数。</w:t>
      </w:r>
    </w:p>
    <w:p>
      <w:pPr>
        <w:numPr>
          <w:ilvl w:val="0"/>
          <w:numId w:val="24"/>
        </w:numPr>
        <w:spacing w:line="276" w:lineRule="auto"/>
        <w:rPr>
          <w:rFonts w:ascii="宋体" w:hAnsi="宋体" w:eastAsia="宋体" w:cs="宋体"/>
          <w:sz w:val="24"/>
        </w:rPr>
      </w:pPr>
      <w:r>
        <w:rPr>
          <w:rFonts w:hint="eastAsia" w:ascii="宋体" w:hAnsi="宋体" w:eastAsia="宋体" w:cs="宋体"/>
          <w:sz w:val="24"/>
        </w:rPr>
        <w:t>月度评分标准，详细考核项和权重见附表。计算规则月度得分=100-∑考核项扣分*权重。</w:t>
      </w:r>
    </w:p>
    <w:p>
      <w:pPr>
        <w:spacing w:line="276" w:lineRule="auto"/>
        <w:rPr>
          <w:rFonts w:ascii="宋体" w:hAnsi="宋体" w:eastAsia="宋体" w:cs="宋体"/>
          <w:sz w:val="24"/>
        </w:rPr>
      </w:pPr>
    </w:p>
    <w:p>
      <w:pPr>
        <w:spacing w:line="276" w:lineRule="auto"/>
        <w:ind w:firstLine="435"/>
        <w:rPr>
          <w:rFonts w:ascii="宋体" w:hAnsi="宋体" w:eastAsia="宋体" w:cs="宋体"/>
          <w:sz w:val="24"/>
        </w:rPr>
      </w:pPr>
      <w:r>
        <w:rPr>
          <w:rFonts w:hint="eastAsia" w:ascii="宋体" w:hAnsi="宋体" w:eastAsia="宋体" w:cs="宋体"/>
          <w:sz w:val="24"/>
        </w:rPr>
        <w:t>2.质量监督款支付方式</w:t>
      </w:r>
    </w:p>
    <w:p>
      <w:pPr>
        <w:spacing w:line="276" w:lineRule="auto"/>
        <w:ind w:firstLine="435"/>
        <w:rPr>
          <w:rFonts w:ascii="宋体" w:hAnsi="宋体" w:eastAsia="宋体" w:cs="宋体"/>
          <w:sz w:val="24"/>
        </w:rPr>
      </w:pPr>
      <w:r>
        <w:rPr>
          <w:rFonts w:hint="eastAsia" w:ascii="宋体" w:hAnsi="宋体" w:eastAsia="宋体" w:cs="宋体"/>
          <w:sz w:val="24"/>
        </w:rPr>
        <w:t>年度考核时，甲方根据考核结果向乙方支付质量监督款。年度考核成绩高于等于90分，则支付质量监督款；否则每降低1分，扣质量监督款的10%；如年度考核成绩低于80分（不含80），则扣全部质量监督款。</w:t>
      </w:r>
    </w:p>
    <w:p>
      <w:pPr>
        <w:spacing w:line="276" w:lineRule="auto"/>
        <w:ind w:firstLine="480"/>
        <w:rPr>
          <w:rFonts w:ascii="宋体" w:hAnsi="宋体" w:eastAsia="宋体" w:cs="宋体"/>
          <w:b/>
          <w:bCs/>
          <w:sz w:val="32"/>
          <w:szCs w:val="32"/>
        </w:rPr>
      </w:pPr>
    </w:p>
    <w:p>
      <w:pPr>
        <w:spacing w:line="276" w:lineRule="auto"/>
        <w:ind w:firstLine="480"/>
        <w:rPr>
          <w:rFonts w:ascii="宋体" w:hAnsi="宋体" w:eastAsia="宋体" w:cs="宋体"/>
          <w:b/>
          <w:bCs/>
          <w:sz w:val="32"/>
          <w:szCs w:val="32"/>
        </w:rPr>
      </w:pPr>
      <w:r>
        <w:rPr>
          <w:rFonts w:hint="eastAsia" w:ascii="宋体" w:hAnsi="宋体" w:eastAsia="宋体" w:cs="宋体"/>
          <w:b/>
          <w:bCs/>
          <w:sz w:val="32"/>
          <w:szCs w:val="32"/>
        </w:rPr>
        <w:t>4.5服务内容说明</w:t>
      </w:r>
    </w:p>
    <w:p>
      <w:pPr>
        <w:spacing w:line="276" w:lineRule="auto"/>
        <w:ind w:firstLine="480"/>
        <w:rPr>
          <w:rFonts w:ascii="宋体" w:hAnsi="宋体"/>
          <w:sz w:val="30"/>
          <w:szCs w:val="30"/>
        </w:rPr>
      </w:pPr>
      <w:r>
        <w:rPr>
          <w:rFonts w:hint="eastAsia" w:ascii="宋体" w:hAnsi="宋体" w:eastAsia="宋体" w:cs="宋体"/>
          <w:b/>
          <w:bCs/>
          <w:sz w:val="30"/>
          <w:szCs w:val="30"/>
        </w:rPr>
        <w:t>4.5.1现场服务</w:t>
      </w:r>
    </w:p>
    <w:p>
      <w:pPr>
        <w:pStyle w:val="6"/>
        <w:numPr>
          <w:ilvl w:val="3"/>
          <w:numId w:val="0"/>
        </w:numPr>
        <w:spacing w:before="0" w:after="50" w:line="240" w:lineRule="auto"/>
        <w:ind w:left="863" w:hanging="863" w:hangingChars="307"/>
        <w:rPr>
          <w:rFonts w:ascii="宋体" w:hAnsi="宋体" w:eastAsia="宋体" w:cs="宋体"/>
          <w:szCs w:val="28"/>
        </w:rPr>
      </w:pPr>
      <w:r>
        <w:tab/>
      </w:r>
      <w:r>
        <w:rPr>
          <w:rFonts w:ascii="宋体" w:hAnsi="宋体" w:eastAsia="宋体" w:cs="宋体"/>
          <w:szCs w:val="28"/>
        </w:rPr>
        <w:t>1</w:t>
      </w:r>
      <w:r>
        <w:rPr>
          <w:rFonts w:hint="eastAsia" w:ascii="宋体" w:hAnsi="宋体" w:eastAsia="宋体" w:cs="宋体"/>
          <w:szCs w:val="28"/>
        </w:rPr>
        <w:t>&gt;新需求和功能优化开发</w:t>
      </w:r>
    </w:p>
    <w:p>
      <w:pPr>
        <w:spacing w:line="276" w:lineRule="auto"/>
        <w:ind w:firstLine="480" w:firstLineChars="200"/>
        <w:rPr>
          <w:rFonts w:ascii="宋体" w:hAnsi="宋体" w:eastAsia="宋体" w:cs="宋体"/>
          <w:sz w:val="24"/>
        </w:rPr>
      </w:pPr>
      <w:r>
        <w:rPr>
          <w:rFonts w:hint="eastAsia" w:ascii="宋体" w:hAnsi="宋体" w:eastAsia="宋体" w:cs="宋体"/>
          <w:sz w:val="24"/>
        </w:rPr>
        <w:t>乙方提供ERP新需求、功能优化需求开发服务，对甲方提出的功能优化和新需求开发在排除不可抗拒外力影响下，应按时完成功能开发、测试等工作。</w:t>
      </w:r>
    </w:p>
    <w:p>
      <w:pPr>
        <w:pStyle w:val="6"/>
        <w:numPr>
          <w:ilvl w:val="3"/>
          <w:numId w:val="0"/>
        </w:numPr>
        <w:spacing w:before="0" w:after="50" w:line="240" w:lineRule="auto"/>
        <w:ind w:firstLine="843" w:firstLineChars="300"/>
        <w:rPr>
          <w:rFonts w:ascii="宋体" w:hAnsi="宋体" w:eastAsia="宋体" w:cs="宋体"/>
          <w:szCs w:val="28"/>
        </w:rPr>
      </w:pPr>
      <w:r>
        <w:rPr>
          <w:rFonts w:ascii="宋体" w:hAnsi="宋体" w:eastAsia="宋体" w:cs="宋体"/>
          <w:szCs w:val="28"/>
        </w:rPr>
        <w:t>2</w:t>
      </w:r>
      <w:r>
        <w:rPr>
          <w:rFonts w:hint="eastAsia" w:ascii="宋体" w:hAnsi="宋体" w:eastAsia="宋体" w:cs="宋体"/>
          <w:szCs w:val="28"/>
        </w:rPr>
        <w:t>&gt;系统规划</w:t>
      </w:r>
    </w:p>
    <w:p>
      <w:pPr>
        <w:spacing w:line="276" w:lineRule="auto"/>
        <w:ind w:firstLine="480" w:firstLineChars="200"/>
      </w:pPr>
      <w:r>
        <w:rPr>
          <w:rFonts w:hint="eastAsia" w:ascii="宋体" w:hAnsi="宋体"/>
          <w:sz w:val="24"/>
        </w:rPr>
        <w:t>目前中国重汽涉及的SAP产品较多，乙方需要协助甲方对可使用SAP产品的系统提供技术支持和未来规划，对可重复利用的产品和模块提出建设性意见。</w:t>
      </w:r>
    </w:p>
    <w:p>
      <w:pPr>
        <w:pStyle w:val="6"/>
        <w:numPr>
          <w:ilvl w:val="3"/>
          <w:numId w:val="0"/>
        </w:numPr>
        <w:spacing w:before="0" w:after="50" w:line="240" w:lineRule="auto"/>
        <w:ind w:firstLine="843" w:firstLineChars="300"/>
        <w:rPr>
          <w:rFonts w:ascii="宋体" w:hAnsi="宋体" w:eastAsia="宋体" w:cs="宋体"/>
          <w:szCs w:val="28"/>
        </w:rPr>
      </w:pPr>
      <w:r>
        <w:rPr>
          <w:rFonts w:ascii="宋体" w:hAnsi="宋体" w:eastAsia="宋体" w:cs="宋体"/>
          <w:szCs w:val="28"/>
        </w:rPr>
        <w:t>3</w:t>
      </w:r>
      <w:r>
        <w:rPr>
          <w:rFonts w:hint="eastAsia" w:ascii="宋体" w:hAnsi="宋体" w:eastAsia="宋体" w:cs="宋体"/>
          <w:szCs w:val="28"/>
        </w:rPr>
        <w:t>&gt;关健时间窗口保障</w:t>
      </w:r>
    </w:p>
    <w:p>
      <w:pPr>
        <w:spacing w:line="276" w:lineRule="auto"/>
        <w:ind w:firstLine="480" w:firstLineChars="200"/>
        <w:rPr>
          <w:rFonts w:ascii="宋体" w:hAnsi="宋体" w:eastAsia="宋体" w:cs="宋体"/>
          <w:sz w:val="24"/>
        </w:rPr>
      </w:pPr>
      <w:r>
        <w:rPr>
          <w:rFonts w:hint="eastAsia" w:ascii="宋体" w:hAnsi="宋体" w:eastAsia="宋体" w:cs="宋体"/>
          <w:sz w:val="24"/>
        </w:rPr>
        <w:t>国家法定假日（元旦、春节、清明、五一、端午、国庆、中秋）期间，或其他关键时间窗口，每月出账、市场活动等负载高峰期。为确保系统的安全、高效、稳定运行，须制订完善的保障措施，实现系统运行的可防、可控、可治，紧急情况下提供现场或远程技术支持。</w:t>
      </w:r>
    </w:p>
    <w:p>
      <w:pPr>
        <w:spacing w:line="276"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关键时间窗口保障前，需提供详细的保障工作计划，并交中国重汽相关负责人。根据不同的保障级别，保障措施须详实有效。</w:t>
      </w:r>
      <w:r>
        <w:rPr>
          <w:rFonts w:hint="eastAsia" w:ascii="宋体" w:hAnsi="宋体" w:eastAsia="宋体" w:cs="宋体"/>
          <w:szCs w:val="28"/>
        </w:rPr>
        <w:t xml:space="preserve"> </w:t>
      </w:r>
    </w:p>
    <w:p>
      <w:pPr>
        <w:spacing w:line="276" w:lineRule="auto"/>
        <w:ind w:firstLine="480"/>
        <w:rPr>
          <w:rFonts w:ascii="宋体" w:hAnsi="宋体" w:eastAsia="宋体" w:cs="宋体"/>
          <w:b/>
          <w:bCs/>
          <w:sz w:val="30"/>
          <w:szCs w:val="30"/>
        </w:rPr>
      </w:pPr>
      <w:r>
        <w:rPr>
          <w:rFonts w:hint="eastAsia" w:ascii="宋体" w:hAnsi="宋体" w:eastAsia="宋体" w:cs="宋体"/>
          <w:b/>
          <w:bCs/>
          <w:sz w:val="30"/>
          <w:szCs w:val="30"/>
        </w:rPr>
        <w:t>4.5.</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架构优化与规划服务</w:t>
      </w:r>
    </w:p>
    <w:p>
      <w:pPr>
        <w:spacing w:line="276" w:lineRule="auto"/>
        <w:rPr>
          <w:rFonts w:ascii="宋体" w:hAnsi="宋体" w:eastAsia="宋体" w:cs="宋体"/>
          <w:sz w:val="24"/>
        </w:rPr>
      </w:pPr>
      <w:r>
        <w:rPr>
          <w:rFonts w:hint="eastAsia"/>
        </w:rPr>
        <w:tab/>
      </w:r>
      <w:r>
        <w:rPr>
          <w:rFonts w:hint="eastAsia" w:ascii="宋体" w:hAnsi="宋体" w:eastAsia="宋体" w:cs="宋体"/>
          <w:sz w:val="24"/>
        </w:rPr>
        <w:t>为了更好的适用中国重汽业务的发展，对于可使用SAP模块和技术的其他项目乙方需要根据重汽业务系统实际情况给出适合的规划和建议。本服务根据需求方要求，由乙方安排额外的专家资源进行支持与响应，由在ABAP技术领域有丰富经验的技术专家负责提供服务，专家资质要求：</w:t>
      </w:r>
    </w:p>
    <w:p>
      <w:pPr>
        <w:spacing w:line="276" w:lineRule="auto"/>
        <w:ind w:firstLine="420"/>
        <w:rPr>
          <w:rFonts w:ascii="宋体" w:hAnsi="宋体" w:eastAsia="宋体" w:cs="宋体"/>
          <w:sz w:val="24"/>
        </w:rPr>
      </w:pPr>
      <w:r>
        <w:rPr>
          <w:rFonts w:hint="eastAsia" w:ascii="宋体" w:hAnsi="宋体" w:eastAsia="宋体" w:cs="宋体"/>
          <w:sz w:val="24"/>
        </w:rPr>
        <w:t>1、具备PA资质；</w:t>
      </w:r>
    </w:p>
    <w:p>
      <w:pPr>
        <w:spacing w:line="276" w:lineRule="auto"/>
        <w:ind w:firstLine="420"/>
        <w:rPr>
          <w:rFonts w:ascii="宋体" w:hAnsi="宋体" w:eastAsia="宋体" w:cs="宋体"/>
          <w:sz w:val="24"/>
        </w:rPr>
      </w:pPr>
      <w:r>
        <w:rPr>
          <w:rFonts w:hint="eastAsia" w:ascii="宋体" w:hAnsi="宋体" w:eastAsia="宋体" w:cs="宋体"/>
          <w:sz w:val="24"/>
        </w:rPr>
        <w:t>2、从事项目经理工作满三年以上；</w:t>
      </w:r>
    </w:p>
    <w:p>
      <w:pPr>
        <w:spacing w:line="276" w:lineRule="auto"/>
        <w:ind w:firstLine="420"/>
        <w:rPr>
          <w:rFonts w:ascii="宋体" w:hAnsi="宋体" w:eastAsia="宋体" w:cs="宋体"/>
          <w:sz w:val="24"/>
        </w:rPr>
      </w:pPr>
      <w:r>
        <w:rPr>
          <w:rFonts w:hint="eastAsia" w:ascii="宋体" w:hAnsi="宋体" w:eastAsia="宋体" w:cs="宋体"/>
          <w:sz w:val="24"/>
        </w:rPr>
        <w:t>3、做过3个及以上相同或相近完整的项目。</w:t>
      </w:r>
    </w:p>
    <w:p>
      <w:pPr>
        <w:spacing w:line="276" w:lineRule="auto"/>
      </w:pPr>
      <w:r>
        <w:rPr>
          <w:rFonts w:hint="eastAsia"/>
        </w:rPr>
        <w:t>要求方案详实有效且有成功案例。</w:t>
      </w:r>
    </w:p>
    <w:p>
      <w:pPr>
        <w:spacing w:line="276" w:lineRule="auto"/>
        <w:ind w:firstLine="480"/>
        <w:rPr>
          <w:rFonts w:ascii="宋体" w:hAnsi="宋体" w:eastAsia="宋体" w:cs="宋体"/>
          <w:b/>
          <w:bCs/>
          <w:sz w:val="30"/>
          <w:szCs w:val="30"/>
        </w:rPr>
      </w:pPr>
      <w:r>
        <w:rPr>
          <w:rFonts w:hint="eastAsia" w:ascii="宋体" w:hAnsi="宋体" w:eastAsia="宋体" w:cs="宋体"/>
          <w:b/>
          <w:bCs/>
          <w:sz w:val="30"/>
          <w:szCs w:val="30"/>
        </w:rPr>
        <w:t>4.5.</w:t>
      </w: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技术创新及应用</w:t>
      </w:r>
    </w:p>
    <w:p>
      <w:pPr>
        <w:spacing w:line="276" w:lineRule="auto"/>
        <w:ind w:firstLine="420"/>
        <w:rPr>
          <w:sz w:val="24"/>
        </w:rPr>
      </w:pPr>
      <w:r>
        <w:rPr>
          <w:rFonts w:hint="eastAsia"/>
          <w:sz w:val="24"/>
        </w:rPr>
        <w:t>为实现运营商技术共享和技术创新，供应商需要提供在其它省运营商服务团队的技术经验，并根据现场需要，进行本地系统应用和创新。</w:t>
      </w:r>
    </w:p>
    <w:p>
      <w:pPr>
        <w:spacing w:line="276" w:lineRule="auto"/>
        <w:rPr>
          <w:rFonts w:ascii="Calibri" w:hAnsi="Calibri" w:eastAsia="黑体" w:cs="黑体"/>
          <w:b/>
          <w:sz w:val="28"/>
          <w:szCs w:val="22"/>
          <w:lang w:bidi="ar"/>
        </w:rPr>
      </w:pPr>
      <w:r>
        <w:rPr>
          <w:rFonts w:hint="eastAsia"/>
          <w:sz w:val="24"/>
        </w:rPr>
        <w:t xml:space="preserve">   供应商应具有一定的技术创新能力，能够协助</w:t>
      </w:r>
      <w:r>
        <w:rPr>
          <w:rFonts w:hint="eastAsia" w:ascii="宋体" w:hAnsi="宋体" w:eastAsia="宋体" w:cs="宋体"/>
          <w:sz w:val="24"/>
        </w:rPr>
        <w:t>甲方</w:t>
      </w:r>
      <w:r>
        <w:rPr>
          <w:rFonts w:hint="eastAsia"/>
          <w:sz w:val="24"/>
        </w:rPr>
        <w:t>完成技术分享和能力提升。</w:t>
      </w:r>
    </w:p>
    <w:p>
      <w:pPr>
        <w:spacing w:line="276" w:lineRule="auto"/>
        <w:ind w:firstLine="480"/>
        <w:rPr>
          <w:rFonts w:ascii="宋体" w:hAnsi="宋体" w:eastAsia="宋体" w:cs="宋体"/>
          <w:b/>
          <w:bCs/>
          <w:sz w:val="30"/>
          <w:szCs w:val="30"/>
        </w:rPr>
      </w:pPr>
    </w:p>
    <w:p>
      <w:pPr>
        <w:spacing w:line="276" w:lineRule="auto"/>
        <w:ind w:firstLine="480"/>
        <w:rPr>
          <w:rFonts w:ascii="宋体" w:hAnsi="宋体" w:eastAsia="宋体" w:cs="宋体"/>
          <w:b/>
          <w:bCs/>
          <w:sz w:val="32"/>
          <w:szCs w:val="32"/>
        </w:rPr>
      </w:pPr>
      <w:r>
        <w:rPr>
          <w:rFonts w:hint="eastAsia" w:ascii="宋体" w:hAnsi="宋体" w:eastAsia="宋体" w:cs="宋体"/>
          <w:b/>
          <w:bCs/>
          <w:sz w:val="32"/>
          <w:szCs w:val="32"/>
        </w:rPr>
        <w:t>5、评价标准</w:t>
      </w:r>
    </w:p>
    <w:p>
      <w:pPr>
        <w:pStyle w:val="19"/>
        <w:widowControl/>
        <w:ind w:firstLine="480"/>
      </w:pPr>
      <w:r>
        <w:rPr>
          <w:rFonts w:hint="eastAsia" w:cs="宋体"/>
        </w:rPr>
        <w:t>招标人项目评标委员会成员会按照本招标文件所阐述的项目技术要求、项目商务要求等内容及现场方案讲解情况对投标人进行综合评价。</w:t>
      </w: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eastAsia="黑体"/>
          <w:b/>
          <w:sz w:val="28"/>
          <w:szCs w:val="22"/>
        </w:rPr>
      </w:pPr>
      <w:r>
        <w:rPr>
          <w:rFonts w:hint="eastAsia" w:ascii="Calibri" w:hAnsi="Calibri" w:eastAsia="黑体" w:cs="黑体"/>
          <w:b/>
          <w:sz w:val="28"/>
          <w:szCs w:val="22"/>
          <w:lang w:bidi="ar"/>
        </w:rPr>
        <w:t>附件</w:t>
      </w:r>
      <w:r>
        <w:rPr>
          <w:rFonts w:ascii="Calibri" w:hAnsi="Calibri" w:eastAsia="黑体" w:cs="Times New Roman"/>
          <w:b/>
          <w:sz w:val="28"/>
          <w:szCs w:val="22"/>
          <w:lang w:bidi="ar"/>
        </w:rPr>
        <w:t>1</w:t>
      </w:r>
    </w:p>
    <w:p>
      <w:pPr>
        <w:jc w:val="center"/>
        <w:rPr>
          <w:rFonts w:eastAsia="黑体"/>
          <w:b/>
          <w:sz w:val="28"/>
          <w:szCs w:val="22"/>
        </w:rPr>
      </w:pPr>
      <w:bookmarkStart w:id="215" w:name="_Toc283368335"/>
      <w:bookmarkStart w:id="216" w:name="_Toc533251966"/>
      <w:bookmarkStart w:id="217" w:name="_Toc278876641"/>
      <w:bookmarkStart w:id="218" w:name="_Toc290401063"/>
      <w:r>
        <w:rPr>
          <w:rFonts w:hint="eastAsia" w:ascii="Calibri" w:hAnsi="Calibri" w:eastAsia="黑体" w:cs="黑体"/>
          <w:b/>
          <w:sz w:val="28"/>
          <w:szCs w:val="22"/>
          <w:lang w:bidi="ar"/>
        </w:rPr>
        <w:t>投标函</w:t>
      </w:r>
      <w:bookmarkEnd w:id="215"/>
      <w:bookmarkEnd w:id="216"/>
      <w:bookmarkEnd w:id="217"/>
      <w:bookmarkEnd w:id="218"/>
    </w:p>
    <w:p>
      <w:pPr>
        <w:tabs>
          <w:tab w:val="left" w:pos="720"/>
        </w:tabs>
        <w:spacing w:line="360" w:lineRule="auto"/>
        <w:ind w:right="3"/>
        <w:rPr>
          <w:rFonts w:ascii="宋体" w:hAnsi="宋体" w:eastAsia="宋体" w:cs="宋体"/>
          <w:sz w:val="24"/>
          <w:szCs w:val="22"/>
        </w:rPr>
      </w:pPr>
      <w:r>
        <w:rPr>
          <w:rFonts w:hint="eastAsia" w:ascii="宋体" w:hAnsi="宋体" w:eastAsia="宋体" w:cs="宋体"/>
          <w:sz w:val="24"/>
          <w:szCs w:val="22"/>
          <w:lang w:bidi="ar"/>
        </w:rPr>
        <w:t xml:space="preserve">致：中国重汽集团济南动力有限公司              </w:t>
      </w:r>
    </w:p>
    <w:p>
      <w:pPr>
        <w:spacing w:before="156" w:beforeLines="50" w:line="360" w:lineRule="auto"/>
        <w:rPr>
          <w:rFonts w:ascii="宋体" w:hAnsi="宋体" w:eastAsia="宋体" w:cs="宋体"/>
          <w:sz w:val="24"/>
          <w:szCs w:val="22"/>
        </w:rPr>
      </w:pPr>
      <w:r>
        <w:rPr>
          <w:rFonts w:hint="eastAsia" w:ascii="宋体" w:hAnsi="宋体" w:eastAsia="宋体" w:cs="宋体"/>
          <w:sz w:val="24"/>
          <w:szCs w:val="22"/>
          <w:lang w:bidi="ar"/>
        </w:rPr>
        <w:t>根据贵司的招标函，本人代表投标人_____________（投标人名称）提交下述投标文件。</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本人宣布同意如下：</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1、所附《开标一览表》规定的</w:t>
      </w:r>
      <w:r>
        <w:rPr>
          <w:rFonts w:hint="eastAsia" w:ascii="宋体" w:hAnsi="宋体" w:eastAsia="宋体" w:cs="宋体"/>
          <w:sz w:val="24"/>
          <w:szCs w:val="22"/>
          <w:u w:val="single"/>
          <w:lang w:bidi="ar"/>
        </w:rPr>
        <w:t xml:space="preserve">            项目</w:t>
      </w:r>
      <w:r>
        <w:rPr>
          <w:rFonts w:hint="eastAsia" w:ascii="宋体" w:hAnsi="宋体" w:eastAsia="宋体" w:cs="宋体"/>
          <w:sz w:val="24"/>
          <w:szCs w:val="22"/>
          <w:lang w:bidi="ar"/>
        </w:rPr>
        <w:t>投标总价为：________________（人民币），____________________（大写）。</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4、我方的投标自投标截止之日起有效期为</w:t>
      </w:r>
      <w:r>
        <w:rPr>
          <w:rFonts w:ascii="宋体" w:hAnsi="宋体" w:eastAsia="宋体" w:cs="宋体"/>
          <w:sz w:val="24"/>
          <w:szCs w:val="22"/>
          <w:lang w:bidi="ar"/>
        </w:rPr>
        <w:t>3</w:t>
      </w:r>
      <w:r>
        <w:rPr>
          <w:rFonts w:hint="eastAsia" w:ascii="宋体" w:hAnsi="宋体" w:eastAsia="宋体" w:cs="宋体"/>
          <w:sz w:val="24"/>
          <w:szCs w:val="22"/>
          <w:lang w:bidi="ar"/>
        </w:rPr>
        <w:t>0天。</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6、与本投标有关的一切正式往来通讯请寄：</w:t>
      </w:r>
    </w:p>
    <w:p>
      <w:pPr>
        <w:tabs>
          <w:tab w:val="left" w:pos="720"/>
        </w:tabs>
        <w:spacing w:line="360" w:lineRule="auto"/>
        <w:ind w:right="3" w:firstLine="2640" w:firstLineChars="1100"/>
        <w:rPr>
          <w:rFonts w:ascii="宋体" w:hAnsi="宋体" w:eastAsia="宋体" w:cs="宋体"/>
          <w:sz w:val="24"/>
          <w:szCs w:val="22"/>
        </w:rPr>
      </w:pPr>
      <w:r>
        <w:rPr>
          <w:rFonts w:hint="eastAsia" w:ascii="宋体" w:hAnsi="宋体" w:eastAsia="宋体" w:cs="宋体"/>
          <w:sz w:val="24"/>
          <w:szCs w:val="22"/>
          <w:lang w:bidi="ar"/>
        </w:rPr>
        <w:t xml:space="preserve"> 投    标    人：          （公章）       </w:t>
      </w:r>
    </w:p>
    <w:p>
      <w:pPr>
        <w:spacing w:line="360" w:lineRule="auto"/>
        <w:ind w:right="-687" w:rightChars="-327" w:firstLine="2760" w:firstLineChars="1150"/>
        <w:rPr>
          <w:rFonts w:ascii="宋体" w:hAnsi="宋体" w:eastAsia="宋体" w:cs="宋体"/>
          <w:sz w:val="24"/>
          <w:szCs w:val="22"/>
        </w:rPr>
      </w:pPr>
      <w:r>
        <w:rPr>
          <w:rFonts w:hint="eastAsia" w:ascii="宋体" w:hAnsi="宋体" w:eastAsia="宋体" w:cs="宋体"/>
          <w:sz w:val="24"/>
          <w:szCs w:val="22"/>
          <w:lang w:bidi="ar"/>
        </w:rPr>
        <w:t xml:space="preserve">法定代表人或授权委托人： （签字或盖章） </w:t>
      </w:r>
    </w:p>
    <w:p>
      <w:pPr>
        <w:spacing w:line="360" w:lineRule="auto"/>
        <w:ind w:right="-687" w:rightChars="-327" w:firstLine="2760" w:firstLineChars="1150"/>
        <w:rPr>
          <w:rFonts w:ascii="宋体" w:hAnsi="宋体" w:eastAsia="宋体" w:cs="宋体"/>
          <w:sz w:val="24"/>
          <w:szCs w:val="22"/>
        </w:rPr>
      </w:pPr>
      <w:r>
        <w:rPr>
          <w:rFonts w:hint="eastAsia" w:ascii="宋体" w:hAnsi="宋体" w:eastAsia="宋体" w:cs="宋体"/>
          <w:sz w:val="24"/>
          <w:szCs w:val="22"/>
          <w:lang w:bidi="ar"/>
        </w:rPr>
        <w:t>日       期：         年      月      日</w:t>
      </w:r>
    </w:p>
    <w:p>
      <w:pPr>
        <w:rPr>
          <w:rFonts w:eastAsia="黑体"/>
        </w:rPr>
      </w:pPr>
      <w:r>
        <w:rPr>
          <w:rFonts w:ascii="Calibri" w:hAnsi="Calibri" w:eastAsia="宋体" w:cs="Times New Roman"/>
          <w:szCs w:val="22"/>
          <w:lang w:bidi="ar"/>
        </w:rPr>
        <w:br w:type="page"/>
      </w:r>
      <w:r>
        <w:rPr>
          <w:rFonts w:hint="eastAsia" w:ascii="Calibri" w:hAnsi="Calibri" w:eastAsia="黑体" w:cs="黑体"/>
          <w:b/>
          <w:sz w:val="28"/>
          <w:szCs w:val="22"/>
          <w:lang w:bidi="ar"/>
        </w:rPr>
        <w:t>附件</w:t>
      </w:r>
      <w:r>
        <w:rPr>
          <w:rFonts w:ascii="Calibri" w:hAnsi="Calibri" w:eastAsia="黑体" w:cs="Times New Roman"/>
          <w:b/>
          <w:sz w:val="28"/>
          <w:szCs w:val="22"/>
          <w:lang w:bidi="ar"/>
        </w:rPr>
        <w:t>2</w:t>
      </w:r>
    </w:p>
    <w:p>
      <w:pPr>
        <w:jc w:val="center"/>
        <w:rPr>
          <w:rFonts w:ascii="黑体" w:hAnsi="宋体" w:eastAsia="黑体" w:cs="黑体"/>
          <w:b/>
          <w:sz w:val="28"/>
          <w:szCs w:val="28"/>
        </w:rPr>
      </w:pPr>
      <w:r>
        <w:rPr>
          <w:rFonts w:hint="eastAsia" w:ascii="黑体" w:hAnsi="宋体" w:eastAsia="黑体" w:cs="黑体"/>
          <w:b/>
          <w:sz w:val="28"/>
          <w:szCs w:val="28"/>
          <w:lang w:bidi="ar"/>
        </w:rPr>
        <w:t>法定代表人授权委托书</w:t>
      </w:r>
    </w:p>
    <w:p>
      <w:pPr>
        <w:spacing w:line="360" w:lineRule="auto"/>
        <w:jc w:val="left"/>
        <w:rPr>
          <w:rFonts w:ascii="宋体" w:hAnsi="宋体" w:eastAsia="宋体" w:cs="宋体"/>
          <w:sz w:val="24"/>
          <w:szCs w:val="22"/>
        </w:rPr>
      </w:pPr>
      <w:r>
        <w:rPr>
          <w:rFonts w:hint="eastAsia" w:ascii="宋体" w:hAnsi="宋体" w:eastAsia="宋体" w:cs="宋体"/>
          <w:sz w:val="24"/>
          <w:szCs w:val="22"/>
          <w:lang w:bidi="ar"/>
        </w:rPr>
        <w:t>中国重汽集团济南动力有限公司：</w:t>
      </w:r>
    </w:p>
    <w:p>
      <w:pPr>
        <w:spacing w:line="360" w:lineRule="auto"/>
        <w:ind w:firstLine="480" w:firstLineChars="200"/>
        <w:rPr>
          <w:rFonts w:ascii="宋体" w:hAnsi="宋体" w:eastAsia="宋体" w:cs="宋体"/>
          <w:sz w:val="24"/>
          <w:szCs w:val="22"/>
          <w:u w:val="single"/>
        </w:rPr>
      </w:pPr>
      <w:r>
        <w:rPr>
          <w:rFonts w:hint="eastAsia" w:ascii="宋体" w:hAnsi="宋体" w:eastAsia="宋体" w:cs="宋体"/>
          <w:sz w:val="24"/>
          <w:szCs w:val="22"/>
          <w:lang w:bidi="ar"/>
        </w:rPr>
        <w:t>我公司法定代表人授权委托为其代理人，参加贵公司于</w:t>
      </w:r>
    </w:p>
    <w:p>
      <w:pPr>
        <w:spacing w:line="360" w:lineRule="auto"/>
        <w:ind w:firstLine="720" w:firstLineChars="300"/>
        <w:rPr>
          <w:rFonts w:ascii="宋体" w:hAnsi="宋体" w:eastAsia="宋体" w:cs="宋体"/>
          <w:sz w:val="24"/>
          <w:szCs w:val="22"/>
        </w:rPr>
      </w:pPr>
      <w:r>
        <w:rPr>
          <w:rFonts w:hint="eastAsia" w:ascii="宋体" w:hAnsi="宋体" w:eastAsia="宋体" w:cs="宋体"/>
          <w:sz w:val="24"/>
          <w:szCs w:val="22"/>
          <w:lang w:bidi="ar"/>
        </w:rPr>
        <w:t>年    月     日组织的项目采购活动，并全权代表我公司处理活动中的一切事宜。</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lang w:bidi="ar"/>
        </w:rPr>
        <w:t>本授权书自年月日签字生效，特此声明。</w:t>
      </w:r>
    </w:p>
    <w:p>
      <w:pPr>
        <w:spacing w:line="360" w:lineRule="auto"/>
        <w:jc w:val="left"/>
        <w:rPr>
          <w:rFonts w:ascii="宋体" w:hAnsi="宋体" w:eastAsia="宋体" w:cs="宋体"/>
          <w:sz w:val="24"/>
          <w:szCs w:val="22"/>
        </w:rPr>
      </w:pPr>
      <w:r>
        <w:rPr>
          <w:rFonts w:hint="eastAsia" w:ascii="宋体" w:hAnsi="宋体" w:eastAsia="宋体" w:cs="宋体"/>
          <w:sz w:val="24"/>
          <w:szCs w:val="22"/>
          <w:lang w:bidi="ar"/>
        </w:rPr>
        <w:t>竞标人名称（加盖公章）： 日    期：</w:t>
      </w:r>
    </w:p>
    <w:p>
      <w:pPr>
        <w:spacing w:line="360" w:lineRule="auto"/>
        <w:jc w:val="left"/>
        <w:rPr>
          <w:rFonts w:ascii="宋体" w:hAnsi="宋体" w:eastAsia="宋体" w:cs="宋体"/>
          <w:sz w:val="24"/>
          <w:szCs w:val="22"/>
        </w:rPr>
      </w:pPr>
      <w:r>
        <w:rPr>
          <w:rFonts w:hint="eastAsia" w:ascii="宋体" w:hAnsi="宋体" w:eastAsia="宋体" w:cs="宋体"/>
          <w:sz w:val="24"/>
          <w:szCs w:val="22"/>
          <w:lang w:bidi="ar"/>
        </w:rPr>
        <w:t>法定代表人（签字或印章）： 身份证号：</w:t>
      </w:r>
    </w:p>
    <w:p>
      <w:pPr>
        <w:spacing w:line="360" w:lineRule="auto"/>
        <w:ind w:firstLine="480" w:firstLineChars="200"/>
        <w:jc w:val="left"/>
        <w:rPr>
          <w:rFonts w:ascii="宋体" w:hAnsi="宋体" w:eastAsia="宋体" w:cs="宋体"/>
          <w:sz w:val="24"/>
          <w:szCs w:val="22"/>
        </w:rPr>
      </w:pPr>
    </w:p>
    <w:p>
      <w:pPr>
        <w:spacing w:line="360" w:lineRule="auto"/>
        <w:ind w:firstLine="482" w:firstLineChars="200"/>
        <w:jc w:val="left"/>
        <w:rPr>
          <w:rFonts w:ascii="宋体" w:hAnsi="宋体" w:eastAsia="宋体" w:cs="宋体"/>
          <w:sz w:val="24"/>
          <w:szCs w:val="22"/>
        </w:rPr>
      </w:pPr>
      <w:r>
        <w:rPr>
          <w:rFonts w:hint="eastAsia" w:ascii="宋体" w:hAnsi="宋体" w:eastAsia="宋体" w:cs="宋体"/>
          <w:b/>
          <w:sz w:val="24"/>
          <w:szCs w:val="22"/>
          <w:lang w:bidi="ar"/>
        </w:rPr>
        <w:t>附</w:t>
      </w:r>
      <w:r>
        <w:rPr>
          <w:rFonts w:hint="eastAsia" w:ascii="宋体" w:hAnsi="宋体" w:eastAsia="宋体" w:cs="宋体"/>
          <w:sz w:val="24"/>
          <w:szCs w:val="22"/>
          <w:lang w:bidi="ar"/>
        </w:rPr>
        <w:t xml:space="preserve">  授权代理人情况（附加盖竞标人公章的代理人身份证复印件）：</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lang w:bidi="ar"/>
        </w:rPr>
        <w:t xml:space="preserve">    姓名：    性别：</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lang w:bidi="ar"/>
        </w:rPr>
        <w:t xml:space="preserve">    年龄：    职务：</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lang w:bidi="ar"/>
        </w:rPr>
        <w:t xml:space="preserve">    联系电话：    手机：</w:t>
      </w:r>
    </w:p>
    <w:p>
      <w:pPr>
        <w:spacing w:line="360" w:lineRule="auto"/>
        <w:ind w:firstLine="480" w:firstLineChars="200"/>
        <w:jc w:val="left"/>
        <w:rPr>
          <w:rFonts w:ascii="宋体" w:hAnsi="宋体" w:eastAsia="宋体" w:cs="宋体"/>
          <w:sz w:val="24"/>
          <w:szCs w:val="22"/>
          <w:u w:val="single"/>
        </w:rPr>
      </w:pPr>
      <w:r>
        <w:rPr>
          <w:rFonts w:hint="eastAsia" w:ascii="宋体" w:hAnsi="宋体" w:eastAsia="宋体" w:cs="宋体"/>
          <w:sz w:val="24"/>
          <w:szCs w:val="22"/>
          <w:lang w:bidi="ar"/>
        </w:rPr>
        <w:t xml:space="preserve">    详细通信地址：</w:t>
      </w:r>
    </w:p>
    <w:p>
      <w:pPr>
        <w:spacing w:line="360" w:lineRule="auto"/>
        <w:ind w:firstLine="480" w:firstLineChars="200"/>
        <w:jc w:val="left"/>
        <w:rPr>
          <w:rFonts w:ascii="宋体" w:hAnsi="宋体" w:eastAsia="宋体" w:cs="宋体"/>
          <w:sz w:val="24"/>
          <w:szCs w:val="22"/>
        </w:rPr>
      </w:pPr>
    </w:p>
    <w:p>
      <w:pPr>
        <w:spacing w:line="360" w:lineRule="auto"/>
        <w:jc w:val="left"/>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r>
        <w:rPr>
          <w:rFonts w:hint="eastAsia" w:ascii="宋体" w:hAnsi="宋体" w:eastAsia="宋体" w:cs="宋体"/>
          <w:sz w:val="24"/>
          <w:szCs w:val="22"/>
          <w:lang w:bidi="ar"/>
        </w:rPr>
        <w:t>说明：</w:t>
      </w:r>
    </w:p>
    <w:p>
      <w:pPr>
        <w:spacing w:line="360" w:lineRule="auto"/>
        <w:rPr>
          <w:rFonts w:ascii="宋体" w:hAnsi="宋体" w:eastAsia="宋体" w:cs="宋体"/>
          <w:sz w:val="24"/>
          <w:szCs w:val="22"/>
        </w:rPr>
      </w:pPr>
      <w:r>
        <w:rPr>
          <w:rFonts w:hint="eastAsia" w:ascii="宋体" w:hAnsi="宋体" w:eastAsia="宋体" w:cs="宋体"/>
          <w:sz w:val="24"/>
          <w:szCs w:val="22"/>
          <w:lang w:bidi="ar"/>
        </w:rPr>
        <w:t>1、如法定代表人参加竞标的，竞标文件中不需提供法定代表人授权委托书，但必须提供法定代表人身份证复印件。</w:t>
      </w:r>
    </w:p>
    <w:p>
      <w:pPr>
        <w:spacing w:line="360" w:lineRule="auto"/>
        <w:rPr>
          <w:rFonts w:ascii="宋体" w:hAnsi="宋体" w:eastAsia="宋体" w:cs="宋体"/>
          <w:sz w:val="24"/>
          <w:szCs w:val="22"/>
        </w:rPr>
      </w:pPr>
      <w:r>
        <w:rPr>
          <w:rFonts w:hint="eastAsia" w:ascii="宋体" w:hAnsi="宋体" w:eastAsia="宋体" w:cs="宋体"/>
          <w:sz w:val="24"/>
          <w:szCs w:val="22"/>
          <w:lang w:bidi="ar"/>
        </w:rPr>
        <w:t>2、如委托代理人参加竞标的，竞标文件中必须提供法定代表人授权委托书和委托代理人的身份证复印件。</w:t>
      </w:r>
    </w:p>
    <w:p>
      <w:pPr>
        <w:rPr>
          <w:rFonts w:eastAsia="黑体"/>
          <w:b/>
          <w:sz w:val="28"/>
          <w:szCs w:val="22"/>
        </w:rPr>
      </w:pPr>
      <w:r>
        <w:rPr>
          <w:rFonts w:ascii="Calibri" w:hAnsi="Calibri" w:eastAsia="宋体" w:cs="Times New Roman"/>
          <w:szCs w:val="22"/>
          <w:lang w:bidi="ar"/>
        </w:rPr>
        <w:br w:type="page"/>
      </w:r>
      <w:bookmarkStart w:id="219" w:name="_Toc386297882"/>
      <w:r>
        <w:rPr>
          <w:rFonts w:hint="eastAsia" w:ascii="Calibri" w:hAnsi="Calibri" w:eastAsia="黑体" w:cs="黑体"/>
          <w:b/>
          <w:sz w:val="28"/>
          <w:szCs w:val="22"/>
          <w:lang w:bidi="ar"/>
        </w:rPr>
        <w:t>附件</w:t>
      </w:r>
      <w:r>
        <w:rPr>
          <w:rFonts w:ascii="Calibri" w:hAnsi="Calibri" w:eastAsia="黑体" w:cs="Times New Roman"/>
          <w:b/>
          <w:sz w:val="28"/>
          <w:szCs w:val="22"/>
          <w:lang w:bidi="ar"/>
        </w:rPr>
        <w:t>3</w:t>
      </w:r>
    </w:p>
    <w:p>
      <w:pPr>
        <w:jc w:val="center"/>
        <w:rPr>
          <w:sz w:val="32"/>
          <w:szCs w:val="22"/>
        </w:rPr>
      </w:pPr>
      <w:r>
        <w:rPr>
          <w:rFonts w:hint="eastAsia" w:ascii="Calibri" w:hAnsi="Calibri" w:eastAsia="黑体" w:cs="黑体"/>
          <w:b/>
          <w:sz w:val="28"/>
          <w:szCs w:val="22"/>
          <w:lang w:bidi="ar"/>
        </w:rPr>
        <w:t>竞标人资格证明文件</w:t>
      </w:r>
      <w:bookmarkEnd w:id="219"/>
    </w:p>
    <w:p>
      <w:pPr>
        <w:spacing w:line="360" w:lineRule="auto"/>
        <w:rPr>
          <w:rFonts w:ascii="宋体" w:hAnsi="宋体" w:eastAsia="宋体" w:cs="宋体"/>
          <w:sz w:val="24"/>
          <w:szCs w:val="22"/>
        </w:rPr>
      </w:pPr>
      <w:r>
        <w:rPr>
          <w:rFonts w:hint="eastAsia" w:ascii="宋体" w:hAnsi="宋体" w:eastAsia="宋体" w:cs="宋体"/>
          <w:sz w:val="24"/>
          <w:szCs w:val="22"/>
          <w:lang w:bidi="ar"/>
        </w:rPr>
        <w:t>中国重汽集团济南动力有限公司：</w:t>
      </w:r>
    </w:p>
    <w:p>
      <w:pPr>
        <w:spacing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贵公司组织的 项目谈判采购活动，我公司愿意参加，并证明提交的下列文件、证明和陈述均是准确的、真实的。若与真实情况不符，我公司愿意承担由此而产生的一切后果。</w:t>
      </w:r>
    </w:p>
    <w:p>
      <w:pPr>
        <w:numPr>
          <w:ilvl w:val="0"/>
          <w:numId w:val="45"/>
        </w:numPr>
        <w:spacing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工商营业执照副本复印件（加盖公章）。</w:t>
      </w:r>
    </w:p>
    <w:p>
      <w:pPr>
        <w:numPr>
          <w:ilvl w:val="0"/>
          <w:numId w:val="45"/>
        </w:numPr>
        <w:spacing w:line="360" w:lineRule="auto"/>
        <w:ind w:firstLine="480" w:firstLineChars="200"/>
        <w:rPr>
          <w:rFonts w:ascii="宋体" w:hAnsi="宋体" w:eastAsia="宋体" w:cs="宋体"/>
          <w:sz w:val="24"/>
          <w:szCs w:val="22"/>
        </w:rPr>
      </w:pPr>
      <w:r>
        <w:rPr>
          <w:rFonts w:hint="eastAsia" w:ascii="宋体" w:hAnsi="宋体" w:eastAsia="宋体" w:cs="宋体"/>
          <w:sz w:val="24"/>
          <w:szCs w:val="22"/>
          <w:lang w:bidi="ar"/>
        </w:rPr>
        <w:t>竞标人认为有必要提供的其他证明文件（加盖公章）。</w:t>
      </w:r>
    </w:p>
    <w:p>
      <w:pPr>
        <w:numPr>
          <w:ilvl w:val="0"/>
          <w:numId w:val="45"/>
        </w:numPr>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w:t>
      </w:r>
    </w:p>
    <w:p>
      <w:pPr>
        <w:spacing w:line="360" w:lineRule="auto"/>
        <w:rPr>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sz w:val="24"/>
          <w:szCs w:val="22"/>
        </w:rPr>
      </w:pPr>
    </w:p>
    <w:p>
      <w:pPr>
        <w:spacing w:line="360" w:lineRule="auto"/>
        <w:rPr>
          <w:sz w:val="24"/>
          <w:szCs w:val="22"/>
        </w:rPr>
      </w:pPr>
    </w:p>
    <w:p>
      <w:pPr>
        <w:spacing w:line="360" w:lineRule="auto"/>
        <w:rPr>
          <w:sz w:val="24"/>
        </w:rPr>
      </w:pPr>
      <w:r>
        <w:rPr>
          <w:rFonts w:ascii="Calibri" w:hAnsi="Calibri" w:eastAsia="宋体" w:cs="Times New Roman"/>
          <w:sz w:val="24"/>
          <w:szCs w:val="22"/>
          <w:lang w:bidi="ar"/>
        </w:rPr>
        <w:br w:type="textWrapping"/>
      </w:r>
      <w:r>
        <w:rPr>
          <w:rFonts w:hint="eastAsia" w:ascii="Calibri" w:hAnsi="Calibri" w:eastAsia="宋体" w:cs="宋体"/>
          <w:sz w:val="24"/>
          <w:lang w:bidi="ar"/>
        </w:rPr>
        <w:t>竞标人名称：（加盖公章）</w:t>
      </w:r>
    </w:p>
    <w:p>
      <w:pPr>
        <w:spacing w:line="360" w:lineRule="auto"/>
        <w:rPr>
          <w:sz w:val="24"/>
        </w:rPr>
      </w:pPr>
      <w:r>
        <w:rPr>
          <w:rFonts w:ascii="Calibri" w:hAnsi="Calibri" w:eastAsia="宋体" w:cs="Times New Roman"/>
          <w:sz w:val="24"/>
          <w:lang w:bidi="ar"/>
        </w:rPr>
        <w:t xml:space="preserve"> </w:t>
      </w:r>
      <w:r>
        <w:rPr>
          <w:rFonts w:hint="eastAsia" w:ascii="Calibri" w:hAnsi="Calibri" w:eastAsia="宋体" w:cs="宋体"/>
          <w:sz w:val="24"/>
          <w:lang w:bidi="ar"/>
        </w:rPr>
        <w:t>法定代表人或其代理人：</w:t>
      </w:r>
      <w:r>
        <w:rPr>
          <w:rFonts w:ascii="Calibri" w:hAnsi="Calibri" w:eastAsia="宋体" w:cs="Times New Roman"/>
          <w:sz w:val="24"/>
          <w:lang w:bidi="ar"/>
        </w:rPr>
        <w:t xml:space="preserve">                       </w:t>
      </w:r>
      <w:r>
        <w:rPr>
          <w:rFonts w:hint="eastAsia" w:ascii="Calibri" w:hAnsi="Calibri" w:eastAsia="宋体" w:cs="宋体"/>
          <w:sz w:val="24"/>
          <w:lang w:bidi="ar"/>
        </w:rPr>
        <w:t>（签</w:t>
      </w:r>
      <w:r>
        <w:rPr>
          <w:rFonts w:ascii="Calibri" w:hAnsi="Calibri" w:eastAsia="宋体" w:cs="Times New Roman"/>
          <w:sz w:val="24"/>
          <w:lang w:bidi="ar"/>
        </w:rPr>
        <w:t xml:space="preserve">    </w:t>
      </w:r>
      <w:r>
        <w:rPr>
          <w:rFonts w:hint="eastAsia" w:ascii="Calibri" w:hAnsi="Calibri" w:eastAsia="宋体" w:cs="宋体"/>
          <w:sz w:val="24"/>
          <w:lang w:bidi="ar"/>
        </w:rPr>
        <w:t>字）</w:t>
      </w:r>
      <w:r>
        <w:rPr>
          <w:rFonts w:ascii="Calibri" w:hAnsi="Calibri" w:eastAsia="宋体" w:cs="Times New Roman"/>
          <w:sz w:val="24"/>
          <w:lang w:bidi="ar"/>
        </w:rPr>
        <w:t xml:space="preserve">     </w:t>
      </w:r>
    </w:p>
    <w:p>
      <w:pPr>
        <w:spacing w:line="360" w:lineRule="auto"/>
        <w:rPr>
          <w:rFonts w:ascii="黑体" w:hAnsi="Calibri" w:eastAsia="黑体" w:cs="黑体"/>
          <w:sz w:val="30"/>
          <w:szCs w:val="22"/>
        </w:rPr>
      </w:pPr>
    </w:p>
    <w:p>
      <w:pPr>
        <w:widowControl/>
        <w:jc w:val="left"/>
        <w:rPr>
          <w:rFonts w:eastAsia="黑体"/>
          <w:b/>
          <w:sz w:val="28"/>
          <w:szCs w:val="22"/>
        </w:rPr>
      </w:pPr>
      <w:r>
        <w:rPr>
          <w:rFonts w:hint="eastAsia" w:ascii="宋体" w:hAnsi="宋体" w:eastAsia="宋体" w:cs="Times New Roman"/>
          <w:sz w:val="24"/>
          <w:szCs w:val="22"/>
          <w:lang w:bidi="ar"/>
        </w:rPr>
        <w:br w:type="page"/>
      </w:r>
      <w:r>
        <w:rPr>
          <w:rFonts w:hint="eastAsia" w:ascii="Calibri" w:hAnsi="Calibri" w:eastAsia="黑体" w:cs="黑体"/>
          <w:b/>
          <w:sz w:val="28"/>
          <w:szCs w:val="22"/>
          <w:lang w:bidi="ar"/>
        </w:rPr>
        <w:t>附件</w:t>
      </w:r>
      <w:r>
        <w:rPr>
          <w:rFonts w:ascii="Calibri" w:hAnsi="Calibri" w:eastAsia="黑体" w:cs="Times New Roman"/>
          <w:b/>
          <w:sz w:val="28"/>
          <w:szCs w:val="22"/>
          <w:lang w:bidi="ar"/>
        </w:rPr>
        <w:t>4</w:t>
      </w:r>
    </w:p>
    <w:p>
      <w:pPr>
        <w:widowControl/>
        <w:jc w:val="center"/>
        <w:rPr>
          <w:rFonts w:eastAsia="黑体"/>
          <w:b/>
          <w:sz w:val="28"/>
          <w:szCs w:val="22"/>
        </w:rPr>
      </w:pPr>
      <w:r>
        <w:rPr>
          <w:rFonts w:hint="eastAsia" w:ascii="Calibri" w:hAnsi="Calibri" w:eastAsia="黑体" w:cs="黑体"/>
          <w:b/>
          <w:sz w:val="28"/>
          <w:szCs w:val="22"/>
          <w:lang w:bidi="ar"/>
        </w:rPr>
        <w:t>开标一览表</w:t>
      </w:r>
    </w:p>
    <w:p>
      <w:pPr>
        <w:spacing w:before="6"/>
        <w:ind w:right="88"/>
        <w:jc w:val="left"/>
        <w:rPr>
          <w:rFonts w:ascii="宋体" w:hAnsi="宋体" w:eastAsia="宋体" w:cs="宋体"/>
          <w:color w:val="000000"/>
          <w:sz w:val="24"/>
          <w:u w:val="single"/>
        </w:rPr>
      </w:pPr>
      <w:r>
        <w:rPr>
          <w:rFonts w:hint="eastAsia" w:ascii="宋体" w:hAnsi="宋体" w:eastAsia="宋体" w:cs="宋体"/>
          <w:color w:val="000000"/>
          <w:sz w:val="24"/>
          <w:lang w:bidi="ar"/>
        </w:rPr>
        <w:t>项目名称：</w:t>
      </w:r>
    </w:p>
    <w:p>
      <w:pPr>
        <w:spacing w:before="6"/>
        <w:ind w:right="88"/>
        <w:jc w:val="left"/>
        <w:rPr>
          <w:rFonts w:ascii="宋体" w:hAnsi="宋体" w:eastAsia="宋体" w:cs="宋体"/>
          <w:color w:val="000000"/>
          <w:sz w:val="24"/>
          <w:u w:val="single"/>
        </w:rPr>
      </w:pPr>
      <w:r>
        <w:rPr>
          <w:rFonts w:hint="eastAsia" w:ascii="宋体" w:hAnsi="宋体" w:eastAsia="宋体" w:cs="宋体"/>
          <w:color w:val="000000"/>
          <w:sz w:val="24"/>
          <w:lang w:bidi="ar"/>
        </w:rPr>
        <w:t>投标人名称（公章）：</w:t>
      </w:r>
    </w:p>
    <w:p>
      <w:pPr>
        <w:spacing w:before="6"/>
        <w:ind w:right="88"/>
        <w:jc w:val="left"/>
        <w:rPr>
          <w:rFonts w:ascii="宋体" w:hAnsi="宋体" w:eastAsia="宋体" w:cs="宋体"/>
          <w:color w:val="000000"/>
          <w:sz w:val="24"/>
          <w:u w:val="single"/>
        </w:rPr>
      </w:pPr>
      <w:r>
        <w:rPr>
          <w:rFonts w:hint="eastAsia" w:ascii="Calibri" w:hAnsi="Calibri" w:eastAsia="宋体" w:cs="宋体"/>
          <w:sz w:val="24"/>
          <w:lang w:bidi="ar"/>
        </w:rPr>
        <w:t>投标人代表签字：</w:t>
      </w:r>
    </w:p>
    <w:p>
      <w:pPr>
        <w:spacing w:before="62"/>
        <w:ind w:right="88"/>
        <w:jc w:val="right"/>
        <w:rPr>
          <w:rFonts w:ascii="宋体" w:hAnsi="宋体" w:eastAsia="宋体" w:cs="宋体"/>
          <w:color w:val="000000"/>
          <w:sz w:val="24"/>
        </w:rPr>
      </w:pPr>
      <w:r>
        <w:rPr>
          <w:rFonts w:hint="eastAsia" w:ascii="宋体" w:hAnsi="宋体" w:eastAsia="宋体" w:cs="宋体"/>
          <w:color w:val="000000"/>
          <w:sz w:val="24"/>
          <w:lang w:bidi="ar"/>
        </w:rPr>
        <w:t>价格单位：元</w:t>
      </w:r>
    </w:p>
    <w:tbl>
      <w:tblPr>
        <w:tblStyle w:val="15"/>
        <w:tblW w:w="8520" w:type="dxa"/>
        <w:tblInd w:w="123" w:type="dxa"/>
        <w:tblLayout w:type="fixed"/>
        <w:tblCellMar>
          <w:top w:w="0" w:type="dxa"/>
          <w:left w:w="108" w:type="dxa"/>
          <w:bottom w:w="0" w:type="dxa"/>
          <w:right w:w="108" w:type="dxa"/>
        </w:tblCellMar>
      </w:tblPr>
      <w:tblGrid>
        <w:gridCol w:w="1422"/>
        <w:gridCol w:w="4587"/>
        <w:gridCol w:w="2511"/>
      </w:tblGrid>
      <w:tr>
        <w:tblPrEx>
          <w:tblCellMar>
            <w:top w:w="0" w:type="dxa"/>
            <w:left w:w="108" w:type="dxa"/>
            <w:bottom w:w="0" w:type="dxa"/>
            <w:right w:w="108" w:type="dxa"/>
          </w:tblCellMar>
        </w:tblPrEx>
        <w:trPr>
          <w:trHeight w:val="748" w:hRule="atLeast"/>
        </w:trPr>
        <w:tc>
          <w:tcPr>
            <w:tcW w:w="1422" w:type="dxa"/>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bidi="ar"/>
              </w:rPr>
              <w:t>序号</w:t>
            </w:r>
          </w:p>
        </w:tc>
        <w:tc>
          <w:tcPr>
            <w:tcW w:w="4586" w:type="dxa"/>
            <w:tcBorders>
              <w:top w:val="single" w:color="000000" w:sz="12"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bidi="ar"/>
              </w:rPr>
              <w:t>名称</w:t>
            </w:r>
          </w:p>
        </w:tc>
        <w:tc>
          <w:tcPr>
            <w:tcW w:w="2511" w:type="dxa"/>
            <w:tcBorders>
              <w:top w:val="single" w:color="000000" w:sz="12" w:space="0"/>
              <w:left w:val="nil"/>
              <w:bottom w:val="single" w:color="000000" w:sz="8" w:space="0"/>
              <w:right w:val="single" w:color="000000" w:sz="12"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bidi="ar"/>
              </w:rPr>
              <w:t>投标报价</w:t>
            </w: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bidi="ar"/>
              </w:rPr>
              <w:t>1</w:t>
            </w:r>
          </w:p>
        </w:tc>
        <w:tc>
          <w:tcPr>
            <w:tcW w:w="4586"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2511"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bidi="ar"/>
              </w:rPr>
              <w:t>2</w:t>
            </w:r>
          </w:p>
        </w:tc>
        <w:tc>
          <w:tcPr>
            <w:tcW w:w="4586"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2511"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bidi="ar"/>
              </w:rPr>
              <w:t>3</w:t>
            </w:r>
          </w:p>
        </w:tc>
        <w:tc>
          <w:tcPr>
            <w:tcW w:w="4586"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2511"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bidi="ar"/>
              </w:rPr>
              <w:t>4</w:t>
            </w:r>
          </w:p>
        </w:tc>
        <w:tc>
          <w:tcPr>
            <w:tcW w:w="4586"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2511"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48" w:hRule="atLeast"/>
        </w:trPr>
        <w:tc>
          <w:tcPr>
            <w:tcW w:w="8519" w:type="dxa"/>
            <w:gridSpan w:val="3"/>
            <w:tcBorders>
              <w:top w:val="single" w:color="000000" w:sz="8" w:space="0"/>
              <w:left w:val="single" w:color="000000" w:sz="12" w:space="0"/>
              <w:bottom w:val="single" w:color="000000" w:sz="8" w:space="0"/>
              <w:right w:val="single" w:color="000000" w:sz="12"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lang w:bidi="ar"/>
              </w:rPr>
              <w:t>人民币（大写）：</w:t>
            </w:r>
          </w:p>
        </w:tc>
      </w:tr>
    </w:tbl>
    <w:p>
      <w:pPr>
        <w:pStyle w:val="8"/>
        <w:spacing w:before="48"/>
        <w:ind w:left="400" w:hanging="400"/>
        <w:rPr>
          <w:color w:val="000000"/>
          <w:sz w:val="24"/>
          <w:szCs w:val="24"/>
        </w:rPr>
      </w:pPr>
    </w:p>
    <w:p>
      <w:pPr>
        <w:pStyle w:val="8"/>
        <w:spacing w:before="48"/>
        <w:ind w:left="400" w:hanging="400"/>
        <w:rPr>
          <w:rFonts w:ascii="宋体" w:hAnsi="宋体" w:cs="宋体"/>
          <w:color w:val="000000"/>
          <w:spacing w:val="-1"/>
          <w:sz w:val="24"/>
          <w:szCs w:val="24"/>
        </w:rPr>
      </w:pPr>
      <w:r>
        <w:rPr>
          <w:rFonts w:hint="eastAsia" w:ascii="宋体" w:hAnsi="宋体" w:cs="宋体"/>
          <w:color w:val="000000"/>
          <w:sz w:val="24"/>
          <w:szCs w:val="24"/>
        </w:rPr>
        <w:t>说明：</w:t>
      </w:r>
    </w:p>
    <w:p>
      <w:pPr>
        <w:pStyle w:val="8"/>
        <w:spacing w:before="48"/>
        <w:ind w:left="400" w:hanging="400"/>
        <w:rPr>
          <w:rFonts w:ascii="宋体" w:hAnsi="宋体" w:cs="宋体"/>
          <w:color w:val="000000"/>
          <w:sz w:val="24"/>
          <w:szCs w:val="24"/>
        </w:rPr>
      </w:pPr>
      <w:r>
        <w:rPr>
          <w:rFonts w:hint="eastAsia" w:ascii="宋体" w:hAnsi="宋体" w:cs="宋体"/>
          <w:color w:val="000000"/>
          <w:sz w:val="24"/>
          <w:szCs w:val="24"/>
        </w:rPr>
        <w:t xml:space="preserve">1、开标一览表中“投标总价”是指提供服务的全部费用的报价。 </w:t>
      </w:r>
    </w:p>
    <w:p>
      <w:pPr>
        <w:pStyle w:val="8"/>
        <w:spacing w:before="48"/>
        <w:ind w:left="400" w:hanging="400"/>
        <w:rPr>
          <w:rFonts w:ascii="宋体" w:hAnsi="宋体" w:cs="宋体"/>
          <w:color w:val="000000"/>
          <w:sz w:val="24"/>
          <w:szCs w:val="24"/>
        </w:rPr>
      </w:pPr>
      <w:r>
        <w:rPr>
          <w:rFonts w:hint="eastAsia" w:ascii="宋体" w:hAnsi="宋体" w:cs="宋体"/>
          <w:color w:val="000000"/>
          <w:sz w:val="24"/>
          <w:szCs w:val="24"/>
        </w:rPr>
        <w:t>2、投标人严格按照规定的格式填写。</w:t>
      </w:r>
    </w:p>
    <w:p>
      <w:pPr>
        <w:rPr>
          <w:rFonts w:ascii="宋体" w:hAnsi="宋体" w:eastAsia="宋体" w:cs="宋体"/>
          <w:color w:val="000000"/>
          <w:sz w:val="24"/>
        </w:rPr>
      </w:pPr>
    </w:p>
    <w:p>
      <w:pPr>
        <w:spacing w:before="2"/>
        <w:rPr>
          <w:rFonts w:ascii="宋体" w:hAnsi="宋体" w:eastAsia="宋体" w:cs="宋体"/>
          <w:color w:val="000000"/>
        </w:rPr>
      </w:pPr>
    </w:p>
    <w:p>
      <w:pPr>
        <w:pStyle w:val="8"/>
        <w:spacing w:before="48"/>
        <w:ind w:left="400" w:hanging="400"/>
        <w:jc w:val="right"/>
        <w:rPr>
          <w:rFonts w:ascii="宋体" w:hAnsi="宋体" w:cs="宋体"/>
          <w:color w:val="000000"/>
          <w:sz w:val="24"/>
          <w:szCs w:val="24"/>
        </w:rPr>
      </w:pPr>
      <w:r>
        <w:rPr>
          <w:rFonts w:hint="eastAsia" w:ascii="宋体" w:hAnsi="宋体" w:cs="宋体"/>
          <w:color w:val="000000"/>
          <w:sz w:val="24"/>
          <w:szCs w:val="24"/>
        </w:rPr>
        <w:t>日期：  年 月  日</w:t>
      </w: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ind w:firstLine="480"/>
        <w:rPr>
          <w:rFonts w:ascii="宋体" w:hAnsi="宋体" w:eastAsia="宋体" w:cs="宋体"/>
          <w:sz w:val="24"/>
          <w:szCs w:val="22"/>
        </w:rPr>
      </w:pPr>
    </w:p>
    <w:p>
      <w:pPr>
        <w:jc w:val="left"/>
        <w:rPr>
          <w:rFonts w:ascii="Calibri" w:hAnsi="Calibri" w:eastAsia="黑体" w:cs="黑体"/>
          <w:b/>
          <w:sz w:val="28"/>
          <w:szCs w:val="22"/>
          <w:lang w:bidi="ar"/>
        </w:rPr>
      </w:pPr>
      <w:r>
        <w:rPr>
          <w:rFonts w:hint="eastAsia" w:ascii="Calibri" w:hAnsi="Calibri" w:eastAsia="黑体" w:cs="黑体"/>
          <w:b/>
          <w:sz w:val="28"/>
          <w:szCs w:val="22"/>
          <w:lang w:bidi="ar"/>
        </w:rPr>
        <w:t>附件5</w:t>
      </w:r>
    </w:p>
    <w:p>
      <w:pPr>
        <w:jc w:val="center"/>
        <w:rPr>
          <w:rFonts w:eastAsia="黑体"/>
          <w:b/>
          <w:sz w:val="28"/>
          <w:szCs w:val="22"/>
        </w:rPr>
      </w:pPr>
      <w:r>
        <w:rPr>
          <w:rFonts w:hint="eastAsia" w:ascii="Calibri" w:hAnsi="Calibri" w:eastAsia="黑体" w:cs="黑体"/>
          <w:b/>
          <w:sz w:val="28"/>
          <w:szCs w:val="22"/>
          <w:lang w:bidi="ar"/>
        </w:rPr>
        <w:t>投标价格分解表</w:t>
      </w:r>
    </w:p>
    <w:p>
      <w:pPr>
        <w:spacing w:before="6"/>
        <w:ind w:right="88"/>
        <w:jc w:val="left"/>
        <w:rPr>
          <w:rFonts w:ascii="宋体" w:hAnsi="宋体" w:eastAsia="宋体" w:cs="宋体"/>
          <w:color w:val="000000"/>
          <w:sz w:val="24"/>
          <w:u w:val="single"/>
        </w:rPr>
      </w:pPr>
      <w:r>
        <w:rPr>
          <w:rFonts w:hint="eastAsia" w:ascii="宋体" w:hAnsi="宋体" w:eastAsia="宋体" w:cs="宋体"/>
          <w:color w:val="000000"/>
          <w:sz w:val="24"/>
          <w:lang w:bidi="ar"/>
        </w:rPr>
        <w:t>项目名称：</w:t>
      </w:r>
    </w:p>
    <w:p>
      <w:pPr>
        <w:spacing w:before="6"/>
        <w:ind w:right="88"/>
        <w:jc w:val="left"/>
        <w:rPr>
          <w:rFonts w:ascii="宋体" w:hAnsi="宋体" w:eastAsia="宋体" w:cs="宋体"/>
          <w:color w:val="000000"/>
          <w:sz w:val="24"/>
          <w:u w:val="single"/>
        </w:rPr>
      </w:pPr>
      <w:r>
        <w:rPr>
          <w:rFonts w:hint="eastAsia" w:ascii="宋体" w:hAnsi="宋体" w:eastAsia="宋体" w:cs="宋体"/>
          <w:color w:val="000000"/>
          <w:sz w:val="24"/>
          <w:lang w:bidi="ar"/>
        </w:rPr>
        <w:t>投标人名称（公章）：</w:t>
      </w:r>
    </w:p>
    <w:p>
      <w:pPr>
        <w:spacing w:before="6"/>
        <w:ind w:right="88"/>
        <w:jc w:val="left"/>
        <w:rPr>
          <w:rFonts w:ascii="宋体" w:hAnsi="宋体" w:eastAsia="宋体" w:cs="宋体"/>
          <w:color w:val="000000"/>
          <w:sz w:val="24"/>
          <w:u w:val="single"/>
        </w:rPr>
      </w:pPr>
      <w:r>
        <w:rPr>
          <w:rFonts w:hint="eastAsia" w:ascii="Calibri" w:hAnsi="Calibri" w:eastAsia="宋体" w:cs="宋体"/>
          <w:sz w:val="24"/>
          <w:lang w:bidi="ar"/>
        </w:rPr>
        <w:t>投标人代表签字：</w:t>
      </w:r>
    </w:p>
    <w:p>
      <w:pPr>
        <w:spacing w:before="62"/>
        <w:ind w:right="1048"/>
        <w:jc w:val="center"/>
        <w:rPr>
          <w:rFonts w:ascii="宋体" w:hAnsi="宋体" w:eastAsia="宋体" w:cs="宋体"/>
          <w:sz w:val="24"/>
          <w:szCs w:val="22"/>
        </w:rPr>
      </w:pPr>
      <w:r>
        <w:rPr>
          <w:rFonts w:hint="eastAsia" w:ascii="宋体" w:hAnsi="宋体" w:eastAsia="宋体" w:cs="宋体"/>
          <w:color w:val="000000"/>
          <w:sz w:val="24"/>
          <w:lang w:bidi="ar"/>
        </w:rPr>
        <w:t xml:space="preserve">                                        价格单位：   元</w:t>
      </w:r>
    </w:p>
    <w:p>
      <w:pPr>
        <w:rPr>
          <w:rFonts w:eastAsia="黑体"/>
          <w:b/>
          <w:sz w:val="28"/>
          <w:szCs w:val="22"/>
        </w:rPr>
      </w:pPr>
    </w:p>
    <w:tbl>
      <w:tblPr>
        <w:tblStyle w:val="15"/>
        <w:tblpPr w:leftFromText="180" w:rightFromText="180" w:vertAnchor="text" w:horzAnchor="page" w:tblpX="1972" w:tblpY="20"/>
        <w:tblOverlap w:val="never"/>
        <w:tblW w:w="7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785"/>
        <w:gridCol w:w="1477"/>
        <w:gridCol w:w="1494"/>
        <w:gridCol w:w="126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Cs w:val="21"/>
              </w:rPr>
            </w:pPr>
            <w:r>
              <w:rPr>
                <w:rFonts w:hint="eastAsia" w:ascii="宋体" w:hAnsi="宋体" w:eastAsia="宋体" w:cs="宋体"/>
                <w:b/>
                <w:szCs w:val="21"/>
                <w:lang w:bidi="ar"/>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Cs w:val="21"/>
              </w:rPr>
            </w:pPr>
            <w:r>
              <w:rPr>
                <w:rFonts w:hint="eastAsia" w:ascii="宋体" w:hAnsi="宋体" w:eastAsia="宋体" w:cs="宋体"/>
                <w:b/>
                <w:szCs w:val="21"/>
                <w:lang w:bidi="ar"/>
              </w:rPr>
              <w:t>工程师级别</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Cs w:val="21"/>
              </w:rPr>
            </w:pPr>
            <w:r>
              <w:rPr>
                <w:rFonts w:hint="eastAsia" w:ascii="宋体" w:hAnsi="宋体" w:eastAsia="宋体" w:cs="宋体"/>
                <w:b/>
                <w:szCs w:val="21"/>
                <w:lang w:bidi="ar"/>
              </w:rPr>
              <w:t>人天单价（元）</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Cs w:val="21"/>
              </w:rPr>
            </w:pPr>
            <w:r>
              <w:rPr>
                <w:rFonts w:hint="eastAsia" w:ascii="宋体" w:hAnsi="宋体" w:eastAsia="宋体" w:cs="宋体"/>
                <w:b/>
                <w:szCs w:val="21"/>
                <w:lang w:bidi="ar"/>
              </w:rPr>
              <w:t>折扣价</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Cs w:val="21"/>
              </w:rPr>
            </w:pPr>
            <w:r>
              <w:rPr>
                <w:rFonts w:hint="eastAsia" w:ascii="宋体" w:hAnsi="宋体" w:eastAsia="宋体" w:cs="宋体"/>
                <w:b/>
                <w:szCs w:val="21"/>
                <w:lang w:bidi="ar"/>
              </w:rPr>
              <w:t>最终价</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Cs w:val="21"/>
              </w:rPr>
            </w:pPr>
            <w:r>
              <w:rPr>
                <w:rFonts w:hint="eastAsia" w:ascii="宋体" w:hAnsi="宋体" w:eastAsia="宋体" w:cs="宋体"/>
                <w:b/>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初级</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中级</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高级</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5</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7</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8</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10</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FF0000"/>
                <w:szCs w:val="21"/>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bl>
    <w:p>
      <w:pPr>
        <w:rPr>
          <w:rFonts w:eastAsia="黑体"/>
          <w:b/>
          <w:sz w:val="28"/>
          <w:szCs w:val="22"/>
        </w:rPr>
      </w:pPr>
    </w:p>
    <w:p>
      <w:pPr>
        <w:rPr>
          <w:rFonts w:eastAsia="黑体"/>
          <w:b/>
          <w:sz w:val="28"/>
          <w:szCs w:val="22"/>
        </w:rPr>
      </w:pPr>
    </w:p>
    <w:p>
      <w:pPr>
        <w:rPr>
          <w:rFonts w:eastAsia="黑体"/>
          <w:b/>
          <w:sz w:val="28"/>
          <w:szCs w:val="22"/>
        </w:rPr>
      </w:pPr>
    </w:p>
    <w:p>
      <w:pPr>
        <w:rPr>
          <w:rFonts w:eastAsia="黑体"/>
          <w:b/>
          <w:sz w:val="28"/>
          <w:szCs w:val="22"/>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ascii="Calibri" w:hAnsi="Calibri" w:eastAsia="黑体" w:cs="黑体"/>
          <w:b/>
          <w:sz w:val="28"/>
          <w:szCs w:val="22"/>
          <w:lang w:bidi="ar"/>
        </w:rPr>
      </w:pPr>
    </w:p>
    <w:p>
      <w:pPr>
        <w:rPr>
          <w:rFonts w:eastAsia="黑体"/>
          <w:b/>
          <w:sz w:val="28"/>
          <w:szCs w:val="22"/>
        </w:rPr>
      </w:pPr>
      <w:r>
        <w:rPr>
          <w:rFonts w:hint="eastAsia" w:ascii="Calibri" w:hAnsi="Calibri" w:eastAsia="黑体" w:cs="黑体"/>
          <w:b/>
          <w:sz w:val="28"/>
          <w:szCs w:val="22"/>
          <w:lang w:bidi="ar"/>
        </w:rPr>
        <w:t>附件</w:t>
      </w:r>
      <w:r>
        <w:rPr>
          <w:rFonts w:ascii="Calibri" w:hAnsi="Calibri" w:eastAsia="黑体" w:cs="Times New Roman"/>
          <w:b/>
          <w:sz w:val="28"/>
          <w:szCs w:val="22"/>
          <w:lang w:bidi="ar"/>
        </w:rPr>
        <w:t>6</w:t>
      </w:r>
    </w:p>
    <w:p>
      <w:pPr>
        <w:jc w:val="center"/>
        <w:rPr>
          <w:rFonts w:eastAsia="黑体"/>
          <w:b/>
          <w:sz w:val="28"/>
          <w:szCs w:val="22"/>
        </w:rPr>
      </w:pPr>
      <w:r>
        <w:rPr>
          <w:rFonts w:hint="eastAsia" w:ascii="Calibri" w:hAnsi="Calibri" w:eastAsia="黑体" w:cs="黑体"/>
          <w:b/>
          <w:sz w:val="28"/>
          <w:szCs w:val="22"/>
          <w:lang w:bidi="ar"/>
        </w:rPr>
        <w:t>商务条款偏离表</w:t>
      </w:r>
    </w:p>
    <w:p>
      <w:pPr>
        <w:rPr>
          <w:rFonts w:eastAsia="黑体"/>
          <w:b/>
          <w:sz w:val="22"/>
          <w:szCs w:val="22"/>
        </w:rPr>
      </w:pP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序号</w:t>
            </w:r>
          </w:p>
        </w:tc>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招标文件条款</w:t>
            </w:r>
          </w:p>
        </w:tc>
        <w:tc>
          <w:tcPr>
            <w:tcW w:w="3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bl>
    <w:p>
      <w:pPr>
        <w:rPr>
          <w:rFonts w:ascii="宋体" w:hAnsi="宋体" w:eastAsia="宋体" w:cs="宋体"/>
          <w:sz w:val="24"/>
          <w:szCs w:val="22"/>
        </w:rPr>
      </w:pPr>
      <w:r>
        <w:rPr>
          <w:rFonts w:hint="eastAsia" w:ascii="宋体" w:hAnsi="宋体" w:eastAsia="宋体" w:cs="宋体"/>
          <w:sz w:val="24"/>
          <w:szCs w:val="22"/>
          <w:lang w:bidi="ar"/>
        </w:rPr>
        <w:t>投标人名称：                   投标人代表签字：            日期：</w:t>
      </w:r>
    </w:p>
    <w:p>
      <w:pPr>
        <w:rPr>
          <w:rFonts w:ascii="宋体" w:hAnsi="宋体" w:eastAsia="宋体" w:cs="宋体"/>
          <w:sz w:val="24"/>
          <w:szCs w:val="22"/>
        </w:rPr>
      </w:pPr>
      <w:r>
        <w:rPr>
          <w:rFonts w:hint="eastAsia" w:ascii="宋体" w:hAnsi="宋体" w:eastAsia="宋体" w:cs="宋体"/>
          <w:sz w:val="24"/>
          <w:szCs w:val="22"/>
          <w:lang w:bidi="ar"/>
        </w:rPr>
        <w:t>注：为避免歧义，无偏离也应要提报该表，并注明“无”字。如无该表则即使在其它部分已反映，将也被视为“无偏离”。</w:t>
      </w:r>
    </w:p>
    <w:p>
      <w:pPr>
        <w:rPr>
          <w:rFonts w:ascii="宋体" w:hAnsi="宋体" w:eastAsia="宋体" w:cs="宋体"/>
          <w:sz w:val="24"/>
          <w:szCs w:val="22"/>
        </w:rPr>
      </w:pPr>
    </w:p>
    <w:p>
      <w:pPr>
        <w:rPr>
          <w:rFonts w:ascii="Calibri" w:hAnsi="Calibri" w:eastAsia="黑体" w:cs="黑体"/>
          <w:b/>
          <w:sz w:val="28"/>
          <w:szCs w:val="22"/>
          <w:lang w:bidi="ar"/>
        </w:rPr>
      </w:pPr>
    </w:p>
    <w:p>
      <w:pPr>
        <w:rPr>
          <w:rFonts w:eastAsia="黑体"/>
          <w:b/>
          <w:sz w:val="28"/>
          <w:szCs w:val="22"/>
        </w:rPr>
      </w:pPr>
      <w:r>
        <w:rPr>
          <w:rFonts w:hint="eastAsia" w:ascii="Calibri" w:hAnsi="Calibri" w:eastAsia="黑体" w:cs="黑体"/>
          <w:b/>
          <w:sz w:val="28"/>
          <w:szCs w:val="22"/>
          <w:lang w:bidi="ar"/>
        </w:rPr>
        <w:t>附件</w:t>
      </w:r>
      <w:r>
        <w:rPr>
          <w:rFonts w:ascii="Calibri" w:hAnsi="Calibri" w:eastAsia="黑体" w:cs="Times New Roman"/>
          <w:b/>
          <w:sz w:val="28"/>
          <w:szCs w:val="22"/>
          <w:lang w:bidi="ar"/>
        </w:rPr>
        <w:t>7</w:t>
      </w:r>
    </w:p>
    <w:p>
      <w:pPr>
        <w:jc w:val="center"/>
        <w:rPr>
          <w:rFonts w:eastAsia="黑体"/>
          <w:b/>
          <w:sz w:val="28"/>
          <w:szCs w:val="22"/>
        </w:rPr>
      </w:pPr>
      <w:r>
        <w:rPr>
          <w:rFonts w:hint="eastAsia" w:ascii="Calibri" w:hAnsi="Calibri" w:eastAsia="黑体" w:cs="黑体"/>
          <w:b/>
          <w:sz w:val="28"/>
          <w:szCs w:val="22"/>
          <w:lang w:bidi="ar"/>
        </w:rPr>
        <w:t>技术规格、参数偏离表</w:t>
      </w:r>
    </w:p>
    <w:p>
      <w:pPr>
        <w:rPr>
          <w:rFonts w:ascii="宋体" w:hAnsi="宋体" w:eastAsia="宋体" w:cs="宋体"/>
          <w:sz w:val="24"/>
          <w:szCs w:val="22"/>
        </w:rPr>
      </w:pP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条款号</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lang w:bidi="ar"/>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bl>
    <w:p>
      <w:pPr>
        <w:rPr>
          <w:sz w:val="24"/>
        </w:rPr>
      </w:pPr>
      <w:r>
        <w:rPr>
          <w:rFonts w:hint="eastAsia" w:ascii="Calibri" w:hAnsi="Calibri" w:eastAsia="宋体" w:cs="宋体"/>
          <w:sz w:val="24"/>
          <w:lang w:bidi="ar"/>
        </w:rPr>
        <w:t>投标人名称：</w:t>
      </w:r>
      <w:r>
        <w:rPr>
          <w:rFonts w:ascii="Calibri" w:hAnsi="Calibri" w:eastAsia="宋体" w:cs="Times New Roman"/>
          <w:sz w:val="24"/>
          <w:lang w:bidi="ar"/>
        </w:rPr>
        <w:t xml:space="preserve">                   </w:t>
      </w:r>
      <w:r>
        <w:rPr>
          <w:rFonts w:hint="eastAsia" w:ascii="Calibri" w:hAnsi="Calibri" w:eastAsia="宋体" w:cs="宋体"/>
          <w:sz w:val="24"/>
          <w:lang w:bidi="ar"/>
        </w:rPr>
        <w:t>投标人代表签字：</w:t>
      </w:r>
      <w:r>
        <w:rPr>
          <w:rFonts w:ascii="Calibri" w:hAnsi="Calibri" w:eastAsia="宋体" w:cs="Times New Roman"/>
          <w:sz w:val="24"/>
          <w:lang w:bidi="ar"/>
        </w:rPr>
        <w:t xml:space="preserve">            </w:t>
      </w:r>
      <w:r>
        <w:rPr>
          <w:rFonts w:hint="eastAsia" w:ascii="Calibri" w:hAnsi="Calibri" w:eastAsia="宋体" w:cs="宋体"/>
          <w:sz w:val="24"/>
          <w:lang w:bidi="ar"/>
        </w:rPr>
        <w:t>日期：</w:t>
      </w:r>
    </w:p>
    <w:p>
      <w:pPr>
        <w:rPr>
          <w:sz w:val="24"/>
        </w:rPr>
      </w:pPr>
      <w:r>
        <w:rPr>
          <w:rFonts w:hint="eastAsia" w:ascii="Calibri" w:hAnsi="Calibri" w:eastAsia="宋体" w:cs="宋体"/>
          <w:sz w:val="24"/>
          <w:lang w:bidi="ar"/>
        </w:rPr>
        <w:t>注：为避免歧义，无偏离也应要提报该表，并注明“无”字。如无该表则即使在其它部分已反映，将也被视为“无偏离”。</w:t>
      </w:r>
    </w:p>
    <w:p>
      <w:pPr>
        <w:rPr>
          <w:rFonts w:ascii="宋体" w:hAnsi="宋体" w:eastAsia="宋体" w:cs="宋体"/>
          <w:sz w:val="24"/>
          <w:szCs w:val="22"/>
        </w:rPr>
      </w:pPr>
    </w:p>
    <w:p>
      <w:pPr>
        <w:pStyle w:val="10"/>
        <w:widowControl/>
        <w:spacing w:line="360" w:lineRule="auto"/>
        <w:ind w:left="820" w:hanging="400"/>
        <w:jc w:val="center"/>
        <w:rPr>
          <w:rFonts w:hint="default"/>
        </w:rPr>
      </w:pPr>
    </w:p>
    <w:p>
      <w:pPr>
        <w:rPr>
          <w:rFonts w:eastAsia="黑体"/>
          <w:b/>
          <w:sz w:val="28"/>
          <w:szCs w:val="22"/>
        </w:rPr>
      </w:pPr>
      <w:r>
        <w:rPr>
          <w:rFonts w:hint="eastAsia" w:ascii="Calibri" w:hAnsi="Calibri" w:eastAsia="黑体" w:cs="黑体"/>
          <w:b/>
          <w:sz w:val="28"/>
          <w:szCs w:val="22"/>
          <w:lang w:bidi="ar"/>
        </w:rPr>
        <w:t>附件</w:t>
      </w:r>
      <w:r>
        <w:rPr>
          <w:rFonts w:ascii="Calibri" w:hAnsi="Calibri" w:eastAsia="黑体" w:cs="Times New Roman"/>
          <w:b/>
          <w:sz w:val="28"/>
          <w:szCs w:val="22"/>
          <w:lang w:bidi="ar"/>
        </w:rPr>
        <w:t>8</w:t>
      </w:r>
    </w:p>
    <w:p>
      <w:pPr>
        <w:jc w:val="center"/>
        <w:rPr>
          <w:rFonts w:eastAsia="黑体"/>
          <w:b/>
          <w:sz w:val="28"/>
          <w:szCs w:val="22"/>
        </w:rPr>
      </w:pPr>
      <w:r>
        <w:rPr>
          <w:rFonts w:hint="eastAsia" w:ascii="Calibri" w:hAnsi="Calibri" w:eastAsia="黑体" w:cs="黑体"/>
          <w:b/>
          <w:sz w:val="28"/>
          <w:szCs w:val="22"/>
          <w:lang w:bidi="ar"/>
        </w:rPr>
        <w:t>服务方案</w:t>
      </w:r>
    </w:p>
    <w:p>
      <w:pPr>
        <w:spacing w:line="360" w:lineRule="auto"/>
        <w:ind w:firstLine="480" w:firstLineChars="200"/>
        <w:rPr>
          <w:rFonts w:ascii="宋体" w:hAnsi="宋体" w:eastAsia="宋体" w:cs="宋体"/>
          <w:sz w:val="24"/>
          <w:szCs w:val="22"/>
        </w:rPr>
      </w:pPr>
    </w:p>
    <w:p>
      <w:pPr>
        <w:spacing w:line="360" w:lineRule="auto"/>
        <w:ind w:firstLine="480" w:firstLineChars="200"/>
        <w:rPr>
          <w:rFonts w:ascii="宋体" w:hAnsi="宋体" w:eastAsia="宋体" w:cs="宋体"/>
          <w:color w:val="000000"/>
          <w:kern w:val="0"/>
          <w:sz w:val="24"/>
          <w:szCs w:val="22"/>
          <w:lang w:val="zh-CN"/>
        </w:rPr>
      </w:pPr>
      <w:r>
        <w:rPr>
          <w:rFonts w:hint="eastAsia" w:ascii="宋体" w:hAnsi="宋体" w:eastAsia="宋体" w:cs="宋体"/>
          <w:color w:val="000000"/>
          <w:kern w:val="0"/>
          <w:sz w:val="24"/>
          <w:szCs w:val="22"/>
          <w:lang w:val="zh-CN" w:bidi="ar"/>
        </w:rPr>
        <w:t>1、招标文件技术规范书要求</w:t>
      </w:r>
      <w:r>
        <w:rPr>
          <w:rFonts w:hint="eastAsia" w:ascii="宋体" w:hAnsi="宋体" w:eastAsia="宋体" w:cs="宋体"/>
          <w:color w:val="000000"/>
          <w:kern w:val="0"/>
          <w:sz w:val="24"/>
          <w:szCs w:val="22"/>
          <w:lang w:bidi="ar"/>
        </w:rPr>
        <w:t>完善服务</w:t>
      </w:r>
      <w:r>
        <w:rPr>
          <w:rFonts w:hint="eastAsia" w:ascii="宋体" w:hAnsi="宋体" w:eastAsia="宋体" w:cs="宋体"/>
          <w:color w:val="000000"/>
          <w:kern w:val="0"/>
          <w:sz w:val="24"/>
          <w:szCs w:val="22"/>
          <w:lang w:val="zh-CN" w:bidi="ar"/>
        </w:rPr>
        <w:t>方案，包括</w:t>
      </w:r>
      <w:r>
        <w:rPr>
          <w:rFonts w:hint="eastAsia" w:ascii="宋体" w:hAnsi="宋体" w:eastAsia="宋体" w:cs="宋体"/>
          <w:color w:val="000000"/>
          <w:kern w:val="0"/>
          <w:sz w:val="24"/>
          <w:szCs w:val="22"/>
          <w:lang w:bidi="ar"/>
        </w:rPr>
        <w:t>整体运维方案</w:t>
      </w:r>
      <w:r>
        <w:rPr>
          <w:rFonts w:hint="eastAsia" w:ascii="宋体" w:hAnsi="宋体" w:eastAsia="宋体" w:cs="宋体"/>
          <w:color w:val="000000"/>
          <w:kern w:val="0"/>
          <w:sz w:val="24"/>
          <w:szCs w:val="22"/>
          <w:lang w:val="zh-CN" w:bidi="ar"/>
        </w:rPr>
        <w:t>等。</w:t>
      </w:r>
    </w:p>
    <w:p>
      <w:pPr>
        <w:spacing w:line="360" w:lineRule="auto"/>
        <w:ind w:firstLine="480" w:firstLineChars="200"/>
        <w:rPr>
          <w:rFonts w:ascii="宋体" w:hAnsi="宋体" w:eastAsia="宋体" w:cs="宋体"/>
          <w:sz w:val="24"/>
          <w:szCs w:val="22"/>
        </w:rPr>
      </w:pPr>
      <w:r>
        <w:rPr>
          <w:rFonts w:hint="eastAsia" w:ascii="宋体" w:hAnsi="宋体" w:eastAsia="宋体" w:cs="宋体"/>
          <w:color w:val="000000"/>
          <w:kern w:val="0"/>
          <w:sz w:val="24"/>
          <w:szCs w:val="22"/>
          <w:lang w:bidi="ar"/>
        </w:rPr>
        <w:t>2、</w:t>
      </w:r>
      <w:r>
        <w:rPr>
          <w:rFonts w:hint="eastAsia" w:ascii="宋体" w:hAnsi="宋体" w:eastAsia="宋体" w:cs="宋体"/>
          <w:color w:val="000000"/>
          <w:kern w:val="0"/>
          <w:sz w:val="24"/>
          <w:szCs w:val="22"/>
          <w:lang w:val="zh-CN" w:bidi="ar"/>
        </w:rPr>
        <w:t>实施方案不提供，按无效投标处理。</w:t>
      </w: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sz w:val="24"/>
          <w:szCs w:val="22"/>
        </w:rPr>
      </w:pPr>
      <w:r>
        <w:rPr>
          <w:rFonts w:hint="eastAsia" w:ascii="宋体" w:hAnsi="宋体" w:eastAsia="宋体" w:cs="宋体"/>
          <w:sz w:val="24"/>
          <w:szCs w:val="22"/>
          <w:lang w:bidi="ar"/>
        </w:rPr>
        <w:t>注：投标人应根据上述内容、要求自行编制</w:t>
      </w:r>
    </w:p>
    <w:p>
      <w:pPr>
        <w:ind w:left="900"/>
        <w:rPr>
          <w:rFonts w:ascii="宋体" w:hAnsi="宋体" w:eastAsia="宋体" w:cs="宋体"/>
          <w:sz w:val="24"/>
          <w:szCs w:val="22"/>
        </w:rPr>
      </w:pPr>
    </w:p>
    <w:p>
      <w:pPr>
        <w:ind w:left="900"/>
        <w:rPr>
          <w:rFonts w:ascii="宋体" w:hAnsi="宋体"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rPr>
          <w:rFonts w:ascii="Calibri" w:hAnsi="Calibri" w:eastAsia="黑体" w:cs="黑体"/>
          <w:b/>
          <w:sz w:val="28"/>
          <w:szCs w:val="22"/>
          <w:lang w:bidi="ar"/>
        </w:rPr>
      </w:pPr>
    </w:p>
    <w:p>
      <w:pPr>
        <w:rPr>
          <w:rFonts w:eastAsia="黑体"/>
          <w:b/>
          <w:sz w:val="28"/>
          <w:szCs w:val="22"/>
        </w:rPr>
      </w:pPr>
      <w:r>
        <w:rPr>
          <w:rFonts w:hint="eastAsia" w:ascii="Calibri" w:hAnsi="Calibri" w:eastAsia="黑体" w:cs="黑体"/>
          <w:b/>
          <w:sz w:val="28"/>
          <w:szCs w:val="22"/>
          <w:lang w:bidi="ar"/>
        </w:rPr>
        <w:t>附件</w:t>
      </w:r>
      <w:r>
        <w:rPr>
          <w:rFonts w:ascii="Calibri" w:hAnsi="Calibri" w:eastAsia="黑体" w:cs="Times New Roman"/>
          <w:b/>
          <w:sz w:val="28"/>
          <w:szCs w:val="22"/>
          <w:lang w:bidi="ar"/>
        </w:rPr>
        <w:t>9</w:t>
      </w:r>
    </w:p>
    <w:p>
      <w:pPr>
        <w:jc w:val="center"/>
        <w:rPr>
          <w:rFonts w:eastAsia="黑体"/>
          <w:b/>
          <w:sz w:val="28"/>
          <w:szCs w:val="22"/>
        </w:rPr>
      </w:pPr>
      <w:r>
        <w:rPr>
          <w:rFonts w:ascii="Calibri" w:hAnsi="Calibri" w:eastAsia="黑体" w:cs="Times New Roman"/>
          <w:b/>
          <w:sz w:val="28"/>
          <w:szCs w:val="22"/>
          <w:lang w:bidi="ar"/>
        </w:rPr>
        <w:t xml:space="preserve">  </w:t>
      </w:r>
      <w:r>
        <w:rPr>
          <w:rFonts w:hint="eastAsia" w:ascii="Calibri" w:hAnsi="Calibri" w:eastAsia="黑体" w:cs="黑体"/>
          <w:b/>
          <w:sz w:val="28"/>
          <w:szCs w:val="22"/>
          <w:lang w:bidi="ar"/>
        </w:rPr>
        <w:t>投标报名表</w:t>
      </w:r>
    </w:p>
    <w:p>
      <w:pPr>
        <w:ind w:firstLine="120" w:firstLineChars="50"/>
        <w:rPr>
          <w:sz w:val="24"/>
          <w:szCs w:val="22"/>
        </w:rPr>
      </w:pPr>
      <w:r>
        <w:rPr>
          <w:rFonts w:hint="eastAsia" w:ascii="Calibri" w:hAnsi="Calibri" w:eastAsia="宋体" w:cs="宋体"/>
          <w:sz w:val="24"/>
          <w:szCs w:val="22"/>
          <w:lang w:bidi="ar"/>
        </w:rPr>
        <w:t>公章：</w:t>
      </w:r>
    </w:p>
    <w:tbl>
      <w:tblPr>
        <w:tblStyle w:val="1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项目名称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center"/>
              <w:rPr>
                <w:rFonts w:ascii="宋体" w:hAnsi="Courier New"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投标单位</w:t>
            </w:r>
          </w:p>
          <w:p>
            <w:pPr>
              <w:jc w:val="center"/>
              <w:rPr>
                <w:sz w:val="24"/>
                <w:szCs w:val="22"/>
              </w:rPr>
            </w:pPr>
            <w:r>
              <w:rPr>
                <w:rFonts w:hint="eastAsia" w:ascii="Calibri" w:hAnsi="Calibri" w:eastAsia="宋体" w:cs="宋体"/>
                <w:sz w:val="24"/>
                <w:szCs w:val="22"/>
                <w:lang w:bidi="ar"/>
              </w:rPr>
              <w:t>（全称）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投标内容</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项目负责人</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公司电话</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p>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ascii="Calibri" w:hAnsi="Calibri" w:eastAsia="宋体" w:cs="Times New Roman"/>
                <w:sz w:val="24"/>
                <w:szCs w:val="22"/>
                <w:lang w:bidi="ar"/>
              </w:rPr>
              <w:t>E-mail</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报名时间</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lang w:bidi="ar"/>
              </w:rPr>
              <w:t>年</w:t>
            </w:r>
            <w:r>
              <w:rPr>
                <w:rFonts w:ascii="Calibri" w:hAnsi="Calibri" w:eastAsia="宋体" w:cs="Times New Roman"/>
                <w:sz w:val="24"/>
                <w:szCs w:val="22"/>
                <w:lang w:bidi="ar"/>
              </w:rPr>
              <w:t xml:space="preserve">    </w:t>
            </w:r>
            <w:r>
              <w:rPr>
                <w:rFonts w:hint="eastAsia" w:ascii="Calibri" w:hAnsi="Calibri" w:eastAsia="宋体" w:cs="宋体"/>
                <w:sz w:val="24"/>
                <w:szCs w:val="22"/>
                <w:lang w:bidi="ar"/>
              </w:rPr>
              <w:t>月</w:t>
            </w:r>
            <w:r>
              <w:rPr>
                <w:rFonts w:ascii="Calibri" w:hAnsi="Calibri" w:eastAsia="宋体" w:cs="Times New Roman"/>
                <w:sz w:val="24"/>
                <w:szCs w:val="22"/>
                <w:lang w:bidi="ar"/>
              </w:rPr>
              <w:t xml:space="preserve">    </w:t>
            </w:r>
            <w:r>
              <w:rPr>
                <w:rFonts w:hint="eastAsia" w:ascii="Calibri" w:hAnsi="Calibri" w:eastAsia="宋体" w:cs="宋体"/>
                <w:sz w:val="24"/>
                <w:szCs w:val="22"/>
                <w:lang w:bidi="ar"/>
              </w:rPr>
              <w:t>日</w:t>
            </w:r>
          </w:p>
        </w:tc>
      </w:tr>
    </w:tbl>
    <w:p>
      <w:pPr>
        <w:ind w:left="470" w:right="69" w:rightChars="33" w:hanging="470" w:hangingChars="196"/>
        <w:rPr>
          <w:rFonts w:ascii="宋体" w:hAnsi="宋体" w:eastAsia="宋体" w:cs="宋体"/>
          <w:sz w:val="24"/>
          <w:szCs w:val="22"/>
        </w:rPr>
      </w:pPr>
      <w:r>
        <w:rPr>
          <w:rFonts w:hint="eastAsia" w:ascii="宋体" w:hAnsi="宋体" w:eastAsia="宋体" w:cs="宋体"/>
          <w:sz w:val="24"/>
          <w:szCs w:val="22"/>
          <w:lang w:bidi="ar"/>
        </w:rPr>
        <w:t>注：请投标单位认真填写并加盖公章，并于规定时间前回传邮箱并打电话确认</w:t>
      </w:r>
    </w:p>
    <w:p>
      <w:pPr>
        <w:ind w:left="470" w:right="69" w:rightChars="33" w:hanging="470" w:hangingChars="196"/>
        <w:rPr>
          <w:rFonts w:ascii="宋体" w:hAnsi="宋体" w:eastAsia="宋体" w:cs="宋体"/>
          <w:sz w:val="24"/>
          <w:szCs w:val="22"/>
        </w:rPr>
      </w:pPr>
      <w:r>
        <w:rPr>
          <w:rFonts w:hint="eastAsia" w:ascii="宋体" w:hAnsi="宋体" w:eastAsia="宋体" w:cs="宋体"/>
          <w:sz w:val="24"/>
          <w:szCs w:val="22"/>
          <w:lang w:bidi="ar"/>
        </w:rPr>
        <w:t>15562567081 林海峰 。</w:t>
      </w:r>
    </w:p>
    <w:p/>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9FCC"/>
    <w:multiLevelType w:val="singleLevel"/>
    <w:tmpl w:val="803F9FCC"/>
    <w:lvl w:ilvl="0" w:tentative="0">
      <w:start w:val="1"/>
      <w:numFmt w:val="decimal"/>
      <w:suff w:val="space"/>
      <w:lvlText w:val="%1."/>
      <w:lvlJc w:val="left"/>
    </w:lvl>
  </w:abstractNum>
  <w:abstractNum w:abstractNumId="1">
    <w:nsid w:val="8CC61C38"/>
    <w:multiLevelType w:val="multilevel"/>
    <w:tmpl w:val="8CC61C38"/>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B913768"/>
    <w:multiLevelType w:val="singleLevel"/>
    <w:tmpl w:val="9B913768"/>
    <w:lvl w:ilvl="0" w:tentative="0">
      <w:start w:val="1"/>
      <w:numFmt w:val="decimal"/>
      <w:lvlText w:val="%1)"/>
      <w:lvlJc w:val="left"/>
      <w:pPr>
        <w:ind w:left="425" w:hanging="425"/>
      </w:pPr>
      <w:rPr>
        <w:rFonts w:hint="default"/>
      </w:rPr>
    </w:lvl>
  </w:abstractNum>
  <w:abstractNum w:abstractNumId="3">
    <w:nsid w:val="9BB75771"/>
    <w:multiLevelType w:val="singleLevel"/>
    <w:tmpl w:val="9BB75771"/>
    <w:lvl w:ilvl="0" w:tentative="0">
      <w:start w:val="1"/>
      <w:numFmt w:val="decimal"/>
      <w:lvlText w:val="%1)"/>
      <w:lvlJc w:val="left"/>
      <w:pPr>
        <w:ind w:left="425" w:hanging="425"/>
      </w:pPr>
      <w:rPr>
        <w:rFonts w:hint="default"/>
      </w:rPr>
    </w:lvl>
  </w:abstractNum>
  <w:abstractNum w:abstractNumId="4">
    <w:nsid w:val="A07C62AE"/>
    <w:multiLevelType w:val="singleLevel"/>
    <w:tmpl w:val="A07C62AE"/>
    <w:lvl w:ilvl="0" w:tentative="0">
      <w:start w:val="1"/>
      <w:numFmt w:val="decimal"/>
      <w:lvlText w:val="%1)"/>
      <w:lvlJc w:val="left"/>
      <w:pPr>
        <w:ind w:left="425" w:hanging="425"/>
      </w:pPr>
      <w:rPr>
        <w:rFonts w:hint="default"/>
      </w:rPr>
    </w:lvl>
  </w:abstractNum>
  <w:abstractNum w:abstractNumId="5">
    <w:nsid w:val="A5DE3FCB"/>
    <w:multiLevelType w:val="singleLevel"/>
    <w:tmpl w:val="A5DE3FCB"/>
    <w:lvl w:ilvl="0" w:tentative="0">
      <w:start w:val="1"/>
      <w:numFmt w:val="decimal"/>
      <w:lvlText w:val="%1)"/>
      <w:lvlJc w:val="left"/>
      <w:pPr>
        <w:ind w:left="425" w:hanging="425"/>
      </w:pPr>
      <w:rPr>
        <w:rFonts w:hint="default"/>
      </w:rPr>
    </w:lvl>
  </w:abstractNum>
  <w:abstractNum w:abstractNumId="6">
    <w:nsid w:val="A8BEA9BF"/>
    <w:multiLevelType w:val="singleLevel"/>
    <w:tmpl w:val="A8BEA9BF"/>
    <w:lvl w:ilvl="0" w:tentative="0">
      <w:start w:val="1"/>
      <w:numFmt w:val="decimal"/>
      <w:suff w:val="nothing"/>
      <w:lvlText w:val="（%1）"/>
      <w:lvlJc w:val="left"/>
    </w:lvl>
  </w:abstractNum>
  <w:abstractNum w:abstractNumId="7">
    <w:nsid w:val="B3EC2956"/>
    <w:multiLevelType w:val="singleLevel"/>
    <w:tmpl w:val="B3EC2956"/>
    <w:lvl w:ilvl="0" w:tentative="0">
      <w:start w:val="1"/>
      <w:numFmt w:val="decimal"/>
      <w:lvlText w:val="%1)"/>
      <w:lvlJc w:val="left"/>
      <w:pPr>
        <w:ind w:left="425" w:hanging="425"/>
      </w:pPr>
      <w:rPr>
        <w:rFonts w:hint="default"/>
      </w:rPr>
    </w:lvl>
  </w:abstractNum>
  <w:abstractNum w:abstractNumId="8">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BA31C918"/>
    <w:multiLevelType w:val="singleLevel"/>
    <w:tmpl w:val="BA31C918"/>
    <w:lvl w:ilvl="0" w:tentative="0">
      <w:start w:val="1"/>
      <w:numFmt w:val="decimal"/>
      <w:lvlText w:val="%1."/>
      <w:lvlJc w:val="left"/>
      <w:pPr>
        <w:ind w:left="425" w:hanging="425"/>
      </w:pPr>
      <w:rPr>
        <w:rFonts w:hint="default"/>
      </w:rPr>
    </w:lvl>
  </w:abstractNum>
  <w:abstractNum w:abstractNumId="10">
    <w:nsid w:val="C8B418CC"/>
    <w:multiLevelType w:val="singleLevel"/>
    <w:tmpl w:val="C8B418CC"/>
    <w:lvl w:ilvl="0" w:tentative="0">
      <w:start w:val="1"/>
      <w:numFmt w:val="decimal"/>
      <w:lvlText w:val="%1)"/>
      <w:lvlJc w:val="left"/>
      <w:pPr>
        <w:ind w:left="425" w:hanging="425"/>
      </w:pPr>
      <w:rPr>
        <w:rFonts w:hint="default"/>
      </w:rPr>
    </w:lvl>
  </w:abstractNum>
  <w:abstractNum w:abstractNumId="11">
    <w:nsid w:val="CF4C6739"/>
    <w:multiLevelType w:val="singleLevel"/>
    <w:tmpl w:val="CF4C6739"/>
    <w:lvl w:ilvl="0" w:tentative="0">
      <w:start w:val="3"/>
      <w:numFmt w:val="decimal"/>
      <w:suff w:val="nothing"/>
      <w:lvlText w:val="%1、"/>
      <w:lvlJc w:val="left"/>
    </w:lvl>
  </w:abstractNum>
  <w:abstractNum w:abstractNumId="12">
    <w:nsid w:val="E8DAF561"/>
    <w:multiLevelType w:val="singleLevel"/>
    <w:tmpl w:val="E8DAF561"/>
    <w:lvl w:ilvl="0" w:tentative="0">
      <w:start w:val="1"/>
      <w:numFmt w:val="decimal"/>
      <w:lvlText w:val="%1)"/>
      <w:lvlJc w:val="left"/>
      <w:pPr>
        <w:ind w:left="425" w:hanging="425"/>
      </w:pPr>
      <w:rPr>
        <w:rFonts w:hint="default"/>
      </w:rPr>
    </w:lvl>
  </w:abstractNum>
  <w:abstractNum w:abstractNumId="13">
    <w:nsid w:val="EE8DAF30"/>
    <w:multiLevelType w:val="singleLevel"/>
    <w:tmpl w:val="EE8DAF30"/>
    <w:lvl w:ilvl="0" w:tentative="0">
      <w:start w:val="4"/>
      <w:numFmt w:val="chineseCounting"/>
      <w:suff w:val="nothing"/>
      <w:lvlText w:val="（%1）"/>
      <w:lvlJc w:val="left"/>
      <w:rPr>
        <w:rFonts w:hint="eastAsia"/>
      </w:rPr>
    </w:lvl>
  </w:abstractNum>
  <w:abstractNum w:abstractNumId="14">
    <w:nsid w:val="F173A9D4"/>
    <w:multiLevelType w:val="multilevel"/>
    <w:tmpl w:val="F173A9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3557F80"/>
    <w:multiLevelType w:val="multilevel"/>
    <w:tmpl w:val="03557F8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6">
    <w:nsid w:val="0DEC3EE6"/>
    <w:multiLevelType w:val="multilevel"/>
    <w:tmpl w:val="0DEC3EE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0E313167"/>
    <w:multiLevelType w:val="multilevel"/>
    <w:tmpl w:val="0E313167"/>
    <w:lvl w:ilvl="0" w:tentative="0">
      <w:start w:val="1"/>
      <w:numFmt w:val="decimal"/>
      <w:lvlText w:val="%1)"/>
      <w:lvlJc w:val="left"/>
      <w:pPr>
        <w:ind w:left="855" w:hanging="420"/>
      </w:pPr>
      <w:rPr>
        <w:rFonts w:hint="default"/>
      </w:rPr>
    </w:lvl>
    <w:lvl w:ilvl="1" w:tentative="0">
      <w:start w:val="1"/>
      <w:numFmt w:val="bullet"/>
      <w:lvlText w:val=""/>
      <w:lvlJc w:val="left"/>
      <w:pPr>
        <w:ind w:left="1275" w:hanging="420"/>
      </w:pPr>
      <w:rPr>
        <w:rFonts w:hint="default" w:ascii="Wingdings" w:hAnsi="Wingdings"/>
      </w:rPr>
    </w:lvl>
    <w:lvl w:ilvl="2" w:tentative="0">
      <w:start w:val="1"/>
      <w:numFmt w:val="bullet"/>
      <w:lvlText w:val=""/>
      <w:lvlJc w:val="left"/>
      <w:pPr>
        <w:ind w:left="1695" w:hanging="420"/>
      </w:pPr>
      <w:rPr>
        <w:rFonts w:hint="default" w:ascii="Wingdings" w:hAnsi="Wingdings"/>
      </w:rPr>
    </w:lvl>
    <w:lvl w:ilvl="3" w:tentative="0">
      <w:start w:val="1"/>
      <w:numFmt w:val="bullet"/>
      <w:lvlText w:val=""/>
      <w:lvlJc w:val="left"/>
      <w:pPr>
        <w:ind w:left="2115" w:hanging="420"/>
      </w:pPr>
      <w:rPr>
        <w:rFonts w:hint="default" w:ascii="Wingdings" w:hAnsi="Wingdings"/>
      </w:rPr>
    </w:lvl>
    <w:lvl w:ilvl="4" w:tentative="0">
      <w:start w:val="1"/>
      <w:numFmt w:val="bullet"/>
      <w:lvlText w:val=""/>
      <w:lvlJc w:val="left"/>
      <w:pPr>
        <w:ind w:left="2535" w:hanging="420"/>
      </w:pPr>
      <w:rPr>
        <w:rFonts w:hint="default" w:ascii="Wingdings" w:hAnsi="Wingdings"/>
      </w:rPr>
    </w:lvl>
    <w:lvl w:ilvl="5" w:tentative="0">
      <w:start w:val="1"/>
      <w:numFmt w:val="bullet"/>
      <w:lvlText w:val=""/>
      <w:lvlJc w:val="left"/>
      <w:pPr>
        <w:ind w:left="2955" w:hanging="420"/>
      </w:pPr>
      <w:rPr>
        <w:rFonts w:hint="default" w:ascii="Wingdings" w:hAnsi="Wingdings"/>
      </w:rPr>
    </w:lvl>
    <w:lvl w:ilvl="6" w:tentative="0">
      <w:start w:val="1"/>
      <w:numFmt w:val="bullet"/>
      <w:lvlText w:val=""/>
      <w:lvlJc w:val="left"/>
      <w:pPr>
        <w:ind w:left="3375" w:hanging="420"/>
      </w:pPr>
      <w:rPr>
        <w:rFonts w:hint="default" w:ascii="Wingdings" w:hAnsi="Wingdings"/>
      </w:rPr>
    </w:lvl>
    <w:lvl w:ilvl="7" w:tentative="0">
      <w:start w:val="1"/>
      <w:numFmt w:val="bullet"/>
      <w:lvlText w:val=""/>
      <w:lvlJc w:val="left"/>
      <w:pPr>
        <w:ind w:left="3795" w:hanging="420"/>
      </w:pPr>
      <w:rPr>
        <w:rFonts w:hint="default" w:ascii="Wingdings" w:hAnsi="Wingdings"/>
      </w:rPr>
    </w:lvl>
    <w:lvl w:ilvl="8" w:tentative="0">
      <w:start w:val="1"/>
      <w:numFmt w:val="bullet"/>
      <w:lvlText w:val=""/>
      <w:lvlJc w:val="left"/>
      <w:pPr>
        <w:ind w:left="4215" w:hanging="420"/>
      </w:pPr>
      <w:rPr>
        <w:rFonts w:hint="default" w:ascii="Wingdings" w:hAnsi="Wingdings"/>
      </w:rPr>
    </w:lvl>
  </w:abstractNum>
  <w:abstractNum w:abstractNumId="18">
    <w:nsid w:val="174C04C3"/>
    <w:multiLevelType w:val="multilevel"/>
    <w:tmpl w:val="174C04C3"/>
    <w:lvl w:ilvl="0" w:tentative="0">
      <w:start w:val="1"/>
      <w:numFmt w:val="decimal"/>
      <w:lvlText w:val="%1)"/>
      <w:lvlJc w:val="left"/>
      <w:pPr>
        <w:ind w:left="855" w:hanging="420"/>
      </w:p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9">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20">
    <w:nsid w:val="2C8701D5"/>
    <w:multiLevelType w:val="multilevel"/>
    <w:tmpl w:val="2C8701D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074D717"/>
    <w:multiLevelType w:val="multilevel"/>
    <w:tmpl w:val="3074D717"/>
    <w:lvl w:ilvl="0" w:tentative="0">
      <w:start w:val="1"/>
      <w:numFmt w:val="decimal"/>
      <w:lvlText w:val="（%1）"/>
      <w:lvlJc w:val="left"/>
      <w:pPr>
        <w:tabs>
          <w:tab w:val="left" w:pos="1080"/>
        </w:tabs>
        <w:ind w:left="1080" w:hanging="720"/>
      </w:pPr>
    </w:lvl>
    <w:lvl w:ilvl="1" w:tentative="0">
      <w:start w:val="1"/>
      <w:numFmt w:val="lowerLetter"/>
      <w:lvlText w:val="%2)"/>
      <w:lvlJc w:val="left"/>
      <w:pPr>
        <w:tabs>
          <w:tab w:val="left" w:pos="1260"/>
        </w:tabs>
        <w:ind w:left="1260" w:hanging="420"/>
      </w:pPr>
    </w:lvl>
    <w:lvl w:ilvl="2" w:tentative="0">
      <w:start w:val="1"/>
      <w:numFmt w:val="decimal"/>
      <w:lvlText w:val="%3."/>
      <w:lvlJc w:val="left"/>
      <w:pPr>
        <w:tabs>
          <w:tab w:val="left" w:pos="2160"/>
        </w:tabs>
        <w:ind w:left="0" w:hanging="360"/>
      </w:pPr>
    </w:lvl>
    <w:lvl w:ilvl="3" w:tentative="0">
      <w:start w:val="1"/>
      <w:numFmt w:val="decimal"/>
      <w:lvlText w:val="%4."/>
      <w:lvlJc w:val="left"/>
      <w:pPr>
        <w:tabs>
          <w:tab w:val="left" w:pos="2880"/>
        </w:tabs>
        <w:ind w:left="0" w:hanging="360"/>
      </w:pPr>
    </w:lvl>
    <w:lvl w:ilvl="4" w:tentative="0">
      <w:start w:val="1"/>
      <w:numFmt w:val="decimal"/>
      <w:lvlText w:val="%5."/>
      <w:lvlJc w:val="left"/>
      <w:pPr>
        <w:tabs>
          <w:tab w:val="left" w:pos="3600"/>
        </w:tabs>
        <w:ind w:left="0" w:hanging="360"/>
      </w:pPr>
    </w:lvl>
    <w:lvl w:ilvl="5" w:tentative="0">
      <w:start w:val="1"/>
      <w:numFmt w:val="decimal"/>
      <w:lvlText w:val="%6."/>
      <w:lvlJc w:val="left"/>
      <w:pPr>
        <w:tabs>
          <w:tab w:val="left" w:pos="4320"/>
        </w:tabs>
        <w:ind w:left="0" w:hanging="360"/>
      </w:pPr>
    </w:lvl>
    <w:lvl w:ilvl="6" w:tentative="0">
      <w:start w:val="1"/>
      <w:numFmt w:val="decimal"/>
      <w:lvlText w:val="%7."/>
      <w:lvlJc w:val="left"/>
      <w:pPr>
        <w:tabs>
          <w:tab w:val="left" w:pos="5040"/>
        </w:tabs>
        <w:ind w:left="0" w:hanging="360"/>
      </w:pPr>
    </w:lvl>
    <w:lvl w:ilvl="7" w:tentative="0">
      <w:start w:val="1"/>
      <w:numFmt w:val="decimal"/>
      <w:lvlText w:val="%8."/>
      <w:lvlJc w:val="left"/>
      <w:pPr>
        <w:tabs>
          <w:tab w:val="left" w:pos="5760"/>
        </w:tabs>
        <w:ind w:left="0" w:hanging="360"/>
      </w:pPr>
    </w:lvl>
    <w:lvl w:ilvl="8" w:tentative="0">
      <w:start w:val="1"/>
      <w:numFmt w:val="decimal"/>
      <w:lvlText w:val="%9."/>
      <w:lvlJc w:val="left"/>
      <w:pPr>
        <w:tabs>
          <w:tab w:val="left" w:pos="6480"/>
        </w:tabs>
        <w:ind w:left="0" w:hanging="360"/>
      </w:pPr>
    </w:lvl>
  </w:abstractNum>
  <w:abstractNum w:abstractNumId="22">
    <w:nsid w:val="43CC19DA"/>
    <w:multiLevelType w:val="multilevel"/>
    <w:tmpl w:val="43CC19DA"/>
    <w:lvl w:ilvl="0" w:tentative="0">
      <w:start w:val="1"/>
      <w:numFmt w:val="decimal"/>
      <w:lvlText w:val="%1."/>
      <w:lvlJc w:val="left"/>
      <w:pPr>
        <w:ind w:left="420" w:hanging="420"/>
      </w:pPr>
    </w:lvl>
    <w:lvl w:ilvl="1" w:tentative="0">
      <w:start w:val="1"/>
      <w:numFmt w:val="decimal"/>
      <w:isLgl/>
      <w:lvlText w:val="%1.%2"/>
      <w:lvlJc w:val="left"/>
      <w:pPr>
        <w:ind w:left="541" w:hanging="360"/>
      </w:pPr>
      <w:rPr>
        <w:rFonts w:hint="default" w:ascii="宋体" w:hAnsi="宋体" w:eastAsia="宋体"/>
        <w:b/>
      </w:rPr>
    </w:lvl>
    <w:lvl w:ilvl="2" w:tentative="0">
      <w:start w:val="1"/>
      <w:numFmt w:val="decimal"/>
      <w:isLgl/>
      <w:lvlText w:val="%1.%2.%3"/>
      <w:lvlJc w:val="left"/>
      <w:pPr>
        <w:ind w:left="1082" w:hanging="720"/>
      </w:pPr>
      <w:rPr>
        <w:rFonts w:hint="default" w:ascii="宋体" w:hAnsi="宋体" w:eastAsia="宋体"/>
        <w:b/>
      </w:rPr>
    </w:lvl>
    <w:lvl w:ilvl="3" w:tentative="0">
      <w:start w:val="1"/>
      <w:numFmt w:val="bullet"/>
      <w:lvlText w:val=""/>
      <w:lvlJc w:val="left"/>
      <w:pPr>
        <w:ind w:left="1263" w:hanging="720"/>
      </w:pPr>
      <w:rPr>
        <w:rFonts w:hint="default" w:ascii="Wingdings" w:hAnsi="Wingdings"/>
      </w:rPr>
    </w:lvl>
    <w:lvl w:ilvl="4" w:tentative="0">
      <w:start w:val="1"/>
      <w:numFmt w:val="decimal"/>
      <w:isLgl/>
      <w:lvlText w:val="%1.%2.%3.%4.%5"/>
      <w:lvlJc w:val="left"/>
      <w:pPr>
        <w:ind w:left="1804" w:hanging="1080"/>
      </w:pPr>
      <w:rPr>
        <w:rFonts w:hint="default"/>
      </w:rPr>
    </w:lvl>
    <w:lvl w:ilvl="5" w:tentative="0">
      <w:start w:val="1"/>
      <w:numFmt w:val="decimal"/>
      <w:isLgl/>
      <w:lvlText w:val="%1.%2.%3.%4.%5.%6"/>
      <w:lvlJc w:val="left"/>
      <w:pPr>
        <w:ind w:left="1985" w:hanging="1080"/>
      </w:pPr>
      <w:rPr>
        <w:rFonts w:hint="default"/>
      </w:rPr>
    </w:lvl>
    <w:lvl w:ilvl="6" w:tentative="0">
      <w:start w:val="1"/>
      <w:numFmt w:val="decimal"/>
      <w:isLgl/>
      <w:lvlText w:val="%1.%2.%3.%4.%5.%6.%7"/>
      <w:lvlJc w:val="left"/>
      <w:pPr>
        <w:ind w:left="2526" w:hanging="1440"/>
      </w:pPr>
      <w:rPr>
        <w:rFonts w:hint="default"/>
      </w:rPr>
    </w:lvl>
    <w:lvl w:ilvl="7" w:tentative="0">
      <w:start w:val="1"/>
      <w:numFmt w:val="decimal"/>
      <w:isLgl/>
      <w:lvlText w:val="%1.%2.%3.%4.%5.%6.%7.%8"/>
      <w:lvlJc w:val="left"/>
      <w:pPr>
        <w:ind w:left="2707" w:hanging="1440"/>
      </w:pPr>
      <w:rPr>
        <w:rFonts w:hint="default"/>
      </w:rPr>
    </w:lvl>
    <w:lvl w:ilvl="8" w:tentative="0">
      <w:start w:val="1"/>
      <w:numFmt w:val="decimal"/>
      <w:isLgl/>
      <w:lvlText w:val="%1.%2.%3.%4.%5.%6.%7.%8.%9"/>
      <w:lvlJc w:val="left"/>
      <w:pPr>
        <w:ind w:left="3248" w:hanging="1800"/>
      </w:pPr>
      <w:rPr>
        <w:rFonts w:hint="default"/>
      </w:rPr>
    </w:lvl>
  </w:abstractNum>
  <w:abstractNum w:abstractNumId="23">
    <w:nsid w:val="4BC92AD0"/>
    <w:multiLevelType w:val="multilevel"/>
    <w:tmpl w:val="4BC92AD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4">
    <w:nsid w:val="4CC85803"/>
    <w:multiLevelType w:val="multilevel"/>
    <w:tmpl w:val="4CC858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750547"/>
    <w:multiLevelType w:val="multilevel"/>
    <w:tmpl w:val="537505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5946452"/>
    <w:multiLevelType w:val="multilevel"/>
    <w:tmpl w:val="5594645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7EEEB33"/>
    <w:multiLevelType w:val="multilevel"/>
    <w:tmpl w:val="57EEEB3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8">
    <w:nsid w:val="5A29D1C2"/>
    <w:multiLevelType w:val="multilevel"/>
    <w:tmpl w:val="5A29D1C2"/>
    <w:lvl w:ilvl="0" w:tentative="0">
      <w:start w:val="1"/>
      <w:numFmt w:val="decimal"/>
      <w:pStyle w:val="20"/>
      <w:isLgl/>
      <w:suff w:val="space"/>
      <w:lvlText w:val="%1"/>
      <w:lvlJc w:val="left"/>
      <w:pPr>
        <w:ind w:left="0" w:firstLine="0"/>
      </w:pPr>
    </w:lvl>
    <w:lvl w:ilvl="1" w:tentative="0">
      <w:start w:val="1"/>
      <w:numFmt w:val="decimal"/>
      <w:pStyle w:val="22"/>
      <w:isLgl/>
      <w:suff w:val="space"/>
      <w:lvlText w:val="%1.%2"/>
      <w:lvlJc w:val="left"/>
      <w:pPr>
        <w:ind w:left="0" w:firstLine="0"/>
      </w:pPr>
    </w:lvl>
    <w:lvl w:ilvl="2" w:tentative="0">
      <w:start w:val="1"/>
      <w:numFmt w:val="decimal"/>
      <w:pStyle w:val="27"/>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29">
    <w:nsid w:val="5A7A9E22"/>
    <w:multiLevelType w:val="singleLevel"/>
    <w:tmpl w:val="5A7A9E22"/>
    <w:lvl w:ilvl="0" w:tentative="0">
      <w:start w:val="1"/>
      <w:numFmt w:val="decimal"/>
      <w:lvlText w:val="%1)"/>
      <w:lvlJc w:val="left"/>
      <w:pPr>
        <w:ind w:left="425" w:hanging="425"/>
      </w:pPr>
      <w:rPr>
        <w:rFonts w:hint="default"/>
      </w:rPr>
    </w:lvl>
  </w:abstractNum>
  <w:abstractNum w:abstractNumId="30">
    <w:nsid w:val="5AC74ED9"/>
    <w:multiLevelType w:val="multilevel"/>
    <w:tmpl w:val="5AC74ED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3"/>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2354D31"/>
    <w:multiLevelType w:val="multilevel"/>
    <w:tmpl w:val="62354D31"/>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2">
    <w:nsid w:val="66482422"/>
    <w:multiLevelType w:val="multilevel"/>
    <w:tmpl w:val="6648242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D2807B5"/>
    <w:multiLevelType w:val="singleLevel"/>
    <w:tmpl w:val="6D2807B5"/>
    <w:lvl w:ilvl="0" w:tentative="0">
      <w:start w:val="1"/>
      <w:numFmt w:val="decimal"/>
      <w:lvlText w:val="%1)"/>
      <w:lvlJc w:val="left"/>
      <w:pPr>
        <w:ind w:left="425" w:hanging="425"/>
      </w:pPr>
      <w:rPr>
        <w:rFonts w:hint="default"/>
      </w:rPr>
    </w:lvl>
  </w:abstractNum>
  <w:abstractNum w:abstractNumId="34">
    <w:nsid w:val="72AA4256"/>
    <w:multiLevelType w:val="multilevel"/>
    <w:tmpl w:val="72AA4256"/>
    <w:lvl w:ilvl="0" w:tentative="0">
      <w:start w:val="1"/>
      <w:numFmt w:val="chineseCountingThousand"/>
      <w:lvlText w:val="(%1)"/>
      <w:lvlJc w:val="left"/>
      <w:pPr>
        <w:ind w:left="420" w:hanging="420"/>
      </w:pPr>
    </w:lvl>
    <w:lvl w:ilvl="1" w:tentative="0">
      <w:start w:val="1"/>
      <w:numFmt w:val="decimal"/>
      <w:isLgl/>
      <w:lvlText w:val="%1.%2"/>
      <w:lvlJc w:val="left"/>
      <w:pPr>
        <w:ind w:left="541" w:hanging="360"/>
      </w:pPr>
      <w:rPr>
        <w:rFonts w:hint="default"/>
      </w:rPr>
    </w:lvl>
    <w:lvl w:ilvl="2" w:tentative="0">
      <w:start w:val="1"/>
      <w:numFmt w:val="decimal"/>
      <w:isLgl/>
      <w:lvlText w:val="%1.%2.%3"/>
      <w:lvlJc w:val="left"/>
      <w:pPr>
        <w:ind w:left="1082" w:hanging="720"/>
      </w:pPr>
      <w:rPr>
        <w:rFonts w:hint="default"/>
      </w:rPr>
    </w:lvl>
    <w:lvl w:ilvl="3" w:tentative="0">
      <w:start w:val="1"/>
      <w:numFmt w:val="decimal"/>
      <w:isLgl/>
      <w:lvlText w:val="%1.%2.%3.%4"/>
      <w:lvlJc w:val="left"/>
      <w:pPr>
        <w:ind w:left="1623" w:hanging="1080"/>
      </w:pPr>
      <w:rPr>
        <w:rFonts w:hint="default"/>
      </w:rPr>
    </w:lvl>
    <w:lvl w:ilvl="4" w:tentative="0">
      <w:start w:val="1"/>
      <w:numFmt w:val="decimal"/>
      <w:isLgl/>
      <w:lvlText w:val="%1.%2.%3.%4.%5"/>
      <w:lvlJc w:val="left"/>
      <w:pPr>
        <w:ind w:left="1804" w:hanging="1080"/>
      </w:pPr>
      <w:rPr>
        <w:rFonts w:hint="default"/>
      </w:rPr>
    </w:lvl>
    <w:lvl w:ilvl="5" w:tentative="0">
      <w:start w:val="1"/>
      <w:numFmt w:val="decimal"/>
      <w:isLgl/>
      <w:lvlText w:val="%1.%2.%3.%4.%5.%6"/>
      <w:lvlJc w:val="left"/>
      <w:pPr>
        <w:ind w:left="2345" w:hanging="1440"/>
      </w:pPr>
      <w:rPr>
        <w:rFonts w:hint="default"/>
      </w:rPr>
    </w:lvl>
    <w:lvl w:ilvl="6" w:tentative="0">
      <w:start w:val="1"/>
      <w:numFmt w:val="decimal"/>
      <w:isLgl/>
      <w:lvlText w:val="%1.%2.%3.%4.%5.%6.%7"/>
      <w:lvlJc w:val="left"/>
      <w:pPr>
        <w:ind w:left="2526" w:hanging="1440"/>
      </w:pPr>
      <w:rPr>
        <w:rFonts w:hint="default"/>
      </w:rPr>
    </w:lvl>
    <w:lvl w:ilvl="7" w:tentative="0">
      <w:start w:val="1"/>
      <w:numFmt w:val="decimal"/>
      <w:isLgl/>
      <w:lvlText w:val="%1.%2.%3.%4.%5.%6.%7.%8"/>
      <w:lvlJc w:val="left"/>
      <w:pPr>
        <w:ind w:left="3067" w:hanging="1800"/>
      </w:pPr>
      <w:rPr>
        <w:rFonts w:hint="default"/>
      </w:rPr>
    </w:lvl>
    <w:lvl w:ilvl="8" w:tentative="0">
      <w:start w:val="1"/>
      <w:numFmt w:val="decimal"/>
      <w:isLgl/>
      <w:lvlText w:val="%1.%2.%3.%4.%5.%6.%7.%8.%9"/>
      <w:lvlJc w:val="left"/>
      <w:pPr>
        <w:ind w:left="3248" w:hanging="1800"/>
      </w:pPr>
      <w:rPr>
        <w:rFonts w:hint="default"/>
      </w:rPr>
    </w:lvl>
  </w:abstractNum>
  <w:abstractNum w:abstractNumId="35">
    <w:nsid w:val="779614F5"/>
    <w:multiLevelType w:val="multilevel"/>
    <w:tmpl w:val="779614F5"/>
    <w:lvl w:ilvl="0" w:tentative="0">
      <w:start w:val="1"/>
      <w:numFmt w:val="chineseCountingThousand"/>
      <w:lvlText w:val="(%1)"/>
      <w:lvlJc w:val="left"/>
      <w:pPr>
        <w:ind w:left="420" w:hanging="420"/>
      </w:pPr>
    </w:lvl>
    <w:lvl w:ilvl="1" w:tentative="0">
      <w:start w:val="1"/>
      <w:numFmt w:val="decimal"/>
      <w:isLgl/>
      <w:lvlText w:val="%1.%2"/>
      <w:lvlJc w:val="left"/>
      <w:pPr>
        <w:ind w:left="541" w:hanging="360"/>
      </w:pPr>
      <w:rPr>
        <w:rFonts w:hint="default"/>
      </w:rPr>
    </w:lvl>
    <w:lvl w:ilvl="2" w:tentative="0">
      <w:start w:val="1"/>
      <w:numFmt w:val="decimal"/>
      <w:isLgl/>
      <w:lvlText w:val="%1.%2.%3"/>
      <w:lvlJc w:val="left"/>
      <w:pPr>
        <w:ind w:left="1082" w:hanging="720"/>
      </w:pPr>
      <w:rPr>
        <w:rFonts w:hint="default"/>
      </w:rPr>
    </w:lvl>
    <w:lvl w:ilvl="3" w:tentative="0">
      <w:start w:val="1"/>
      <w:numFmt w:val="decimal"/>
      <w:isLgl/>
      <w:lvlText w:val="%1.%2.%3.%4"/>
      <w:lvlJc w:val="left"/>
      <w:pPr>
        <w:ind w:left="1623" w:hanging="1080"/>
      </w:pPr>
      <w:rPr>
        <w:rFonts w:hint="default"/>
      </w:rPr>
    </w:lvl>
    <w:lvl w:ilvl="4" w:tentative="0">
      <w:start w:val="1"/>
      <w:numFmt w:val="decimal"/>
      <w:isLgl/>
      <w:lvlText w:val="%1.%2.%3.%4.%5"/>
      <w:lvlJc w:val="left"/>
      <w:pPr>
        <w:ind w:left="1804" w:hanging="1080"/>
      </w:pPr>
      <w:rPr>
        <w:rFonts w:hint="default"/>
      </w:rPr>
    </w:lvl>
    <w:lvl w:ilvl="5" w:tentative="0">
      <w:start w:val="1"/>
      <w:numFmt w:val="decimal"/>
      <w:isLgl/>
      <w:lvlText w:val="%1.%2.%3.%4.%5.%6"/>
      <w:lvlJc w:val="left"/>
      <w:pPr>
        <w:ind w:left="2345" w:hanging="1440"/>
      </w:pPr>
      <w:rPr>
        <w:rFonts w:hint="default"/>
      </w:rPr>
    </w:lvl>
    <w:lvl w:ilvl="6" w:tentative="0">
      <w:start w:val="1"/>
      <w:numFmt w:val="decimal"/>
      <w:isLgl/>
      <w:lvlText w:val="%1.%2.%3.%4.%5.%6.%7"/>
      <w:lvlJc w:val="left"/>
      <w:pPr>
        <w:ind w:left="2526" w:hanging="1440"/>
      </w:pPr>
      <w:rPr>
        <w:rFonts w:hint="default"/>
      </w:rPr>
    </w:lvl>
    <w:lvl w:ilvl="7" w:tentative="0">
      <w:start w:val="1"/>
      <w:numFmt w:val="decimal"/>
      <w:isLgl/>
      <w:lvlText w:val="%1.%2.%3.%4.%5.%6.%7.%8"/>
      <w:lvlJc w:val="left"/>
      <w:pPr>
        <w:ind w:left="3067" w:hanging="1800"/>
      </w:pPr>
      <w:rPr>
        <w:rFonts w:hint="default"/>
      </w:rPr>
    </w:lvl>
    <w:lvl w:ilvl="8" w:tentative="0">
      <w:start w:val="1"/>
      <w:numFmt w:val="decimal"/>
      <w:isLgl/>
      <w:lvlText w:val="%1.%2.%3.%4.%5.%6.%7.%8.%9"/>
      <w:lvlJc w:val="left"/>
      <w:pPr>
        <w:ind w:left="3248" w:hanging="1800"/>
      </w:pPr>
      <w:rPr>
        <w:rFonts w:hint="default"/>
      </w:rPr>
    </w:lvl>
  </w:abstractNum>
  <w:abstractNum w:abstractNumId="36">
    <w:nsid w:val="7830C845"/>
    <w:multiLevelType w:val="multilevel"/>
    <w:tmpl w:val="7830C845"/>
    <w:lvl w:ilvl="0" w:tentative="0">
      <w:start w:val="1"/>
      <w:numFmt w:val="decimal"/>
      <w:pStyle w:val="23"/>
      <w:lvlText w:val="%1）"/>
      <w:lvlJc w:val="left"/>
      <w:pPr>
        <w:ind w:left="420" w:hanging="420"/>
      </w:pPr>
      <w:rPr>
        <w:rFonts w:hint="eastAsia" w:ascii="Times New Roman" w:hAnsi="Times New Roman" w:eastAsia="宋体" w:cs="Times New Roman"/>
        <w:b w:val="0"/>
        <w:bCs/>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num w:numId="1">
    <w:abstractNumId w:val="1"/>
  </w:num>
  <w:num w:numId="2">
    <w:abstractNumId w:val="28"/>
  </w:num>
  <w:num w:numId="3">
    <w:abstractNumId w:val="36"/>
  </w:num>
  <w:num w:numId="4">
    <w:abstractNumId w:val="1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32"/>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31"/>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20"/>
  </w:num>
  <w:num w:numId="23">
    <w:abstractNumId w:val="13"/>
  </w:num>
  <w:num w:numId="24">
    <w:abstractNumId w:val="18"/>
  </w:num>
  <w:num w:numId="25">
    <w:abstractNumId w:val="22"/>
  </w:num>
  <w:num w:numId="26">
    <w:abstractNumId w:val="30"/>
  </w:num>
  <w:num w:numId="27">
    <w:abstractNumId w:val="4"/>
  </w:num>
  <w:num w:numId="28">
    <w:abstractNumId w:val="2"/>
  </w:num>
  <w:num w:numId="29">
    <w:abstractNumId w:val="12"/>
  </w:num>
  <w:num w:numId="30">
    <w:abstractNumId w:val="7"/>
  </w:num>
  <w:num w:numId="31">
    <w:abstractNumId w:val="9"/>
  </w:num>
  <w:num w:numId="32">
    <w:abstractNumId w:val="3"/>
  </w:num>
  <w:num w:numId="33">
    <w:abstractNumId w:val="5"/>
  </w:num>
  <w:num w:numId="34">
    <w:abstractNumId w:val="29"/>
  </w:num>
  <w:num w:numId="35">
    <w:abstractNumId w:val="10"/>
  </w:num>
  <w:num w:numId="36">
    <w:abstractNumId w:val="33"/>
  </w:num>
  <w:num w:numId="37">
    <w:abstractNumId w:val="11"/>
  </w:num>
  <w:num w:numId="38">
    <w:abstractNumId w:val="0"/>
  </w:num>
  <w:num w:numId="39">
    <w:abstractNumId w:val="25"/>
  </w:num>
  <w:num w:numId="40">
    <w:abstractNumId w:val="16"/>
  </w:num>
  <w:num w:numId="41">
    <w:abstractNumId w:val="34"/>
  </w:num>
  <w:num w:numId="42">
    <w:abstractNumId w:val="35"/>
  </w:num>
  <w:num w:numId="43">
    <w:abstractNumId w:val="24"/>
  </w:num>
  <w:num w:numId="44">
    <w:abstractNumId w:val="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5D"/>
    <w:rsid w:val="00002EA9"/>
    <w:rsid w:val="00093480"/>
    <w:rsid w:val="002C01A6"/>
    <w:rsid w:val="002F675D"/>
    <w:rsid w:val="004631F6"/>
    <w:rsid w:val="004B292A"/>
    <w:rsid w:val="005869F2"/>
    <w:rsid w:val="005E7379"/>
    <w:rsid w:val="0063220A"/>
    <w:rsid w:val="00673DF7"/>
    <w:rsid w:val="00835EC8"/>
    <w:rsid w:val="00860C19"/>
    <w:rsid w:val="0086686E"/>
    <w:rsid w:val="00951ECF"/>
    <w:rsid w:val="00AB69E8"/>
    <w:rsid w:val="00AF77B0"/>
    <w:rsid w:val="00D10127"/>
    <w:rsid w:val="00DA12F0"/>
    <w:rsid w:val="00E04BF4"/>
    <w:rsid w:val="00F10BD1"/>
    <w:rsid w:val="00F177C3"/>
    <w:rsid w:val="019131DF"/>
    <w:rsid w:val="01AA1F3B"/>
    <w:rsid w:val="02A75254"/>
    <w:rsid w:val="0339336B"/>
    <w:rsid w:val="03582A2F"/>
    <w:rsid w:val="04745FA3"/>
    <w:rsid w:val="04C87E99"/>
    <w:rsid w:val="055F47E9"/>
    <w:rsid w:val="05ED192F"/>
    <w:rsid w:val="05F964B6"/>
    <w:rsid w:val="068D05E2"/>
    <w:rsid w:val="07EE7229"/>
    <w:rsid w:val="090B3EEA"/>
    <w:rsid w:val="0AB43D5B"/>
    <w:rsid w:val="0B2C0309"/>
    <w:rsid w:val="0BCE4380"/>
    <w:rsid w:val="0C6B6F8A"/>
    <w:rsid w:val="0C814341"/>
    <w:rsid w:val="0CAF6E85"/>
    <w:rsid w:val="0D605C28"/>
    <w:rsid w:val="0D6B2AA9"/>
    <w:rsid w:val="0D793E0E"/>
    <w:rsid w:val="0D822AB0"/>
    <w:rsid w:val="0DE273B6"/>
    <w:rsid w:val="0E0F532C"/>
    <w:rsid w:val="0E1B5751"/>
    <w:rsid w:val="0E5B6B52"/>
    <w:rsid w:val="0E780E62"/>
    <w:rsid w:val="0F9577A9"/>
    <w:rsid w:val="0FBB6B5E"/>
    <w:rsid w:val="0FBF509E"/>
    <w:rsid w:val="10734415"/>
    <w:rsid w:val="11B02222"/>
    <w:rsid w:val="13106464"/>
    <w:rsid w:val="13422AD2"/>
    <w:rsid w:val="13C20F92"/>
    <w:rsid w:val="16942980"/>
    <w:rsid w:val="16BC1BF3"/>
    <w:rsid w:val="16D74A14"/>
    <w:rsid w:val="181158ED"/>
    <w:rsid w:val="186E7DBB"/>
    <w:rsid w:val="19207597"/>
    <w:rsid w:val="19350880"/>
    <w:rsid w:val="19843882"/>
    <w:rsid w:val="19CC39E8"/>
    <w:rsid w:val="19D93827"/>
    <w:rsid w:val="1ADA596D"/>
    <w:rsid w:val="1BBA1D52"/>
    <w:rsid w:val="1C342A64"/>
    <w:rsid w:val="1C4D5753"/>
    <w:rsid w:val="1D1C1C1A"/>
    <w:rsid w:val="1E5B3082"/>
    <w:rsid w:val="1E86080E"/>
    <w:rsid w:val="1EA00AD9"/>
    <w:rsid w:val="1EC235A7"/>
    <w:rsid w:val="1F34066A"/>
    <w:rsid w:val="1FFF3BE3"/>
    <w:rsid w:val="20FE49F6"/>
    <w:rsid w:val="22164379"/>
    <w:rsid w:val="228504F6"/>
    <w:rsid w:val="254779E0"/>
    <w:rsid w:val="25676DBE"/>
    <w:rsid w:val="257E4A14"/>
    <w:rsid w:val="26485BD0"/>
    <w:rsid w:val="26B46CD8"/>
    <w:rsid w:val="27AD7BA6"/>
    <w:rsid w:val="27C52B45"/>
    <w:rsid w:val="28185C2E"/>
    <w:rsid w:val="28BE3CB3"/>
    <w:rsid w:val="28E1490A"/>
    <w:rsid w:val="28F8481B"/>
    <w:rsid w:val="2AF4322A"/>
    <w:rsid w:val="2B641465"/>
    <w:rsid w:val="2C197B93"/>
    <w:rsid w:val="2C253368"/>
    <w:rsid w:val="2CC13250"/>
    <w:rsid w:val="2D2F2EE8"/>
    <w:rsid w:val="2D5F18A9"/>
    <w:rsid w:val="2D622337"/>
    <w:rsid w:val="2EA618E2"/>
    <w:rsid w:val="2ECE63AB"/>
    <w:rsid w:val="2F7E1844"/>
    <w:rsid w:val="300643AA"/>
    <w:rsid w:val="314B3F09"/>
    <w:rsid w:val="31761D8B"/>
    <w:rsid w:val="324B41D5"/>
    <w:rsid w:val="330E4210"/>
    <w:rsid w:val="35081830"/>
    <w:rsid w:val="351251E3"/>
    <w:rsid w:val="35507763"/>
    <w:rsid w:val="364F6A4B"/>
    <w:rsid w:val="366824EF"/>
    <w:rsid w:val="37265680"/>
    <w:rsid w:val="38005114"/>
    <w:rsid w:val="380324D3"/>
    <w:rsid w:val="3A284078"/>
    <w:rsid w:val="3A723331"/>
    <w:rsid w:val="3EE70459"/>
    <w:rsid w:val="3EF04448"/>
    <w:rsid w:val="3F8C32D8"/>
    <w:rsid w:val="3FE6023D"/>
    <w:rsid w:val="403D3619"/>
    <w:rsid w:val="40D714B4"/>
    <w:rsid w:val="41707AF9"/>
    <w:rsid w:val="41CF6029"/>
    <w:rsid w:val="426757D9"/>
    <w:rsid w:val="42893310"/>
    <w:rsid w:val="42BD4153"/>
    <w:rsid w:val="4303538E"/>
    <w:rsid w:val="445450FA"/>
    <w:rsid w:val="445564DA"/>
    <w:rsid w:val="453B11F0"/>
    <w:rsid w:val="45940C41"/>
    <w:rsid w:val="469126EF"/>
    <w:rsid w:val="47627682"/>
    <w:rsid w:val="476B5E59"/>
    <w:rsid w:val="485952C3"/>
    <w:rsid w:val="4896438E"/>
    <w:rsid w:val="489C4505"/>
    <w:rsid w:val="48A40C82"/>
    <w:rsid w:val="48F164A3"/>
    <w:rsid w:val="498F16C5"/>
    <w:rsid w:val="4A12186A"/>
    <w:rsid w:val="4A387922"/>
    <w:rsid w:val="4A494C33"/>
    <w:rsid w:val="4ABB06E9"/>
    <w:rsid w:val="4B617B52"/>
    <w:rsid w:val="4BA47215"/>
    <w:rsid w:val="4C862224"/>
    <w:rsid w:val="4C952A8A"/>
    <w:rsid w:val="4CD55865"/>
    <w:rsid w:val="4D6D392F"/>
    <w:rsid w:val="4DDC658F"/>
    <w:rsid w:val="51106866"/>
    <w:rsid w:val="52D22A30"/>
    <w:rsid w:val="547A1C20"/>
    <w:rsid w:val="548C2687"/>
    <w:rsid w:val="55837F80"/>
    <w:rsid w:val="572A4D6F"/>
    <w:rsid w:val="584031F5"/>
    <w:rsid w:val="59214101"/>
    <w:rsid w:val="593C6178"/>
    <w:rsid w:val="594F7F2E"/>
    <w:rsid w:val="59891B70"/>
    <w:rsid w:val="5A5A0A19"/>
    <w:rsid w:val="5B173AA6"/>
    <w:rsid w:val="5B5D46F9"/>
    <w:rsid w:val="5C6F143B"/>
    <w:rsid w:val="5E3836BA"/>
    <w:rsid w:val="5E5A40EB"/>
    <w:rsid w:val="5E8D7AF8"/>
    <w:rsid w:val="5EE92379"/>
    <w:rsid w:val="5F730854"/>
    <w:rsid w:val="60353EF8"/>
    <w:rsid w:val="60A57856"/>
    <w:rsid w:val="61F77718"/>
    <w:rsid w:val="631D0537"/>
    <w:rsid w:val="644C75EB"/>
    <w:rsid w:val="64C05506"/>
    <w:rsid w:val="65233EF3"/>
    <w:rsid w:val="661E3651"/>
    <w:rsid w:val="66A965A5"/>
    <w:rsid w:val="66D72136"/>
    <w:rsid w:val="671515EE"/>
    <w:rsid w:val="67A93C1B"/>
    <w:rsid w:val="6ACF7251"/>
    <w:rsid w:val="6B0A3441"/>
    <w:rsid w:val="6BED3B95"/>
    <w:rsid w:val="6C9513E3"/>
    <w:rsid w:val="6DCB6009"/>
    <w:rsid w:val="6FB72F58"/>
    <w:rsid w:val="6FF10391"/>
    <w:rsid w:val="70140BC1"/>
    <w:rsid w:val="71137DB1"/>
    <w:rsid w:val="71156346"/>
    <w:rsid w:val="728920CD"/>
    <w:rsid w:val="728A12B7"/>
    <w:rsid w:val="72C33128"/>
    <w:rsid w:val="748343DF"/>
    <w:rsid w:val="74E21A17"/>
    <w:rsid w:val="757F1772"/>
    <w:rsid w:val="76BC3DED"/>
    <w:rsid w:val="76E331BD"/>
    <w:rsid w:val="774631C0"/>
    <w:rsid w:val="77A74A7F"/>
    <w:rsid w:val="79472150"/>
    <w:rsid w:val="79F3413E"/>
    <w:rsid w:val="7C115D98"/>
    <w:rsid w:val="7C37125E"/>
    <w:rsid w:val="7CD7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5"/>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annotation text"/>
    <w:basedOn w:val="1"/>
    <w:link w:val="31"/>
    <w:semiHidden/>
    <w:unhideWhenUsed/>
    <w:qFormat/>
    <w:uiPriority w:val="99"/>
    <w:pPr>
      <w:jc w:val="left"/>
    </w:pPr>
  </w:style>
  <w:style w:type="paragraph" w:styleId="8">
    <w:name w:val="Body Text"/>
    <w:basedOn w:val="1"/>
    <w:qFormat/>
    <w:uiPriority w:val="0"/>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9">
    <w:name w:val="toc 3"/>
    <w:basedOn w:val="1"/>
    <w:next w:val="1"/>
    <w:qFormat/>
    <w:uiPriority w:val="39"/>
    <w:pPr>
      <w:ind w:left="420"/>
      <w:jc w:val="left"/>
    </w:pPr>
    <w:rPr>
      <w:rFonts w:ascii="Calibri" w:hAnsi="Calibri" w:eastAsia="宋体" w:cs="Times New Roman"/>
      <w:i/>
      <w:sz w:val="20"/>
      <w:szCs w:val="20"/>
    </w:rPr>
  </w:style>
  <w:style w:type="paragraph" w:styleId="10">
    <w:name w:val="Plain Text"/>
    <w:basedOn w:val="1"/>
    <w:qFormat/>
    <w:uiPriority w:val="0"/>
    <w:rPr>
      <w:rFonts w:hint="eastAsia" w:ascii="宋体" w:hAnsi="Courier New" w:eastAsia="宋体" w:cs="Times New Roman"/>
      <w:szCs w:val="21"/>
    </w:rPr>
  </w:style>
  <w:style w:type="paragraph" w:styleId="11">
    <w:name w:val="toc 1"/>
    <w:basedOn w:val="1"/>
    <w:next w:val="1"/>
    <w:qFormat/>
    <w:uiPriority w:val="39"/>
    <w:pPr>
      <w:spacing w:before="120" w:after="120"/>
      <w:jc w:val="left"/>
    </w:pPr>
    <w:rPr>
      <w:rFonts w:ascii="Calibri" w:hAnsi="Calibri" w:eastAsia="宋体" w:cs="Times New Roman"/>
      <w:b/>
      <w:caps/>
      <w:sz w:val="20"/>
      <w:szCs w:val="20"/>
    </w:rPr>
  </w:style>
  <w:style w:type="paragraph" w:styleId="12">
    <w:name w:val="toc 2"/>
    <w:basedOn w:val="1"/>
    <w:next w:val="1"/>
    <w:qFormat/>
    <w:uiPriority w:val="39"/>
    <w:pPr>
      <w:ind w:left="210"/>
      <w:jc w:val="left"/>
    </w:pPr>
    <w:rPr>
      <w:rFonts w:ascii="Calibri" w:hAnsi="Calibri" w:eastAsia="宋体" w:cs="Times New Roman"/>
      <w:smallCaps/>
      <w:sz w:val="20"/>
      <w:szCs w:val="20"/>
    </w:rPr>
  </w:style>
  <w:style w:type="paragraph" w:styleId="13">
    <w:name w:val="Normal (Web)"/>
    <w:basedOn w:val="1"/>
    <w:qFormat/>
    <w:uiPriority w:val="0"/>
    <w:rPr>
      <w:rFonts w:ascii="Calibri" w:hAnsi="Calibri" w:eastAsia="宋体" w:cs="Times New Roman"/>
      <w:sz w:val="24"/>
      <w:szCs w:val="22"/>
    </w:rPr>
  </w:style>
  <w:style w:type="paragraph" w:styleId="14">
    <w:name w:val="annotation subject"/>
    <w:basedOn w:val="7"/>
    <w:next w:val="7"/>
    <w:link w:val="32"/>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paragraph" w:customStyle="1" w:styleId="19">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paragraph" w:customStyle="1" w:styleId="20">
    <w:name w:val="文档标题1"/>
    <w:basedOn w:val="2"/>
    <w:next w:val="19"/>
    <w:qFormat/>
    <w:uiPriority w:val="0"/>
    <w:pPr>
      <w:pageBreakBefore/>
      <w:numPr>
        <w:numId w:val="2"/>
      </w:numPr>
      <w:pBdr>
        <w:top w:val="single" w:color="auto" w:sz="48" w:space="1"/>
      </w:pBdr>
      <w:spacing w:before="0" w:after="0" w:line="360" w:lineRule="auto"/>
    </w:pPr>
    <w:rPr>
      <w:rFonts w:ascii="Times New Roman" w:hAnsi="Times New Roman" w:eastAsia="宋体" w:cs="Times New Roman"/>
      <w:sz w:val="28"/>
      <w:szCs w:val="44"/>
    </w:rPr>
  </w:style>
  <w:style w:type="character" w:customStyle="1" w:styleId="21">
    <w:name w:val="文档标题2 Char"/>
    <w:basedOn w:val="17"/>
    <w:link w:val="22"/>
    <w:qFormat/>
    <w:uiPriority w:val="0"/>
    <w:rPr>
      <w:rFonts w:ascii="Times New Roman" w:hAnsi="Times New Roman" w:eastAsia="宋体" w:cs="Times New Roman"/>
      <w:sz w:val="28"/>
      <w:szCs w:val="32"/>
    </w:rPr>
  </w:style>
  <w:style w:type="paragraph" w:customStyle="1" w:styleId="22">
    <w:name w:val="文档标题2"/>
    <w:basedOn w:val="3"/>
    <w:next w:val="19"/>
    <w:link w:val="21"/>
    <w:qFormat/>
    <w:uiPriority w:val="0"/>
    <w:pPr>
      <w:numPr>
        <w:numId w:val="2"/>
      </w:numPr>
      <w:spacing w:before="0" w:after="0" w:line="360" w:lineRule="auto"/>
      <w:jc w:val="left"/>
    </w:pPr>
    <w:rPr>
      <w:rFonts w:ascii="Times New Roman" w:hAnsi="Times New Roman" w:eastAsia="宋体" w:cs="Times New Roman"/>
      <w:sz w:val="28"/>
      <w:szCs w:val="32"/>
    </w:rPr>
  </w:style>
  <w:style w:type="paragraph" w:customStyle="1" w:styleId="23">
    <w:name w:val="文档正文一级标题"/>
    <w:basedOn w:val="19"/>
    <w:qFormat/>
    <w:uiPriority w:val="0"/>
    <w:pPr>
      <w:numPr>
        <w:ilvl w:val="0"/>
        <w:numId w:val="3"/>
      </w:numPr>
      <w:ind w:firstLine="0" w:firstLineChars="0"/>
    </w:pPr>
  </w:style>
  <w:style w:type="paragraph" w:customStyle="1" w:styleId="24">
    <w:name w:val="样式 标题 4 + 段前: 5 磅 段后: 5 磅 行距: 单倍行距"/>
    <w:basedOn w:val="6"/>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paragraph" w:customStyle="1" w:styleId="25">
    <w:name w:val="样式 标题 2 + 宋体 五号 非加粗 黑色"/>
    <w:basedOn w:val="3"/>
    <w:qFormat/>
    <w:uiPriority w:val="0"/>
    <w:pPr>
      <w:spacing w:line="416" w:lineRule="atLeast"/>
      <w:jc w:val="left"/>
    </w:pPr>
    <w:rPr>
      <w:rFonts w:cs="Times New Roman"/>
      <w:color w:val="000000"/>
      <w:kern w:val="0"/>
      <w:sz w:val="21"/>
      <w:szCs w:val="32"/>
    </w:rPr>
  </w:style>
  <w:style w:type="paragraph" w:styleId="26">
    <w:name w:val="List Paragraph"/>
    <w:basedOn w:val="1"/>
    <w:qFormat/>
    <w:uiPriority w:val="99"/>
    <w:pPr>
      <w:ind w:firstLine="420" w:firstLineChars="200"/>
    </w:pPr>
  </w:style>
  <w:style w:type="paragraph" w:customStyle="1" w:styleId="27">
    <w:name w:val="文档标题3"/>
    <w:basedOn w:val="4"/>
    <w:next w:val="19"/>
    <w:qFormat/>
    <w:uiPriority w:val="0"/>
    <w:pPr>
      <w:numPr>
        <w:numId w:val="2"/>
      </w:numPr>
      <w:overflowPunct w:val="0"/>
      <w:autoSpaceDE w:val="0"/>
      <w:autoSpaceDN w:val="0"/>
      <w:adjustRightInd w:val="0"/>
      <w:spacing w:before="0" w:after="0" w:line="360" w:lineRule="auto"/>
    </w:pPr>
    <w:rPr>
      <w:rFonts w:ascii="Times New Roman" w:hAnsi="Times New Roman" w:eastAsia="宋体" w:cs="Times New Roman"/>
      <w:sz w:val="28"/>
      <w:szCs w:val="32"/>
    </w:rPr>
  </w:style>
  <w:style w:type="paragraph" w:customStyle="1" w:styleId="28">
    <w:name w:val="正文内容"/>
    <w:basedOn w:val="1"/>
    <w:next w:val="13"/>
    <w:qFormat/>
    <w:uiPriority w:val="0"/>
    <w:pPr>
      <w:spacing w:line="360" w:lineRule="auto"/>
      <w:ind w:firstLine="200" w:firstLineChars="200"/>
    </w:pPr>
    <w:rPr>
      <w:rFonts w:ascii="Times New Roman" w:hAnsi="Times New Roman" w:eastAsia="宋体" w:cs="Times New Roman"/>
      <w:sz w:val="24"/>
    </w:rPr>
  </w:style>
  <w:style w:type="paragraph" w:customStyle="1" w:styleId="29">
    <w:name w:val="1."/>
    <w:basedOn w:val="1"/>
    <w:qFormat/>
    <w:uiPriority w:val="0"/>
    <w:pPr>
      <w:spacing w:line="360" w:lineRule="auto"/>
      <w:ind w:firstLine="200" w:firstLineChars="200"/>
    </w:pPr>
    <w:rPr>
      <w:rFonts w:hint="eastAsia" w:ascii="宋体" w:hAnsi="Times New Roman" w:eastAsia="宋体" w:cs="Times New Roman"/>
      <w:sz w:val="24"/>
    </w:rPr>
  </w:style>
  <w:style w:type="paragraph" w:customStyle="1" w:styleId="30">
    <w:name w:val="Table Paragraph"/>
    <w:basedOn w:val="1"/>
    <w:qFormat/>
    <w:uiPriority w:val="0"/>
    <w:rPr>
      <w:rFonts w:ascii="Calibri" w:hAnsi="Calibri" w:eastAsia="宋体" w:cs="Times New Roman"/>
      <w:szCs w:val="22"/>
    </w:rPr>
  </w:style>
  <w:style w:type="character" w:customStyle="1" w:styleId="31">
    <w:name w:val="批注文字 字符"/>
    <w:basedOn w:val="17"/>
    <w:link w:val="7"/>
    <w:semiHidden/>
    <w:qFormat/>
    <w:uiPriority w:val="99"/>
    <w:rPr>
      <w:kern w:val="2"/>
      <w:sz w:val="21"/>
      <w:szCs w:val="24"/>
    </w:rPr>
  </w:style>
  <w:style w:type="character" w:customStyle="1" w:styleId="32">
    <w:name w:val="批注主题 字符"/>
    <w:basedOn w:val="31"/>
    <w:link w:val="14"/>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5559</Words>
  <Characters>31691</Characters>
  <Lines>264</Lines>
  <Paragraphs>74</Paragraphs>
  <TotalTime>2</TotalTime>
  <ScaleCrop>false</ScaleCrop>
  <LinksUpToDate>false</LinksUpToDate>
  <CharactersWithSpaces>37176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2021-03-19T11:13:00Z</dcterms:created>
  <dc:creator>lindanba</dc:creator>
  <cp:lastModifiedBy>lindanba</cp:lastModifiedBy>
  <dcterms:modified xsi:type="dcterms:W3CDTF">2021-04-07T01:13:01Z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EEBD30F8F6DD4067B7D81AE55C3AC20C</vt:lpwstr>
  </property>
</Properties>
</file>