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sz w:val="30"/>
          <w:szCs w:val="30"/>
        </w:rPr>
      </w:pPr>
      <w:bookmarkStart w:id="0" w:name="OLE_LINK31"/>
      <w:bookmarkStart w:id="1" w:name="OLE_LINK30"/>
    </w:p>
    <w:p>
      <w:pPr>
        <w:spacing w:line="276" w:lineRule="auto"/>
        <w:jc w:val="center"/>
        <w:rPr>
          <w:rFonts w:hint="eastAsia" w:ascii="Calibri" w:hAnsi="宋体" w:eastAsia="宋体" w:cs="Times New Roman"/>
          <w:b/>
          <w:bCs/>
          <w:spacing w:val="-8"/>
          <w:sz w:val="48"/>
          <w:szCs w:val="44"/>
        </w:rPr>
      </w:pPr>
      <w:r>
        <w:rPr>
          <w:rFonts w:hint="eastAsia" w:ascii="Calibri" w:hAnsi="宋体" w:eastAsia="宋体" w:cs="Times New Roman"/>
          <w:b/>
          <w:bCs/>
          <w:spacing w:val="-8"/>
          <w:sz w:val="48"/>
          <w:szCs w:val="44"/>
        </w:rPr>
        <w:t>中国重汽集团济南特种车有限公司</w:t>
      </w:r>
    </w:p>
    <w:p>
      <w:pPr>
        <w:jc w:val="center"/>
        <w:rPr>
          <w:rFonts w:hint="eastAsia" w:ascii="Calibri" w:hAnsi="宋体" w:eastAsia="宋体" w:cs="Times New Roman"/>
          <w:b/>
          <w:bCs/>
          <w:spacing w:val="-8"/>
          <w:sz w:val="48"/>
          <w:szCs w:val="44"/>
        </w:rPr>
      </w:pPr>
    </w:p>
    <w:p>
      <w:pPr>
        <w:jc w:val="center"/>
        <w:rPr>
          <w:rFonts w:ascii="Calibri" w:hAnsi="Calibri" w:eastAsia="宋体" w:cs="Times New Roman"/>
          <w:sz w:val="28"/>
          <w:szCs w:val="28"/>
        </w:rPr>
      </w:pPr>
      <w:r>
        <w:rPr>
          <w:rFonts w:hint="eastAsia" w:ascii="Calibri" w:hAnsi="宋体" w:eastAsia="宋体" w:cs="Times New Roman"/>
          <w:b/>
          <w:bCs/>
          <w:spacing w:val="-8"/>
          <w:sz w:val="48"/>
          <w:szCs w:val="44"/>
        </w:rPr>
        <w:t>车间大屏项目配套弱电施工</w:t>
      </w:r>
      <w:r>
        <w:rPr>
          <w:rFonts w:hint="eastAsia" w:ascii="Calibri" w:hAnsi="Calibri" w:eastAsia="宋体" w:cs="Times New Roman"/>
          <w:sz w:val="28"/>
          <w:szCs w:val="28"/>
        </w:rPr>
        <w:t xml:space="preserve"> </w:t>
      </w:r>
    </w:p>
    <w:p>
      <w:pPr>
        <w:jc w:val="center"/>
        <w:rPr>
          <w:rFonts w:ascii="Calibri" w:hAnsi="Calibri" w:eastAsia="宋体" w:cs="Times New Roman"/>
          <w:sz w:val="28"/>
          <w:szCs w:val="28"/>
        </w:rPr>
      </w:pPr>
      <w:r>
        <w:rPr>
          <w:rFonts w:hint="eastAsia" w:ascii="Calibri" w:hAnsi="Calibri" w:eastAsia="宋体" w:cs="Times New Roman"/>
          <w:sz w:val="28"/>
          <w:szCs w:val="28"/>
        </w:rPr>
        <w:t xml:space="preserve">                                    </w:t>
      </w:r>
    </w:p>
    <w:p>
      <w:pPr>
        <w:pStyle w:val="16"/>
        <w:framePr w:wrap="around"/>
        <w:rPr>
          <w:rFonts w:hint="eastAsia"/>
          <w:color w:val="auto"/>
        </w:rPr>
      </w:pPr>
    </w:p>
    <w:p>
      <w:pPr>
        <w:pStyle w:val="16"/>
        <w:framePr w:wrap="around"/>
        <w:rPr>
          <w:rFonts w:hint="eastAsia"/>
          <w:color w:val="auto"/>
        </w:rPr>
      </w:pPr>
    </w:p>
    <w:p>
      <w:pPr>
        <w:pStyle w:val="16"/>
        <w:framePr w:wrap="around"/>
        <w:rPr>
          <w:rFonts w:hint="eastAsia"/>
          <w:color w:val="auto"/>
        </w:rPr>
      </w:pPr>
    </w:p>
    <w:p>
      <w:pPr>
        <w:jc w:val="right"/>
        <w:rPr>
          <w:rFonts w:ascii="Calibri" w:hAnsi="Calibri" w:eastAsia="宋体" w:cs="Times New Roman"/>
          <w:sz w:val="28"/>
          <w:szCs w:val="28"/>
        </w:rPr>
      </w:pPr>
    </w:p>
    <w:p>
      <w:pPr>
        <w:jc w:val="center"/>
        <w:rPr>
          <w:rFonts w:hint="eastAsia" w:ascii="黑体" w:hAnsi="宋体" w:eastAsia="黑体" w:cs="Times New Roman"/>
          <w:sz w:val="72"/>
          <w:szCs w:val="72"/>
        </w:rPr>
      </w:pPr>
      <w:r>
        <w:rPr>
          <w:rFonts w:hint="eastAsia" w:ascii="黑体" w:hAnsi="宋体" w:eastAsia="黑体" w:cs="Times New Roman"/>
          <w:sz w:val="72"/>
          <w:szCs w:val="72"/>
        </w:rPr>
        <w:t>招</w:t>
      </w:r>
    </w:p>
    <w:p>
      <w:pPr>
        <w:jc w:val="center"/>
        <w:rPr>
          <w:rFonts w:hint="eastAsia" w:ascii="黑体" w:hAnsi="宋体" w:eastAsia="黑体" w:cs="Times New Roman"/>
          <w:sz w:val="72"/>
          <w:szCs w:val="72"/>
        </w:rPr>
      </w:pPr>
    </w:p>
    <w:p>
      <w:pPr>
        <w:jc w:val="center"/>
        <w:rPr>
          <w:rFonts w:hint="eastAsia" w:ascii="黑体" w:hAnsi="宋体" w:eastAsia="黑体" w:cs="Times New Roman"/>
          <w:sz w:val="72"/>
          <w:szCs w:val="72"/>
        </w:rPr>
      </w:pPr>
      <w:r>
        <w:rPr>
          <w:rFonts w:hint="eastAsia" w:ascii="黑体" w:hAnsi="宋体" w:eastAsia="黑体" w:cs="Times New Roman"/>
          <w:sz w:val="72"/>
          <w:szCs w:val="72"/>
        </w:rPr>
        <w:t>标</w:t>
      </w:r>
    </w:p>
    <w:p>
      <w:pPr>
        <w:jc w:val="center"/>
        <w:rPr>
          <w:rFonts w:hint="eastAsia" w:ascii="黑体" w:hAnsi="宋体" w:eastAsia="黑体" w:cs="Times New Roman"/>
          <w:sz w:val="72"/>
          <w:szCs w:val="72"/>
        </w:rPr>
      </w:pPr>
    </w:p>
    <w:p>
      <w:pPr>
        <w:jc w:val="center"/>
        <w:rPr>
          <w:rFonts w:ascii="宋体" w:hAnsi="Calibri" w:eastAsia="宋体" w:cs="Times New Roman"/>
          <w:sz w:val="28"/>
          <w:szCs w:val="28"/>
        </w:rPr>
      </w:pPr>
      <w:r>
        <w:rPr>
          <w:rFonts w:hint="eastAsia" w:ascii="黑体" w:hAnsi="宋体" w:eastAsia="黑体" w:cs="Times New Roman"/>
          <w:sz w:val="72"/>
          <w:szCs w:val="72"/>
        </w:rPr>
        <w:t>书</w:t>
      </w:r>
    </w:p>
    <w:p>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pPr>
        <w:jc w:val="center"/>
        <w:rPr>
          <w:rFonts w:hint="eastAsia" w:ascii="宋体" w:hAnsi="宋体" w:eastAsia="宋体" w:cs="Times New Roman"/>
          <w:sz w:val="28"/>
          <w:szCs w:val="28"/>
        </w:rPr>
      </w:pPr>
    </w:p>
    <w:p>
      <w:pPr>
        <w:jc w:val="center"/>
        <w:rPr>
          <w:rFonts w:ascii="宋体" w:hAnsi="Calibri" w:eastAsia="宋体" w:cs="Times New Roman"/>
          <w:sz w:val="28"/>
          <w:szCs w:val="28"/>
        </w:rPr>
      </w:pPr>
      <w:r>
        <w:rPr>
          <w:rFonts w:hint="eastAsia" w:ascii="宋体" w:hAnsi="宋体" w:eastAsia="宋体" w:cs="Times New Roman"/>
          <w:sz w:val="28"/>
          <w:szCs w:val="28"/>
        </w:rPr>
        <w:t>招</w:t>
      </w:r>
      <w:r>
        <w:rPr>
          <w:rFonts w:ascii="宋体" w:hAnsi="宋体" w:eastAsia="宋体" w:cs="Times New Roman"/>
          <w:sz w:val="28"/>
          <w:szCs w:val="28"/>
        </w:rPr>
        <w:t xml:space="preserve"> </w:t>
      </w:r>
      <w:r>
        <w:rPr>
          <w:rFonts w:hint="eastAsia" w:ascii="宋体" w:hAnsi="宋体" w:eastAsia="宋体" w:cs="Times New Roman"/>
          <w:sz w:val="28"/>
          <w:szCs w:val="28"/>
        </w:rPr>
        <w:t>标</w:t>
      </w:r>
      <w:r>
        <w:rPr>
          <w:rFonts w:ascii="宋体" w:hAnsi="宋体" w:eastAsia="宋体" w:cs="Times New Roman"/>
          <w:sz w:val="28"/>
          <w:szCs w:val="28"/>
        </w:rPr>
        <w:t xml:space="preserve"> </w:t>
      </w:r>
      <w:r>
        <w:rPr>
          <w:rFonts w:hint="eastAsia" w:ascii="宋体" w:hAnsi="宋体" w:eastAsia="宋体" w:cs="Times New Roman"/>
          <w:sz w:val="28"/>
          <w:szCs w:val="28"/>
        </w:rPr>
        <w:t>人：中国重汽集团济南特种车有限公司</w:t>
      </w:r>
    </w:p>
    <w:p>
      <w:pPr>
        <w:jc w:val="center"/>
        <w:rPr>
          <w:rFonts w:ascii="宋体" w:hAnsi="Calibri" w:eastAsia="宋体" w:cs="Times New Roman"/>
          <w:sz w:val="28"/>
          <w:szCs w:val="28"/>
        </w:rPr>
      </w:pPr>
      <w:r>
        <w:rPr>
          <w:rFonts w:ascii="Calibri" w:hAnsi="Calibri" w:eastAsia="宋体" w:cs="Times New Roman"/>
          <w:sz w:val="28"/>
          <w:szCs w:val="28"/>
        </w:rPr>
        <w:t>202</w:t>
      </w:r>
      <w:r>
        <w:rPr>
          <w:rFonts w:hint="eastAsia" w:ascii="Calibri" w:hAnsi="Calibri" w:eastAsia="宋体" w:cs="Times New Roman"/>
          <w:sz w:val="28"/>
          <w:szCs w:val="28"/>
        </w:rPr>
        <w:t>5</w:t>
      </w:r>
      <w:r>
        <w:rPr>
          <w:rFonts w:hint="eastAsia" w:ascii="宋体" w:hAnsi="宋体" w:eastAsia="宋体" w:cs="Times New Roman"/>
          <w:sz w:val="28"/>
          <w:szCs w:val="28"/>
        </w:rPr>
        <w:t>年</w:t>
      </w:r>
      <w:r>
        <w:rPr>
          <w:rFonts w:hint="eastAsia" w:ascii="Calibri" w:hAnsi="Calibri" w:eastAsia="宋体" w:cs="Times New Roman"/>
          <w:sz w:val="28"/>
          <w:szCs w:val="28"/>
        </w:rPr>
        <w:t>8月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宋体" w:hAnsi="宋体" w:eastAsia="宋体" w:cs="宋体"/>
          <w:b w:val="0"/>
          <w:bCs/>
          <w:snapToGrid w:val="0"/>
          <w:kern w:val="0"/>
          <w:sz w:val="24"/>
          <w:szCs w:val="24"/>
        </w:rPr>
      </w:sdtEndPr>
      <w:sdtContent>
        <w:p>
          <w:pPr>
            <w:spacing w:line="480" w:lineRule="auto"/>
            <w:jc w:val="center"/>
            <w:rPr>
              <w:rFonts w:hint="eastAsia" w:cs="宋体"/>
              <w:b/>
              <w:bCs/>
              <w:sz w:val="48"/>
              <w:szCs w:val="48"/>
            </w:rPr>
          </w:pPr>
          <w:r>
            <w:rPr>
              <w:rFonts w:ascii="宋体" w:hAnsi="宋体" w:eastAsia="宋体" w:cs="宋体"/>
              <w:b/>
              <w:bCs/>
              <w:sz w:val="48"/>
              <w:szCs w:val="48"/>
            </w:rPr>
            <w:t>目录</w:t>
          </w:r>
        </w:p>
        <w:p>
          <w:pPr>
            <w:pStyle w:val="23"/>
            <w:tabs>
              <w:tab w:val="right" w:leader="dot" w:pos="9071"/>
            </w:tabs>
            <w:spacing w:line="480" w:lineRule="auto"/>
            <w:rPr>
              <w:rFonts w:hint="eastAsia"/>
              <w:color w:val="auto"/>
              <w:sz w:val="32"/>
              <w:szCs w:val="32"/>
            </w:rPr>
          </w:pPr>
          <w:r>
            <w:rPr>
              <w:rFonts w:hint="eastAsia" w:ascii="Calibri" w:hAnsi="Calibri"/>
              <w:bCs/>
              <w:color w:val="auto"/>
              <w:kern w:val="44"/>
              <w:sz w:val="36"/>
              <w:szCs w:val="44"/>
            </w:rPr>
            <w:fldChar w:fldCharType="begin"/>
          </w:r>
          <w:r>
            <w:rPr>
              <w:rFonts w:hint="eastAsia" w:ascii="Calibri" w:hAnsi="Calibri"/>
              <w:bCs/>
              <w:color w:val="auto"/>
              <w:kern w:val="44"/>
              <w:sz w:val="36"/>
              <w:szCs w:val="44"/>
            </w:rPr>
            <w:instrText xml:space="preserve">TOC \o "1-1" \h \u </w:instrText>
          </w:r>
          <w:r>
            <w:rPr>
              <w:rFonts w:hint="eastAsia" w:ascii="Calibri" w:hAnsi="Calibri"/>
              <w:bCs/>
              <w:color w:val="auto"/>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pPr>
            <w:pStyle w:val="23"/>
            <w:tabs>
              <w:tab w:val="right" w:leader="dot" w:pos="9071"/>
            </w:tabs>
            <w:spacing w:line="480" w:lineRule="auto"/>
            <w:rPr>
              <w:rFonts w:hint="eastAsia"/>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pPr>
            <w:pStyle w:val="23"/>
            <w:tabs>
              <w:tab w:val="right" w:leader="dot" w:pos="9071"/>
            </w:tabs>
            <w:spacing w:line="480" w:lineRule="auto"/>
            <w:rPr>
              <w:rFonts w:hint="eastAsia"/>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pPr>
            <w:pStyle w:val="23"/>
            <w:tabs>
              <w:tab w:val="right" w:leader="dot" w:pos="9071"/>
            </w:tabs>
            <w:spacing w:line="480" w:lineRule="auto"/>
            <w:rPr>
              <w:rFonts w:hint="eastAsia"/>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pPr>
            <w:pStyle w:val="23"/>
            <w:tabs>
              <w:tab w:val="right" w:leader="dot" w:pos="9071"/>
            </w:tabs>
            <w:spacing w:line="480" w:lineRule="auto"/>
            <w:rPr>
              <w:rFonts w:hint="eastAsia"/>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37</w:t>
          </w:r>
        </w:p>
        <w:p>
          <w:pPr>
            <w:pStyle w:val="23"/>
            <w:tabs>
              <w:tab w:val="right" w:leader="dot" w:pos="9071"/>
            </w:tabs>
            <w:spacing w:line="480" w:lineRule="auto"/>
            <w:rPr>
              <w:rFonts w:hint="eastAsia"/>
              <w:color w:val="auto"/>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55</w:t>
          </w:r>
        </w:p>
        <w:p>
          <w:pPr>
            <w:spacing w:line="360" w:lineRule="auto"/>
            <w:ind w:firstLine="420" w:firstLineChars="200"/>
            <w:rPr>
              <w:rFonts w:hint="eastAsia" w:ascii="宋体" w:hAnsi="宋体" w:eastAsia="宋体" w:cs="宋体"/>
              <w:b/>
              <w:bCs/>
              <w:sz w:val="24"/>
              <w:szCs w:val="24"/>
            </w:rPr>
          </w:pPr>
          <w:r>
            <w:rPr>
              <w:rFonts w:hint="eastAsia"/>
            </w:rPr>
            <w:fldChar w:fldCharType="end"/>
          </w:r>
        </w:p>
      </w:sdtContent>
    </w:sdt>
    <w:p>
      <w:pPr>
        <w:spacing w:line="360" w:lineRule="auto"/>
        <w:ind w:firstLine="482" w:firstLineChars="200"/>
        <w:rPr>
          <w:rFonts w:hint="eastAsia" w:ascii="宋体" w:hAnsi="宋体" w:eastAsia="宋体" w:cs="宋体"/>
          <w:b/>
          <w:bCs/>
          <w:sz w:val="24"/>
          <w:szCs w:val="24"/>
        </w:rPr>
      </w:pPr>
    </w:p>
    <w:p>
      <w:pPr>
        <w:spacing w:line="360" w:lineRule="auto"/>
        <w:ind w:firstLine="482" w:firstLineChars="200"/>
        <w:rPr>
          <w:rFonts w:hint="eastAsia" w:ascii="宋体" w:hAnsi="宋体" w:eastAsia="宋体" w:cs="宋体"/>
          <w:b/>
          <w:bCs/>
          <w:sz w:val="24"/>
          <w:szCs w:val="24"/>
        </w:rPr>
      </w:pPr>
    </w:p>
    <w:p>
      <w:pPr>
        <w:spacing w:line="360" w:lineRule="auto"/>
        <w:ind w:firstLine="482" w:firstLineChars="200"/>
        <w:rPr>
          <w:rFonts w:hint="eastAsia" w:ascii="宋体" w:hAnsi="宋体" w:eastAsia="宋体" w:cs="宋体"/>
          <w:b/>
          <w:bCs/>
          <w:sz w:val="24"/>
          <w:szCs w:val="24"/>
        </w:rPr>
      </w:pPr>
    </w:p>
    <w:p>
      <w:pPr>
        <w:spacing w:line="360" w:lineRule="auto"/>
        <w:ind w:firstLine="482" w:firstLineChars="200"/>
        <w:rPr>
          <w:rFonts w:hint="eastAsia" w:ascii="宋体" w:hAnsi="宋体" w:eastAsia="宋体" w:cs="宋体"/>
          <w:b/>
          <w:bCs/>
          <w:sz w:val="24"/>
          <w:szCs w:val="24"/>
        </w:rPr>
      </w:pPr>
    </w:p>
    <w:p>
      <w:pPr>
        <w:spacing w:line="360" w:lineRule="auto"/>
        <w:ind w:firstLine="482" w:firstLineChars="200"/>
        <w:rPr>
          <w:rFonts w:hint="eastAsia" w:ascii="宋体" w:hAnsi="宋体" w:eastAsia="宋体" w:cs="宋体"/>
          <w:b/>
          <w:bCs/>
          <w:sz w:val="24"/>
          <w:szCs w:val="24"/>
        </w:rPr>
      </w:pPr>
    </w:p>
    <w:p>
      <w:pPr>
        <w:spacing w:line="360" w:lineRule="auto"/>
        <w:ind w:firstLine="482" w:firstLineChars="200"/>
        <w:rPr>
          <w:rFonts w:hint="eastAsia" w:ascii="宋体" w:hAnsi="宋体" w:eastAsia="宋体" w:cs="宋体"/>
          <w:b/>
          <w:bCs/>
          <w:sz w:val="24"/>
          <w:szCs w:val="24"/>
        </w:rPr>
      </w:pPr>
    </w:p>
    <w:p>
      <w:pPr>
        <w:spacing w:line="360" w:lineRule="auto"/>
        <w:ind w:firstLine="482" w:firstLineChars="200"/>
        <w:rPr>
          <w:rFonts w:hint="eastAsia" w:ascii="宋体" w:hAnsi="宋体" w:eastAsia="宋体" w:cs="宋体"/>
          <w:b/>
          <w:bCs/>
          <w:sz w:val="24"/>
          <w:szCs w:val="24"/>
        </w:rPr>
      </w:pPr>
    </w:p>
    <w:p>
      <w:pPr>
        <w:spacing w:line="360" w:lineRule="auto"/>
        <w:ind w:firstLine="482" w:firstLineChars="200"/>
        <w:rPr>
          <w:rFonts w:hint="eastAsia" w:ascii="宋体" w:hAnsi="宋体" w:eastAsia="宋体" w:cs="宋体"/>
          <w:b/>
          <w:bCs/>
          <w:sz w:val="24"/>
          <w:szCs w:val="24"/>
        </w:rPr>
      </w:pPr>
    </w:p>
    <w:p>
      <w:pPr>
        <w:spacing w:line="360" w:lineRule="auto"/>
        <w:ind w:firstLine="482" w:firstLineChars="200"/>
        <w:rPr>
          <w:rFonts w:hint="eastAsia" w:ascii="宋体" w:hAnsi="宋体" w:eastAsia="宋体" w:cs="宋体"/>
          <w:b/>
          <w:bCs/>
          <w:sz w:val="24"/>
          <w:szCs w:val="24"/>
        </w:rPr>
      </w:pPr>
    </w:p>
    <w:p>
      <w:pPr>
        <w:spacing w:line="360" w:lineRule="auto"/>
        <w:ind w:firstLine="482" w:firstLineChars="200"/>
        <w:rPr>
          <w:rFonts w:hint="eastAsia" w:ascii="宋体" w:hAnsi="宋体" w:eastAsia="宋体" w:cs="宋体"/>
          <w:b/>
          <w:bCs/>
          <w:sz w:val="24"/>
          <w:szCs w:val="24"/>
        </w:rPr>
      </w:pPr>
    </w:p>
    <w:p>
      <w:pPr>
        <w:spacing w:line="360" w:lineRule="auto"/>
        <w:ind w:firstLine="482" w:firstLineChars="200"/>
        <w:rPr>
          <w:rFonts w:hint="eastAsia" w:ascii="宋体" w:hAnsi="宋体" w:eastAsia="宋体" w:cs="宋体"/>
          <w:b/>
          <w:bCs/>
          <w:sz w:val="24"/>
          <w:szCs w:val="24"/>
        </w:rPr>
      </w:pPr>
    </w:p>
    <w:p>
      <w:pPr>
        <w:spacing w:line="360" w:lineRule="auto"/>
        <w:ind w:firstLine="482" w:firstLineChars="200"/>
        <w:rPr>
          <w:rFonts w:hint="eastAsia" w:ascii="宋体" w:hAnsi="宋体" w:eastAsia="宋体" w:cs="宋体"/>
          <w:b/>
          <w:bCs/>
          <w:sz w:val="24"/>
          <w:szCs w:val="24"/>
        </w:rPr>
      </w:pPr>
    </w:p>
    <w:p>
      <w:pPr>
        <w:spacing w:line="360" w:lineRule="auto"/>
        <w:ind w:firstLine="482" w:firstLineChars="200"/>
        <w:rPr>
          <w:rFonts w:hint="eastAsia" w:ascii="宋体" w:hAnsi="宋体" w:eastAsia="宋体" w:cs="宋体"/>
          <w:b/>
          <w:bCs/>
          <w:sz w:val="24"/>
          <w:szCs w:val="24"/>
        </w:rPr>
      </w:pPr>
    </w:p>
    <w:p>
      <w:pPr>
        <w:spacing w:line="360" w:lineRule="auto"/>
        <w:ind w:firstLine="482" w:firstLineChars="200"/>
        <w:rPr>
          <w:rFonts w:hint="eastAsia" w:ascii="宋体" w:hAnsi="宋体" w:eastAsia="宋体" w:cs="宋体"/>
          <w:b/>
          <w:bCs/>
          <w:sz w:val="24"/>
          <w:szCs w:val="24"/>
        </w:rPr>
      </w:pPr>
    </w:p>
    <w:p>
      <w:pPr>
        <w:pStyle w:val="16"/>
        <w:framePr w:wrap="around" w:hAnchor="page" w:x="1584" w:y="-229"/>
        <w:ind w:firstLine="720"/>
        <w:rPr>
          <w:rFonts w:hint="eastAsia"/>
          <w:color w:val="auto"/>
          <w:sz w:val="36"/>
        </w:rPr>
        <w:sectPr>
          <w:headerReference r:id="rId5" w:type="default"/>
          <w:footerReference r:id="rId6" w:type="default"/>
          <w:pgSz w:w="11907" w:h="16840"/>
          <w:pgMar w:top="1304" w:right="1418" w:bottom="1304" w:left="1418" w:header="724" w:footer="851" w:gutter="0"/>
          <w:cols w:space="720" w:num="1"/>
          <w:docGrid w:linePitch="290" w:charSpace="-3931"/>
        </w:sectPr>
      </w:pPr>
    </w:p>
    <w:p>
      <w:pPr>
        <w:pStyle w:val="16"/>
        <w:framePr w:wrap="around" w:hAnchor="page" w:x="1584" w:y="-229"/>
        <w:numPr>
          <w:ilvl w:val="0"/>
          <w:numId w:val="1"/>
        </w:numPr>
        <w:ind w:firstLineChars="0"/>
        <w:rPr>
          <w:rFonts w:hint="eastAsia"/>
          <w:color w:val="auto"/>
        </w:rPr>
      </w:pPr>
      <w:r>
        <w:rPr>
          <w:rFonts w:hint="eastAsia"/>
          <w:color w:val="auto"/>
        </w:rPr>
        <w:t xml:space="preserve"> 投标须知前附表</w:t>
      </w:r>
    </w:p>
    <w:p>
      <w:pPr>
        <w:pStyle w:val="16"/>
        <w:framePr w:wrap="around" w:hAnchor="page" w:x="1584" w:y="-229"/>
        <w:rPr>
          <w:rFonts w:hint="eastAsia"/>
          <w:color w:val="auto"/>
        </w:rPr>
      </w:pPr>
    </w:p>
    <w:p>
      <w:pPr>
        <w:framePr w:hSpace="180" w:wrap="around" w:vAnchor="text" w:hAnchor="page" w:x="1584" w:y="-229"/>
        <w:suppressOverlap/>
        <w:spacing w:line="360" w:lineRule="auto"/>
        <w:ind w:firstLine="482" w:firstLineChars="200"/>
        <w:rPr>
          <w:rFonts w:hint="eastAsia" w:ascii="宋体" w:hAnsi="宋体" w:eastAsia="宋体" w:cs="宋体"/>
          <w:b/>
          <w:bCs/>
          <w:sz w:val="24"/>
          <w:szCs w:val="24"/>
        </w:rPr>
      </w:pPr>
    </w:p>
    <w:p>
      <w:pPr>
        <w:framePr w:hSpace="180" w:wrap="around" w:vAnchor="text" w:hAnchor="page" w:x="1584" w:y="-229"/>
        <w:suppressOverlap/>
        <w:spacing w:line="360" w:lineRule="auto"/>
        <w:ind w:firstLine="482" w:firstLineChars="200"/>
        <w:rPr>
          <w:rFonts w:hint="eastAsia" w:ascii="宋体" w:hAnsi="宋体" w:eastAsia="宋体" w:cs="宋体"/>
          <w:b/>
          <w:bCs/>
          <w:sz w:val="24"/>
          <w:szCs w:val="24"/>
        </w:rPr>
      </w:pPr>
    </w:p>
    <w:p>
      <w:pPr>
        <w:framePr w:hSpace="180" w:wrap="around" w:vAnchor="text" w:hAnchor="page" w:x="1584" w:y="-229"/>
        <w:suppressOverlap/>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p>
      <w:pPr>
        <w:spacing w:line="360" w:lineRule="auto"/>
        <w:ind w:firstLine="482" w:firstLineChars="200"/>
        <w:rPr>
          <w:rFonts w:hint="eastAsia" w:ascii="宋体" w:hAnsi="宋体" w:eastAsia="宋体" w:cs="宋体"/>
          <w:b/>
          <w:bCs/>
          <w:sz w:val="24"/>
          <w:szCs w:val="24"/>
        </w:rPr>
      </w:pP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8"/>
                <w:rFonts w:hint="eastAsia" w:ascii="宋体" w:hAnsi="宋体" w:eastAsia="宋体" w:cs="宋体"/>
                <w:b/>
                <w:sz w:val="28"/>
                <w:szCs w:val="28"/>
              </w:rPr>
            </w:pPr>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hint="eastAsia" w:ascii="宋体" w:hAnsi="宋体" w:eastAsia="宋体" w:cs="宋体"/>
                <w:b/>
                <w:bCs/>
                <w:sz w:val="28"/>
                <w:szCs w:val="28"/>
              </w:rPr>
            </w:pPr>
            <w:r>
              <w:rPr>
                <w:rStyle w:val="128"/>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u w:val="single"/>
              </w:rPr>
              <w:t>特种车公司车间大屏项目配套弱电施工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采购形式编号：CGZX2025080168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sz w:val="24"/>
                <w:szCs w:val="24"/>
                <w:u w:val="single"/>
              </w:rPr>
              <w:t>车间大屏项目配套弱电施工部分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中国重汽集团济南特种车有限公司</w:t>
            </w:r>
            <w:r>
              <w:rPr>
                <w:rFonts w:hint="eastAsia" w:ascii="宋体" w:hAnsi="宋体" w:eastAsia="宋体" w:cs="宋体"/>
                <w:bCs/>
                <w:snapToGrid w:val="0"/>
                <w:kern w:val="0"/>
                <w:sz w:val="24"/>
                <w:szCs w:val="24"/>
              </w:rPr>
              <w:t xml:space="preserve"> </w:t>
            </w:r>
          </w:p>
          <w:p>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 xml:space="preserve">济南市槐荫区经十西路3100号 </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商务联系人：李苗</w:t>
            </w:r>
          </w:p>
          <w:p>
            <w:pPr>
              <w:pStyle w:val="16"/>
              <w:framePr w:hSpace="0" w:wrap="auto" w:vAnchor="margin" w:hAnchor="text" w:xAlign="left" w:yAlign="inline"/>
              <w:rPr>
                <w:rFonts w:hint="eastAsia"/>
                <w:color w:val="auto"/>
              </w:rPr>
            </w:pPr>
            <w:r>
              <w:rPr>
                <w:rFonts w:hint="eastAsia"/>
                <w:color w:val="auto"/>
              </w:rPr>
              <w:t>电话：13854132324</w:t>
            </w:r>
          </w:p>
          <w:p>
            <w:pPr>
              <w:ind w:firstLine="482" w:firstLineChars="200"/>
              <w:rPr>
                <w:rFonts w:hint="eastAsia" w:ascii="宋体" w:hAnsi="宋体" w:eastAsia="宋体" w:cs="宋体"/>
                <w:b/>
                <w:snapToGrid w:val="0"/>
                <w:kern w:val="0"/>
                <w:sz w:val="24"/>
                <w:szCs w:val="24"/>
              </w:rPr>
            </w:pPr>
            <w:r>
              <w:rPr>
                <w:rFonts w:hint="eastAsia" w:ascii="宋体" w:hAnsi="宋体" w:eastAsia="宋体" w:cs="宋体"/>
                <w:b/>
                <w:snapToGrid w:val="0"/>
                <w:kern w:val="0"/>
                <w:sz w:val="24"/>
                <w:szCs w:val="24"/>
              </w:rPr>
              <w:t>邮箱：</w:t>
            </w:r>
            <w:r>
              <w:rPr>
                <w:rFonts w:hint="eastAsia" w:ascii="宋体" w:hAnsi="宋体" w:eastAsia="宋体" w:cs="宋体"/>
                <w:bCs/>
                <w:snapToGrid w:val="0"/>
                <w:kern w:val="0"/>
                <w:sz w:val="24"/>
                <w:szCs w:val="24"/>
              </w:rPr>
              <w:t>limiao@sinotruk.com</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w:t>
            </w:r>
            <w:r>
              <w:rPr>
                <w:rFonts w:hint="eastAsia" w:ascii="宋体" w:hAnsi="宋体" w:eastAsia="宋体" w:cs="宋体"/>
                <w:bCs/>
                <w:snapToGrid w:val="0"/>
                <w:kern w:val="0"/>
                <w:sz w:val="24"/>
                <w:szCs w:val="24"/>
              </w:rPr>
              <w:t>马群</w:t>
            </w:r>
          </w:p>
          <w:p>
            <w:pPr>
              <w:pStyle w:val="16"/>
              <w:framePr w:hSpace="0" w:wrap="auto" w:vAnchor="margin" w:hAnchor="text" w:xAlign="left" w:yAlign="inline"/>
              <w:ind w:firstLine="482"/>
              <w:rPr>
                <w:rFonts w:hint="eastAsia"/>
                <w:color w:val="auto"/>
              </w:rPr>
            </w:pPr>
            <w:r>
              <w:rPr>
                <w:rFonts w:hint="eastAsia"/>
                <w:b/>
                <w:color w:val="auto"/>
              </w:rPr>
              <w:t>电话：</w:t>
            </w:r>
            <w:r>
              <w:rPr>
                <w:rFonts w:hint="eastAsia"/>
                <w:color w:val="auto"/>
              </w:rPr>
              <w:t>13156195046</w:t>
            </w:r>
          </w:p>
          <w:p>
            <w:pPr>
              <w:pStyle w:val="16"/>
              <w:framePr w:hSpace="0" w:wrap="auto" w:vAnchor="margin" w:hAnchor="text" w:xAlign="left" w:yAlign="inline"/>
              <w:rPr>
                <w:rFonts w:hint="eastAsia"/>
                <w:color w:val="auto"/>
                <w:highlight w:val="yellow"/>
              </w:rPr>
            </w:pPr>
            <w:r>
              <w:rPr>
                <w:rFonts w:hint="eastAsia"/>
                <w:color w:val="auto"/>
              </w:rPr>
              <w:t>投标方有不明事宜可以进行现场勘察及答疑。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Times New Roman"/>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pPr>
              <w:ind w:firstLine="482" w:firstLineChars="200"/>
              <w:rPr>
                <w:rFonts w:hint="eastAsia" w:ascii="宋体" w:hAnsi="宋体" w:eastAsia="宋体" w:cs="Times New Roman"/>
                <w:sz w:val="24"/>
                <w:szCs w:val="24"/>
              </w:rPr>
            </w:pPr>
            <w:r>
              <w:rPr>
                <w:rFonts w:hint="eastAsia" w:ascii="宋体" w:hAnsi="宋体" w:eastAsia="宋体" w:cs="Times New Roman"/>
                <w:b/>
                <w:bCs/>
                <w:sz w:val="24"/>
                <w:szCs w:val="24"/>
              </w:rPr>
              <w:t>报价货币：</w:t>
            </w:r>
            <w:r>
              <w:rPr>
                <w:rFonts w:hint="eastAsia" w:ascii="宋体" w:hAnsi="宋体" w:eastAsia="宋体" w:cs="Times New Roman"/>
                <w:sz w:val="24"/>
                <w:szCs w:val="24"/>
              </w:rPr>
              <w:t>人民币（</w:t>
            </w:r>
            <w:r>
              <w:rPr>
                <w:rFonts w:hint="eastAsia" w:ascii="宋体" w:hAnsi="宋体" w:eastAsia="宋体" w:cs="Times New Roman"/>
                <w:b/>
                <w:bCs/>
                <w:sz w:val="24"/>
                <w:szCs w:val="24"/>
              </w:rPr>
              <w:t>应同时报含税价和不含税价，写明税率</w:t>
            </w:r>
            <w:r>
              <w:rPr>
                <w:rFonts w:hint="eastAsia" w:ascii="宋体" w:hAnsi="宋体" w:eastAsia="宋体" w:cs="Times New Roman"/>
                <w:sz w:val="24"/>
                <w:szCs w:val="24"/>
              </w:rPr>
              <w:t>）。</w:t>
            </w:r>
          </w:p>
          <w:p>
            <w:pPr>
              <w:pStyle w:val="16"/>
              <w:framePr w:hSpace="0" w:wrap="auto" w:vAnchor="margin" w:hAnchor="text" w:xAlign="left" w:yAlign="inline"/>
              <w:ind w:firstLine="482"/>
              <w:rPr>
                <w:rFonts w:hint="eastAsia"/>
                <w:color w:val="auto"/>
              </w:rPr>
            </w:pPr>
            <w:r>
              <w:rPr>
                <w:rFonts w:hint="eastAsia"/>
                <w:b/>
                <w:color w:val="auto"/>
              </w:rPr>
              <w:t>投标限价</w:t>
            </w:r>
            <w:r>
              <w:rPr>
                <w:rFonts w:hint="eastAsia"/>
                <w:color w:val="auto"/>
              </w:rPr>
              <w:t>：人民币</w:t>
            </w:r>
            <w:r>
              <w:rPr>
                <w:rFonts w:hint="eastAsia"/>
                <w:color w:val="auto"/>
                <w:highlight w:val="yellow"/>
              </w:rPr>
              <w:t>8.279</w:t>
            </w:r>
            <w:r>
              <w:rPr>
                <w:rFonts w:hint="eastAsia"/>
                <w:color w:val="auto"/>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framePr w:hSpace="0" w:wrap="auto" w:vAnchor="margin" w:hAnchor="text" w:xAlign="left" w:yAlign="inline"/>
              <w:rPr>
                <w:rFonts w:hint="eastAsia"/>
                <w:color w:val="auto"/>
              </w:rPr>
            </w:pPr>
            <w:r>
              <w:rPr>
                <w:rFonts w:hint="eastAsia"/>
                <w:color w:val="auto"/>
              </w:rPr>
              <w:t>投标人条件：</w:t>
            </w:r>
          </w:p>
          <w:p>
            <w:pPr>
              <w:pStyle w:val="16"/>
              <w:framePr w:hSpace="0" w:wrap="auto" w:vAnchor="margin" w:hAnchor="text" w:xAlign="left" w:yAlign="inline"/>
              <w:rPr>
                <w:rFonts w:hint="eastAsia"/>
                <w:color w:val="auto"/>
              </w:rPr>
            </w:pPr>
            <w:r>
              <w:rPr>
                <w:rFonts w:hint="eastAsia"/>
                <w:color w:val="auto"/>
              </w:rPr>
              <w:t>1.拟标投人必须是在中华人民共和国境内注册的独立法人机构，具有独立承担民事责任能力；注册资金不少于</w:t>
            </w:r>
            <w:r>
              <w:rPr>
                <w:rFonts w:hint="eastAsia"/>
                <w:b/>
                <w:color w:val="auto"/>
                <w:highlight w:val="yellow"/>
                <w:u w:val="single"/>
              </w:rPr>
              <w:t>100万</w:t>
            </w:r>
            <w:r>
              <w:rPr>
                <w:rFonts w:hint="eastAsia"/>
                <w:color w:val="auto"/>
              </w:rPr>
              <w:t>人民币（或等值其他货币）；公司成立</w:t>
            </w:r>
            <w:r>
              <w:rPr>
                <w:rFonts w:hint="eastAsia"/>
                <w:b/>
                <w:color w:val="auto"/>
                <w:highlight w:val="yellow"/>
                <w:u w:val="single"/>
              </w:rPr>
              <w:t>三年以上</w:t>
            </w:r>
            <w:r>
              <w:rPr>
                <w:rFonts w:hint="eastAsia"/>
                <w:color w:val="auto"/>
              </w:rPr>
              <w:t>（以营业执照成立日期到开标当日满三年为准），且经营范围满足招标人需求；并在人员、设备、资金等方面具有承担本项目的能力；</w:t>
            </w:r>
          </w:p>
          <w:p>
            <w:pPr>
              <w:pStyle w:val="16"/>
              <w:framePr w:hSpace="0" w:wrap="auto" w:vAnchor="margin" w:hAnchor="text" w:xAlign="left" w:yAlign="inline"/>
              <w:rPr>
                <w:rFonts w:hint="eastAsia"/>
                <w:color w:val="auto"/>
              </w:rPr>
            </w:pPr>
            <w:r>
              <w:rPr>
                <w:rFonts w:hint="eastAsia"/>
                <w:color w:val="auto"/>
              </w:rPr>
              <w:t>2.拟投标人应提供营业执照</w:t>
            </w:r>
            <w:r>
              <w:rPr>
                <w:rFonts w:hint="eastAsia"/>
                <w:b/>
                <w:color w:val="auto"/>
              </w:rPr>
              <w:t>副本原件和扫描件（需盖章）</w:t>
            </w:r>
            <w:r>
              <w:rPr>
                <w:rFonts w:hint="eastAsia"/>
                <w:color w:val="auto"/>
              </w:rPr>
              <w:t>；</w:t>
            </w:r>
          </w:p>
          <w:p>
            <w:pPr>
              <w:pStyle w:val="16"/>
              <w:framePr w:hSpace="0" w:wrap="auto" w:vAnchor="margin" w:hAnchor="text" w:xAlign="left" w:yAlign="inline"/>
              <w:rPr>
                <w:rFonts w:hint="eastAsia"/>
                <w:color w:val="auto"/>
              </w:rPr>
            </w:pPr>
            <w:r>
              <w:rPr>
                <w:rFonts w:hint="eastAsia"/>
                <w:color w:val="auto"/>
              </w:rPr>
              <w:t>3.拟投标人应提供法定代表人资格证明文件；</w:t>
            </w:r>
          </w:p>
          <w:p>
            <w:pPr>
              <w:pStyle w:val="16"/>
              <w:framePr w:hSpace="0" w:wrap="auto" w:vAnchor="margin" w:hAnchor="text" w:xAlign="left" w:yAlign="inline"/>
              <w:rPr>
                <w:rFonts w:hint="eastAsia"/>
                <w:color w:val="auto"/>
              </w:rPr>
            </w:pPr>
            <w:r>
              <w:rPr>
                <w:rFonts w:hint="eastAsia"/>
                <w:color w:val="auto"/>
              </w:rPr>
              <w:t>4.</w:t>
            </w:r>
            <w:r>
              <w:rPr>
                <w:color w:val="auto"/>
              </w:rPr>
              <w:t>拟投标人在国家市场监督管理总局的《国家企业信用信息公示系统》中查询不存在不良记录</w:t>
            </w:r>
            <w:r>
              <w:rPr>
                <w:rFonts w:hint="eastAsia"/>
                <w:color w:val="auto"/>
              </w:rPr>
              <w:t>；</w:t>
            </w:r>
          </w:p>
          <w:p>
            <w:pPr>
              <w:pStyle w:val="16"/>
              <w:framePr w:hSpace="0" w:wrap="auto" w:vAnchor="margin" w:hAnchor="text" w:xAlign="left" w:yAlign="inline"/>
              <w:rPr>
                <w:rFonts w:hint="eastAsia"/>
                <w:color w:val="auto"/>
              </w:rPr>
            </w:pPr>
            <w:r>
              <w:rPr>
                <w:rFonts w:hint="eastAsia"/>
                <w:color w:val="auto"/>
              </w:rPr>
              <w:t>5.拟投标人不存在严重违规或被列入招标人“黑名单”的声明；</w:t>
            </w:r>
          </w:p>
          <w:p>
            <w:pPr>
              <w:pStyle w:val="16"/>
              <w:framePr w:hSpace="0" w:wrap="auto" w:vAnchor="margin" w:hAnchor="text" w:xAlign="left" w:yAlign="inline"/>
              <w:rPr>
                <w:rFonts w:hint="eastAsia"/>
                <w:color w:val="auto"/>
              </w:rPr>
            </w:pPr>
            <w:r>
              <w:rPr>
                <w:rFonts w:hint="eastAsia"/>
                <w:color w:val="auto"/>
              </w:rPr>
              <w:t>6.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pPr>
              <w:pStyle w:val="16"/>
              <w:framePr w:hSpace="0" w:wrap="auto" w:vAnchor="margin" w:hAnchor="text" w:xAlign="left" w:yAlign="inline"/>
              <w:rPr>
                <w:rFonts w:hint="eastAsia"/>
                <w:color w:val="auto"/>
                <w:lang w:bidi="ar"/>
              </w:rPr>
            </w:pPr>
            <w:r>
              <w:rPr>
                <w:rFonts w:hint="eastAsia"/>
                <w:color w:val="auto"/>
              </w:rPr>
              <w:t>7.拟投标人有与本次招标内容相同或类似项目业绩，且近3年内无因服务不当而造成重大事故；</w:t>
            </w:r>
          </w:p>
          <w:p>
            <w:pPr>
              <w:pStyle w:val="16"/>
              <w:framePr w:hSpace="0" w:wrap="auto" w:vAnchor="margin" w:hAnchor="text" w:xAlign="left" w:yAlign="inline"/>
              <w:rPr>
                <w:rFonts w:hint="eastAsia"/>
                <w:color w:val="auto"/>
              </w:rPr>
            </w:pPr>
            <w:r>
              <w:rPr>
                <w:rFonts w:hint="eastAsia"/>
                <w:color w:val="auto"/>
              </w:rPr>
              <w:t>8.</w:t>
            </w:r>
            <w:r>
              <w:rPr>
                <w:color w:val="auto"/>
              </w:rPr>
              <w:t>拟投标人近三年内在经营活动中无与本项目有关的违法及重大违规情况</w:t>
            </w:r>
            <w:r>
              <w:rPr>
                <w:rFonts w:hint="eastAsia"/>
                <w:color w:val="auto"/>
              </w:rPr>
              <w:t>；</w:t>
            </w:r>
          </w:p>
          <w:p>
            <w:pPr>
              <w:pStyle w:val="16"/>
              <w:framePr w:hSpace="0" w:wrap="auto" w:vAnchor="margin" w:hAnchor="text" w:xAlign="left" w:yAlign="inline"/>
              <w:rPr>
                <w:rFonts w:hint="eastAsia"/>
                <w:color w:val="auto"/>
              </w:rPr>
            </w:pPr>
            <w:r>
              <w:rPr>
                <w:rFonts w:hint="eastAsia"/>
                <w:color w:val="auto"/>
              </w:rPr>
              <w:t>9.拟投标人须认可招标人的工作指令，包括节、假日能正常开展工作的要求；</w:t>
            </w:r>
          </w:p>
          <w:p>
            <w:pPr>
              <w:pStyle w:val="16"/>
              <w:framePr w:hSpace="0" w:wrap="auto" w:vAnchor="margin" w:hAnchor="text" w:xAlign="left" w:yAlign="inline"/>
              <w:rPr>
                <w:rFonts w:hint="eastAsia"/>
                <w:color w:val="auto"/>
              </w:rPr>
            </w:pPr>
            <w:r>
              <w:rPr>
                <w:rFonts w:hint="eastAsia"/>
                <w:color w:val="auto"/>
              </w:rPr>
              <w:t>10.拟投标人最近半年纳税正常；</w:t>
            </w:r>
          </w:p>
          <w:p>
            <w:pPr>
              <w:pStyle w:val="16"/>
              <w:framePr w:hSpace="0" w:wrap="auto" w:vAnchor="margin" w:hAnchor="text" w:xAlign="left" w:yAlign="inline"/>
              <w:rPr>
                <w:rFonts w:hint="eastAsia"/>
                <w:color w:val="auto"/>
              </w:rPr>
            </w:pPr>
            <w:r>
              <w:rPr>
                <w:rFonts w:hint="eastAsia"/>
                <w:color w:val="auto"/>
              </w:rPr>
              <w:t>11.拟投标人信用证明材料（</w:t>
            </w:r>
            <w:r>
              <w:rPr>
                <w:rFonts w:hint="eastAsia"/>
                <w:color w:val="auto"/>
                <w:highlight w:val="yellow"/>
              </w:rPr>
              <w:t>征信中心出具的信用报告</w:t>
            </w:r>
            <w:r>
              <w:rPr>
                <w:rFonts w:hint="eastAsia"/>
                <w:color w:val="auto"/>
              </w:rPr>
              <w:t>）未显示异常；</w:t>
            </w:r>
          </w:p>
          <w:p>
            <w:pPr>
              <w:pStyle w:val="16"/>
              <w:framePr w:hSpace="0" w:wrap="auto" w:vAnchor="margin" w:hAnchor="text" w:xAlign="left" w:yAlign="inline"/>
              <w:rPr>
                <w:rFonts w:hint="eastAsia"/>
                <w:color w:val="auto"/>
              </w:rPr>
            </w:pPr>
            <w:r>
              <w:rPr>
                <w:rFonts w:hint="eastAsia"/>
                <w:color w:val="auto"/>
              </w:rPr>
              <w:t>12.拟投标人的直接或间接股东、法定代表人、董事、监事、高管非重汽员工及其亲属；</w:t>
            </w:r>
          </w:p>
          <w:p>
            <w:pPr>
              <w:pStyle w:val="16"/>
              <w:framePr w:hSpace="0" w:wrap="auto" w:vAnchor="margin" w:hAnchor="text" w:xAlign="left" w:yAlign="inline"/>
              <w:rPr>
                <w:rFonts w:hint="eastAsia"/>
                <w:color w:val="auto"/>
              </w:rPr>
            </w:pPr>
            <w:r>
              <w:rPr>
                <w:rFonts w:hint="eastAsia"/>
                <w:color w:val="auto"/>
              </w:rPr>
              <w:t>13.如为代理商投标，需获得生产厂家正式授权，提供授权书原件，保证提供原厂售后服务并提供原厂售后服务承诺书原件；</w:t>
            </w:r>
          </w:p>
          <w:p>
            <w:pPr>
              <w:pStyle w:val="16"/>
              <w:framePr w:hSpace="0" w:wrap="auto" w:vAnchor="margin" w:hAnchor="text" w:xAlign="left" w:yAlign="inline"/>
              <w:rPr>
                <w:rFonts w:hint="eastAsia"/>
                <w:color w:val="auto"/>
              </w:rPr>
            </w:pPr>
            <w:r>
              <w:rPr>
                <w:rFonts w:hint="eastAsia"/>
                <w:color w:val="auto"/>
              </w:rPr>
              <w:t>14.</w:t>
            </w:r>
            <w:r>
              <w:rPr>
                <w:rFonts w:hint="eastAsia"/>
                <w:b/>
                <w:color w:val="auto"/>
              </w:rPr>
              <w:t>本项目不接受联合体投标，</w:t>
            </w:r>
            <w:r>
              <w:rPr>
                <w:rFonts w:hint="eastAsia"/>
                <w:color w:val="auto"/>
              </w:rPr>
              <w:t>拟投标人必须是最终投标单位和签订合同单位，不得以任何理由将已中标项目以任何形式分包或转包给其他单位。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u w:val="single"/>
              </w:rPr>
              <w:t>8</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28</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、山东省阳光采购服务平台等公开媒体</w:t>
            </w:r>
            <w:r>
              <w:rPr>
                <w:rFonts w:ascii="宋体" w:hAnsi="宋体" w:eastAsia="宋体" w:cs="宋体"/>
                <w:sz w:val="24"/>
                <w:szCs w:val="24"/>
              </w:rPr>
              <w:t>公布</w:t>
            </w:r>
            <w:r>
              <w:rPr>
                <w:rFonts w:hint="eastAsia" w:ascii="宋体" w:hAnsi="宋体" w:eastAsia="宋体" w:cs="Times New Roman"/>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u w:val="single"/>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7</w:t>
            </w:r>
            <w:r>
              <w:rPr>
                <w:rFonts w:hint="eastAsia" w:ascii="宋体" w:hAnsi="宋体" w:eastAsia="宋体" w:cs="宋体"/>
                <w:bCs/>
                <w:sz w:val="24"/>
                <w:szCs w:val="24"/>
                <w:highlight w:val="yellow"/>
              </w:rPr>
              <w:t>日17:00前；</w:t>
            </w:r>
          </w:p>
          <w:p>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sz w:val="24"/>
                <w:szCs w:val="24"/>
              </w:rPr>
              <w:t>法定代表人授权委托书</w:t>
            </w:r>
            <w:r>
              <w:rPr>
                <w:rFonts w:hint="eastAsia" w:ascii="宋体" w:hAnsi="宋体" w:eastAsia="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2025年</w:t>
            </w:r>
            <w:r>
              <w:rPr>
                <w:rFonts w:hint="eastAsia" w:ascii="宋体" w:hAnsi="宋体" w:eastAsia="宋体" w:cs="宋体"/>
                <w:bCs/>
                <w:sz w:val="24"/>
                <w:szCs w:val="24"/>
                <w:highlight w:val="yellow"/>
                <w:u w:val="single"/>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7</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w:t>
            </w:r>
            <w:r>
              <w:rPr>
                <w:rFonts w:hint="eastAsia" w:ascii="宋体" w:hAnsi="宋体" w:eastAsia="宋体" w:cs="宋体"/>
                <w:sz w:val="24"/>
                <w:szCs w:val="24"/>
              </w:rPr>
              <w:t>前；</w:t>
            </w:r>
          </w:p>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1"/>
              <w:framePr w:wrap="auto" w:vAnchor="margin" w:hAnchor="text" w:yAlign="inline"/>
              <w:ind w:firstLine="480"/>
              <w:rPr>
                <w:rFonts w:hint="eastAsia"/>
                <w:color w:val="auto"/>
              </w:rPr>
            </w:pPr>
            <w:r>
              <w:rPr>
                <w:rFonts w:hint="eastAsia"/>
                <w:color w:val="auto"/>
              </w:rPr>
              <w:t>报名方式：拟投标人根据招标人在中国重汽官网等公开媒体上发布的招标信息，</w:t>
            </w:r>
            <w:r>
              <w:rPr>
                <w:rFonts w:hint="eastAsia" w:hAnsi="Courier New"/>
                <w:color w:val="auto"/>
              </w:rPr>
              <w:t>在“中国重汽e采通”平台报名</w:t>
            </w:r>
            <w:r>
              <w:rPr>
                <w:rFonts w:hint="eastAsia"/>
                <w:color w:val="auto"/>
              </w:rPr>
              <w:t>。按照中国重汽e采通“SRM非生产供应商注册手册”（附件15）进行注册，注册完毕后按照“SRM系统供应商用户手册（附件16）”，登录重汽e采通平台后进入“供应商应标”，选择对应的项目，点击“应标”后按照招标文件第三部分投标文件组成资格证明文件中的1.1</w:t>
            </w:r>
            <w:r>
              <w:rPr>
                <w:color w:val="auto"/>
              </w:rPr>
              <w:t>-</w:t>
            </w:r>
            <w:r>
              <w:rPr>
                <w:rFonts w:hint="eastAsia"/>
                <w:color w:val="auto"/>
              </w:rPr>
              <w:t>1.13准备资料并上传，资质审查通过即为报名成功</w:t>
            </w:r>
            <w:r>
              <w:rPr>
                <w:rFonts w:hint="eastAsia" w:hAnsi="Courier New"/>
                <w:color w:val="auto"/>
              </w:rPr>
              <w:t>；公示期间请尽快报名</w:t>
            </w:r>
            <w:r>
              <w:rPr>
                <w:rFonts w:hint="eastAsia"/>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1"/>
              <w:framePr w:wrap="auto" w:vAnchor="margin" w:hAnchor="text" w:yAlign="inline"/>
              <w:ind w:firstLine="482"/>
              <w:rPr>
                <w:rFonts w:hint="eastAsia"/>
                <w:color w:val="auto"/>
                <w:highlight w:val="yellow"/>
              </w:rPr>
            </w:pPr>
            <w:r>
              <w:rPr>
                <w:rFonts w:hint="eastAsia"/>
                <w:b/>
                <w:color w:val="auto"/>
              </w:rPr>
              <w:t>应标截止时间：</w:t>
            </w:r>
            <w:r>
              <w:rPr>
                <w:rFonts w:hint="eastAsia"/>
                <w:color w:val="auto"/>
                <w:highlight w:val="yellow"/>
              </w:rPr>
              <w:t>2025年</w:t>
            </w:r>
            <w:r>
              <w:rPr>
                <w:rFonts w:hint="eastAsia"/>
                <w:color w:val="auto"/>
                <w:highlight w:val="yellow"/>
                <w:u w:val="single"/>
                <w:lang w:val="en-US" w:eastAsia="zh-CN"/>
              </w:rPr>
              <w:t>9</w:t>
            </w:r>
            <w:r>
              <w:rPr>
                <w:rFonts w:hint="eastAsia"/>
                <w:color w:val="auto"/>
                <w:highlight w:val="yellow"/>
              </w:rPr>
              <w:t>月</w:t>
            </w:r>
            <w:r>
              <w:rPr>
                <w:rFonts w:hint="eastAsia"/>
                <w:color w:val="auto"/>
                <w:highlight w:val="yellow"/>
                <w:u w:val="single"/>
                <w:lang w:val="en-US" w:eastAsia="zh-CN"/>
              </w:rPr>
              <w:t>7</w:t>
            </w:r>
            <w:r>
              <w:rPr>
                <w:rFonts w:hint="eastAsia"/>
                <w:color w:val="auto"/>
                <w:highlight w:val="yellow"/>
              </w:rPr>
              <w:t>日17时00分00秒</w:t>
            </w:r>
          </w:p>
          <w:p>
            <w:pPr>
              <w:pStyle w:val="111"/>
              <w:framePr w:wrap="auto" w:vAnchor="margin" w:hAnchor="text" w:yAlign="inline"/>
              <w:ind w:firstLine="480"/>
              <w:rPr>
                <w:rFonts w:hint="eastAsia"/>
                <w:color w:val="auto"/>
                <w:highlight w:val="yellow"/>
              </w:rPr>
            </w:pPr>
            <w:r>
              <w:rPr>
                <w:rFonts w:hint="eastAsia"/>
                <w:color w:val="auto"/>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rPr>
              <w:t>，均由</w:t>
            </w:r>
            <w:r>
              <w:rPr>
                <w:rFonts w:hint="eastAsia" w:eastAsia="宋体" w:cs="宋体"/>
                <w:b/>
                <w:sz w:val="24"/>
                <w:szCs w:val="24"/>
              </w:rPr>
              <w:t>《投标文件（资质标）》、《投标文件（商务标）》（开标一览表）</w:t>
            </w:r>
            <w:r>
              <w:rPr>
                <w:rFonts w:hint="eastAsia" w:eastAsia="宋体" w:cs="宋体"/>
                <w:bCs/>
                <w:sz w:val="24"/>
                <w:szCs w:val="24"/>
              </w:rPr>
              <w:t>文件组成，共计2个文件</w:t>
            </w:r>
            <w:r>
              <w:rPr>
                <w:rFonts w:hint="eastAsia" w:ascii="宋体" w:hAnsi="宋体" w:eastAsia="宋体" w:cs="宋体"/>
                <w:bCs/>
                <w:sz w:val="24"/>
                <w:szCs w:val="24"/>
              </w:rPr>
              <w:t>。</w:t>
            </w:r>
          </w:p>
          <w:p>
            <w:pPr>
              <w:ind w:firstLine="482" w:firstLineChars="200"/>
              <w:rPr>
                <w:rFonts w:hint="eastAsia"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pPr>
              <w:ind w:firstLine="480" w:firstLineChars="200"/>
              <w:rPr>
                <w:rFonts w:hint="eastAsia" w:ascii="宋体" w:hAnsi="宋体" w:eastAsia="宋体" w:cs="宋体"/>
                <w:sz w:val="24"/>
                <w:szCs w:val="24"/>
              </w:rPr>
            </w:pPr>
            <w:r>
              <w:rPr>
                <w:rFonts w:hint="eastAsia" w:ascii="宋体" w:hAnsi="宋体" w:eastAsia="宋体" w:cs="宋体"/>
                <w:bCs/>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pPr>
              <w:ind w:firstLine="420" w:firstLineChars="200"/>
              <w:rPr>
                <w:rFonts w:hint="eastAsia"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rPr>
              <w:t>正本一份，</w:t>
            </w:r>
            <w:r>
              <w:rPr>
                <w:rFonts w:hint="eastAsia" w:ascii="宋体" w:hAnsi="宋体" w:eastAsia="宋体" w:cs="宋体"/>
                <w:bCs/>
                <w:sz w:val="24"/>
                <w:szCs w:val="24"/>
              </w:rPr>
              <w:t>资质投标书、商务投标书的</w:t>
            </w:r>
            <w:r>
              <w:rPr>
                <w:rFonts w:hint="eastAsia" w:eastAsia="宋体" w:cs="宋体"/>
                <w:b/>
                <w:sz w:val="24"/>
                <w:szCs w:val="24"/>
              </w:rPr>
              <w:t>同类文件封装在一个包封里，包封表面按照附件13标注文件信息；共计二个包封</w:t>
            </w:r>
            <w:r>
              <w:rPr>
                <w:rFonts w:hint="eastAsia" w:eastAsia="宋体" w:cs="宋体"/>
                <w:bCs/>
                <w:sz w:val="24"/>
                <w:szCs w:val="24"/>
              </w:rPr>
              <w:t>。</w:t>
            </w:r>
          </w:p>
          <w:p>
            <w:pPr>
              <w:pStyle w:val="16"/>
              <w:framePr w:hSpace="0" w:wrap="auto" w:vAnchor="margin" w:hAnchor="text" w:xAlign="left" w:yAlign="inline"/>
              <w:rPr>
                <w:rFonts w:hint="eastAsia"/>
                <w:color w:val="auto"/>
              </w:rPr>
            </w:pPr>
            <w:r>
              <w:rPr>
                <w:rFonts w:hint="eastAsia"/>
                <w:color w:val="auto"/>
              </w:rPr>
              <w:t>如选择到场参与开标，自行携带纸质投标文件于开标前至开标地点即可。</w:t>
            </w:r>
          </w:p>
          <w:p>
            <w:pPr>
              <w:pStyle w:val="16"/>
              <w:framePr w:hSpace="0" w:wrap="auto" w:vAnchor="margin" w:hAnchor="text" w:xAlign="left" w:yAlign="inline"/>
              <w:rPr>
                <w:rFonts w:hint="eastAsia"/>
                <w:color w:val="auto"/>
              </w:rPr>
            </w:pPr>
            <w:r>
              <w:rPr>
                <w:rFonts w:hint="eastAsia"/>
                <w:color w:val="auto"/>
              </w:rPr>
              <w:t>如选择线上参与开标，纸质投标文件需在开标日前两天，邮寄到指定地址。</w:t>
            </w:r>
          </w:p>
          <w:p>
            <w:pPr>
              <w:pStyle w:val="16"/>
              <w:framePr w:hSpace="0" w:wrap="auto" w:vAnchor="margin" w:hAnchor="text" w:xAlign="left" w:yAlign="inline"/>
              <w:ind w:firstLine="482"/>
              <w:rPr>
                <w:rFonts w:hint="eastAsia"/>
                <w:color w:val="auto"/>
              </w:rPr>
            </w:pPr>
            <w:r>
              <w:rPr>
                <w:rFonts w:hint="eastAsia" w:asciiTheme="minorHAnsi" w:hAnsiTheme="minorHAnsi"/>
                <w:b/>
                <w:color w:val="auto"/>
              </w:rPr>
              <w:t>邮寄地址：</w:t>
            </w:r>
            <w:r>
              <w:rPr>
                <w:rFonts w:hint="eastAsia"/>
                <w:color w:val="auto"/>
                <w:highlight w:val="yellow"/>
              </w:rPr>
              <w:t>山东省济南市槐荫区经十西路3100号</w:t>
            </w:r>
          </w:p>
          <w:p>
            <w:pPr>
              <w:pStyle w:val="16"/>
              <w:framePr w:hSpace="0" w:wrap="auto" w:vAnchor="margin" w:hAnchor="text" w:xAlign="left" w:yAlign="inline"/>
              <w:ind w:firstLine="482"/>
              <w:rPr>
                <w:rFonts w:hint="eastAsia"/>
                <w:color w:val="auto"/>
              </w:rPr>
            </w:pPr>
            <w:r>
              <w:rPr>
                <w:rFonts w:hint="eastAsia"/>
                <w:b/>
                <w:color w:val="auto"/>
              </w:rPr>
              <w:t>联系人及联系方式：</w:t>
            </w:r>
            <w:r>
              <w:rPr>
                <w:rFonts w:hint="eastAsia"/>
                <w:color w:val="auto"/>
                <w:highlight w:val="yellow"/>
              </w:rPr>
              <w:t>李苗/13854132324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framePr w:hSpace="0" w:wrap="auto" w:vAnchor="margin" w:hAnchor="text" w:xAlign="left" w:yAlign="inline"/>
              <w:rPr>
                <w:rFonts w:hint="eastAsia"/>
                <w:color w:val="auto"/>
              </w:rPr>
            </w:pPr>
            <w:r>
              <w:rPr>
                <w:rFonts w:hint="eastAsia"/>
                <w:color w:val="auto"/>
              </w:rPr>
              <w:t>纸质版投标文件和电子版投标文件必须保证内容一致；如确实存在不一致的，以电子标书为准，同时要求投标人对纸版标书做出修正。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6"/>
              <w:framePr w:hSpace="0" w:wrap="auto" w:vAnchor="margin" w:hAnchor="text" w:xAlign="left" w:yAlign="inline"/>
              <w:rPr>
                <w:rFonts w:hint="eastAsia" w:asciiTheme="minorHAnsi" w:hAnsiTheme="minorHAnsi"/>
                <w:color w:val="auto"/>
              </w:rPr>
            </w:pPr>
            <w:r>
              <w:rPr>
                <w:rFonts w:hint="eastAsia"/>
                <w:color w:val="auto"/>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framePr w:hSpace="0" w:wrap="auto" w:vAnchor="margin" w:hAnchor="text" w:xAlign="left" w:yAlign="inline"/>
              <w:ind w:firstLine="482"/>
              <w:rPr>
                <w:rFonts w:hint="eastAsia"/>
                <w:color w:val="auto"/>
                <w:highlight w:val="yellow"/>
              </w:rPr>
            </w:pPr>
            <w:r>
              <w:rPr>
                <w:rFonts w:hint="eastAsia"/>
                <w:b/>
                <w:color w:val="auto"/>
              </w:rPr>
              <w:t>投标文件递交截止时间：</w:t>
            </w:r>
            <w:r>
              <w:rPr>
                <w:rFonts w:hint="eastAsia"/>
                <w:color w:val="auto"/>
                <w:highlight w:val="yellow"/>
                <w:u w:val="single"/>
              </w:rPr>
              <w:t>2025</w:t>
            </w:r>
            <w:r>
              <w:rPr>
                <w:rFonts w:hint="eastAsia"/>
                <w:color w:val="auto"/>
                <w:highlight w:val="yellow"/>
              </w:rPr>
              <w:t>年</w:t>
            </w:r>
            <w:r>
              <w:rPr>
                <w:rFonts w:hint="eastAsia"/>
                <w:color w:val="auto"/>
                <w:highlight w:val="yellow"/>
                <w:u w:val="single"/>
                <w:lang w:val="en-US" w:eastAsia="zh-CN"/>
              </w:rPr>
              <w:t>9</w:t>
            </w:r>
            <w:r>
              <w:rPr>
                <w:rFonts w:hint="eastAsia"/>
                <w:color w:val="auto"/>
                <w:highlight w:val="yellow"/>
              </w:rPr>
              <w:t>月</w:t>
            </w:r>
            <w:r>
              <w:rPr>
                <w:rFonts w:hint="eastAsia"/>
                <w:color w:val="auto"/>
                <w:highlight w:val="yellow"/>
                <w:lang w:val="en-US" w:eastAsia="zh-CN"/>
              </w:rPr>
              <w:t>7</w:t>
            </w:r>
            <w:r>
              <w:rPr>
                <w:rFonts w:hint="eastAsia"/>
                <w:color w:val="auto"/>
                <w:highlight w:val="yellow"/>
              </w:rPr>
              <w:t>日上午9:00:00（北京时间）</w:t>
            </w:r>
          </w:p>
          <w:p>
            <w:pPr>
              <w:pStyle w:val="16"/>
              <w:framePr w:hSpace="0" w:wrap="auto" w:vAnchor="margin" w:hAnchor="text" w:xAlign="left" w:yAlign="inline"/>
              <w:rPr>
                <w:rFonts w:hint="eastAsia"/>
                <w:color w:val="auto"/>
                <w:highlight w:val="yellow"/>
              </w:rPr>
            </w:pPr>
            <w:r>
              <w:rPr>
                <w:rFonts w:hint="eastAsia"/>
                <w:color w:val="auto"/>
              </w:rPr>
              <w:t>注：请务必在投标文件递交截止时间前完成投标操作，截止时间精确到秒，逾期将无法投标。请自行掌握时间，避免无法投标</w:t>
            </w:r>
            <w:r>
              <w:rPr>
                <w:rFonts w:hint="eastAsia"/>
                <w:color w:val="auto"/>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开 户 行：中信银行济南舜耕支行 </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开户名称：中国重汽集团济南特种车有限公司 </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账    号：7372610182600060547 </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纳税人识别号：913701007806234860 </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投标保证金：5000元</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rPr>
            </w:pPr>
            <w:r>
              <w:rPr>
                <w:rFonts w:hint="eastAsia" w:ascii="宋体" w:hAnsi="宋体" w:eastAsia="宋体" w:cs="宋体"/>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5年</w:t>
            </w:r>
            <w:r>
              <w:rPr>
                <w:rFonts w:hint="eastAsia" w:ascii="宋体" w:hAnsi="宋体" w:cs="宋体"/>
                <w:bCs/>
                <w:sz w:val="24"/>
                <w:szCs w:val="24"/>
                <w:highlight w:val="yellow"/>
                <w:u w:val="single"/>
                <w:lang w:val="en-US" w:eastAsia="zh-CN"/>
              </w:rPr>
              <w:t>9</w:t>
            </w:r>
            <w:r>
              <w:rPr>
                <w:rFonts w:hint="eastAsia" w:ascii="宋体" w:hAnsi="宋体" w:cs="宋体"/>
                <w:bCs/>
                <w:sz w:val="24"/>
                <w:szCs w:val="24"/>
                <w:highlight w:val="yellow"/>
              </w:rPr>
              <w:t>月</w:t>
            </w:r>
            <w:r>
              <w:rPr>
                <w:rFonts w:hint="eastAsia" w:ascii="宋体" w:hAnsi="宋体" w:cs="宋体"/>
                <w:bCs/>
                <w:sz w:val="24"/>
                <w:szCs w:val="24"/>
                <w:highlight w:val="yellow"/>
                <w:u w:val="single"/>
                <w:lang w:val="en-US" w:eastAsia="zh-CN"/>
              </w:rPr>
              <w:t>7</w:t>
            </w:r>
            <w:r>
              <w:rPr>
                <w:rFonts w:hint="eastAsia" w:ascii="宋体" w:hAnsi="宋体" w:cs="宋体"/>
                <w:bCs/>
                <w:sz w:val="24"/>
                <w:szCs w:val="24"/>
                <w:highlight w:val="yellow"/>
              </w:rPr>
              <w:t>日</w:t>
            </w:r>
            <w:r>
              <w:rPr>
                <w:rFonts w:hint="eastAsia" w:ascii="宋体" w:hAnsi="宋体" w:cs="宋体"/>
                <w:sz w:val="24"/>
                <w:szCs w:val="24"/>
                <w:highlight w:val="yellow"/>
              </w:rPr>
              <w:t>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pPr>
              <w:pStyle w:val="34"/>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hint="eastAsia"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对于没有中标的投标人，投标保证金将于招标人内部完成中标人评审并确认最终中标人后在30工作日内予以原路返还；对于中标方，投标保证金将在签订合同后30个工作日内原路返还。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5年</w:t>
            </w:r>
            <w:r>
              <w:rPr>
                <w:rFonts w:hint="eastAsia" w:ascii="宋体" w:hAnsi="宋体" w:eastAsia="宋体" w:cs="宋体"/>
                <w:bCs/>
                <w:sz w:val="24"/>
                <w:szCs w:val="24"/>
                <w:highlight w:val="yellow"/>
                <w:u w:val="single"/>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7</w:t>
            </w:r>
            <w:bookmarkStart w:id="1253" w:name="_GoBack"/>
            <w:bookmarkEnd w:id="1253"/>
            <w:r>
              <w:rPr>
                <w:rFonts w:hint="eastAsia" w:ascii="宋体" w:hAnsi="宋体" w:eastAsia="宋体" w:cs="宋体"/>
                <w:bCs/>
                <w:sz w:val="24"/>
                <w:szCs w:val="24"/>
                <w:highlight w:val="yellow"/>
              </w:rPr>
              <w:t>日</w:t>
            </w:r>
            <w:r>
              <w:rPr>
                <w:rFonts w:hint="eastAsia" w:ascii="宋体" w:hAnsi="宋体" w:cs="宋体"/>
                <w:sz w:val="24"/>
                <w:szCs w:val="24"/>
                <w:highlight w:val="yellow"/>
              </w:rPr>
              <w:t>9:</w:t>
            </w:r>
            <w:r>
              <w:rPr>
                <w:rFonts w:ascii="宋体" w:hAnsi="宋体" w:cs="宋体"/>
                <w:sz w:val="24"/>
                <w:szCs w:val="24"/>
                <w:highlight w:val="yellow"/>
              </w:rPr>
              <w:t>0</w:t>
            </w:r>
            <w:r>
              <w:rPr>
                <w:rFonts w:hint="eastAsia" w:ascii="宋体" w:hAnsi="宋体" w:cs="宋体"/>
                <w:sz w:val="24"/>
                <w:szCs w:val="24"/>
                <w:highlight w:val="yellow"/>
              </w:rPr>
              <w:t>0:00</w:t>
            </w:r>
            <w:r>
              <w:rPr>
                <w:rFonts w:hint="eastAsia" w:ascii="宋体" w:hAnsi="宋体" w:eastAsia="宋体" w:cs="宋体"/>
                <w:kern w:val="0"/>
                <w:sz w:val="24"/>
                <w:szCs w:val="24"/>
                <w:highlight w:val="yellow"/>
              </w:rPr>
              <w:t>。（如有变动，将另行通知）</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Times New Roman"/>
                <w:sz w:val="24"/>
                <w:szCs w:val="24"/>
                <w:highlight w:val="yellow"/>
              </w:rPr>
              <w:t>山东省济南市</w:t>
            </w:r>
            <w:r>
              <w:rPr>
                <w:rFonts w:hint="eastAsia" w:hAnsi="宋体" w:eastAsia="宋体" w:cs="Times New Roman"/>
                <w:sz w:val="24"/>
                <w:szCs w:val="24"/>
                <w:highlight w:val="yellow"/>
              </w:rPr>
              <w:t>槐荫区经十西路3100号中国重汽集团济南特种车有限公司北楼2楼保密会议室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评标方法：资质标审核→商务标评审。资质标入围后，原则上选取</w:t>
            </w:r>
            <w:r>
              <w:rPr>
                <w:rFonts w:hint="eastAsia" w:ascii="宋体" w:hAnsi="宋体" w:eastAsia="宋体" w:cs="Times New Roman"/>
                <w:b/>
                <w:bCs/>
                <w:sz w:val="24"/>
                <w:szCs w:val="24"/>
              </w:rPr>
              <w:t>合理最低价中标</w:t>
            </w:r>
            <w:r>
              <w:rPr>
                <w:rFonts w:hint="eastAsia" w:ascii="宋体" w:hAnsi="宋体" w:eastAsia="宋体" w:cs="宋体"/>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framePr w:hSpace="0" w:wrap="auto" w:vAnchor="margin" w:hAnchor="text" w:xAlign="left" w:yAlign="inline"/>
              <w:ind w:firstLine="482"/>
              <w:rPr>
                <w:rFonts w:hint="eastAsia"/>
                <w:color w:val="auto"/>
              </w:rPr>
            </w:pPr>
            <w:r>
              <w:rPr>
                <w:rFonts w:hint="eastAsia"/>
                <w:b/>
                <w:color w:val="auto"/>
              </w:rPr>
              <w:t>交货期：自合同签字生效之日起，10日历日之内交货至供货地点</w:t>
            </w:r>
            <w:r>
              <w:rPr>
                <w:rFonts w:hint="eastAsia"/>
                <w:color w:val="auto"/>
              </w:rPr>
              <w:t>。</w:t>
            </w:r>
          </w:p>
          <w:p>
            <w:pPr>
              <w:pStyle w:val="16"/>
              <w:framePr w:hSpace="0" w:wrap="auto" w:vAnchor="margin" w:hAnchor="text" w:xAlign="left" w:yAlign="inline"/>
              <w:rPr>
                <w:rFonts w:hint="eastAsia"/>
                <w:color w:val="auto"/>
              </w:rPr>
            </w:pPr>
            <w:r>
              <w:rPr>
                <w:rFonts w:hint="eastAsia"/>
                <w:color w:val="auto"/>
              </w:rPr>
              <w:t>接续15个日历日之内安装调试完毕。</w:t>
            </w:r>
          </w:p>
          <w:p>
            <w:pPr>
              <w:pStyle w:val="16"/>
              <w:framePr w:hSpace="0" w:wrap="auto" w:vAnchor="margin" w:hAnchor="text" w:xAlign="left" w:yAlign="inline"/>
              <w:rPr>
                <w:rFonts w:hint="eastAsia"/>
                <w:color w:val="auto"/>
              </w:rPr>
            </w:pPr>
            <w:r>
              <w:rPr>
                <w:rFonts w:hint="eastAsia"/>
                <w:color w:val="auto"/>
              </w:rPr>
              <w:t>接续30个日历日之内完成终验收。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framePr w:hSpace="0" w:wrap="auto" w:vAnchor="margin" w:hAnchor="text" w:xAlign="left" w:yAlign="inline"/>
              <w:ind w:firstLine="482"/>
              <w:rPr>
                <w:rFonts w:hint="eastAsia"/>
                <w:color w:val="auto"/>
              </w:rPr>
            </w:pPr>
            <w:r>
              <w:rPr>
                <w:rFonts w:hint="eastAsia"/>
                <w:b/>
                <w:color w:val="auto"/>
              </w:rPr>
              <w:t>交货方式：</w:t>
            </w:r>
            <w:r>
              <w:rPr>
                <w:rFonts w:hint="eastAsia"/>
                <w:color w:val="auto"/>
              </w:rPr>
              <w:t>交钥匙方式；</w:t>
            </w:r>
          </w:p>
          <w:p>
            <w:pPr>
              <w:pStyle w:val="16"/>
              <w:framePr w:hSpace="0" w:wrap="auto" w:vAnchor="margin" w:hAnchor="text" w:xAlign="left" w:yAlign="inline"/>
              <w:rPr>
                <w:rFonts w:hint="eastAsia"/>
                <w:color w:val="auto"/>
              </w:rPr>
            </w:pPr>
            <w:r>
              <w:rPr>
                <w:rFonts w:hint="eastAsia"/>
                <w:color w:val="auto"/>
              </w:rPr>
              <w:t>交货地点：山东省济南市槐荫区经十西路3100号中国重汽集团济南特种车有限公司厂区。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hint="eastAsia"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u w:val="single"/>
              </w:rPr>
              <w:t>壹拾贰</w:t>
            </w:r>
            <w:r>
              <w:rPr>
                <w:rFonts w:hint="eastAsia" w:ascii="宋体" w:hAnsi="宋体" w:eastAsia="宋体" w:cs="宋体"/>
                <w:b/>
                <w:sz w:val="24"/>
                <w:szCs w:val="24"/>
              </w:rPr>
              <w:t>个月。</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framePr w:hSpace="0" w:wrap="auto" w:vAnchor="margin" w:hAnchor="text" w:xAlign="left" w:yAlign="inline"/>
              <w:rPr>
                <w:rFonts w:hint="eastAsia"/>
                <w:color w:val="auto"/>
                <w:highlight w:val="yellow"/>
              </w:rPr>
            </w:pPr>
            <w:r>
              <w:rPr>
                <w:rFonts w:hint="eastAsia"/>
                <w:color w:val="auto"/>
              </w:rPr>
              <w:t>付款方式：</w:t>
            </w:r>
            <w:r>
              <w:rPr>
                <w:rFonts w:hint="eastAsia"/>
                <w:color w:val="auto"/>
                <w:highlight w:val="yellow"/>
              </w:rPr>
              <w:t>半年期商业汇票（包括银行承兑汇票或商业承兑汇票）：</w:t>
            </w:r>
          </w:p>
          <w:p>
            <w:pPr>
              <w:pStyle w:val="16"/>
              <w:framePr w:hSpace="0" w:wrap="auto" w:vAnchor="margin" w:hAnchor="text" w:xAlign="left" w:yAlign="inline"/>
              <w:rPr>
                <w:rFonts w:hint="eastAsia"/>
                <w:color w:val="auto"/>
              </w:rPr>
            </w:pPr>
            <w:r>
              <w:rPr>
                <w:rFonts w:hint="eastAsia"/>
                <w:color w:val="auto"/>
              </w:rPr>
              <w:t>（</w:t>
            </w:r>
            <w:r>
              <w:rPr>
                <w:color w:val="auto"/>
              </w:rPr>
              <w:t>1）全部到齐无质量问题，经安装、调试最终验收合格后，卖方提交金额为合同价款 90 %的收据及合同总额的增值税专用发票（税率13%,正本一份，复印件二份）并附带该套合同最终验收报告的原件及其复印件两份，经买方依照财务制度审核无误后支付：</w:t>
            </w:r>
          </w:p>
          <w:p>
            <w:pPr>
              <w:pStyle w:val="16"/>
              <w:framePr w:hSpace="0" w:wrap="auto" w:vAnchor="margin" w:hAnchor="text" w:xAlign="left" w:yAlign="inline"/>
              <w:rPr>
                <w:rFonts w:hint="eastAsia"/>
                <w:color w:val="auto"/>
                <w:highlight w:val="yellow"/>
              </w:rPr>
            </w:pPr>
            <w:r>
              <w:rPr>
                <w:rFonts w:hint="eastAsia"/>
                <w:color w:val="auto"/>
              </w:rPr>
              <w:t>（</w:t>
            </w:r>
            <w:r>
              <w:rPr>
                <w:color w:val="auto"/>
              </w:rPr>
              <w:t>2）合同总价款的 10 %作为本合同约定的质量保证金，质量保证金在质量保证期内不计利息。待合同设备验收通过贰年后，卖方向买方提交金额为合同价款10%的收据（正本一份，复印件二份）及使用单位或管理单位的使用情况说明，经买方依照财务制度审核无误后支付。如有质量问题，质量保证金予以相应扣除。</w:t>
            </w:r>
          </w:p>
          <w:p>
            <w:pPr>
              <w:pStyle w:val="16"/>
              <w:framePr w:hSpace="0" w:wrap="auto" w:vAnchor="margin" w:hAnchor="text" w:xAlign="left" w:yAlign="inline"/>
              <w:rPr>
                <w:rFonts w:hint="eastAsia"/>
                <w:color w:val="auto"/>
                <w:highlight w:val="yellow"/>
              </w:rPr>
            </w:pPr>
          </w:p>
          <w:p>
            <w:pPr>
              <w:pStyle w:val="16"/>
              <w:framePr w:hSpace="0" w:wrap="auto" w:vAnchor="margin" w:hAnchor="text" w:xAlign="left" w:yAlign="inline"/>
              <w:rPr>
                <w:rFonts w:hint="eastAsia"/>
                <w:color w:val="auto"/>
                <w:highlight w:val="yellow"/>
              </w:rPr>
            </w:pPr>
          </w:p>
          <w:p>
            <w:pPr>
              <w:pStyle w:val="34"/>
              <w:adjustRightInd w:val="0"/>
              <w:spacing w:after="0" w:line="240" w:lineRule="auto"/>
              <w:ind w:left="0" w:leftChars="0" w:firstLine="0" w:firstLineChars="0"/>
              <w:rPr>
                <w:rFonts w:hint="eastAsia" w:ascii="宋体" w:hAnsi="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宋体" w:hAnsi="宋体" w:eastAsia="宋体" w:cs="宋体"/>
                <w:b/>
                <w:sz w:val="24"/>
                <w:szCs w:val="24"/>
              </w:rPr>
            </w:pPr>
            <w:r>
              <w:rPr>
                <w:rFonts w:hint="eastAsia" w:ascii="宋体" w:hAnsi="宋体" w:eastAsia="宋体" w:cs="宋体"/>
                <w:b/>
                <w:sz w:val="24"/>
                <w:szCs w:val="24"/>
              </w:rPr>
              <w:t>增值税专用发票开票信息：</w:t>
            </w:r>
          </w:p>
          <w:p>
            <w:pPr>
              <w:ind w:firstLine="480" w:firstLineChars="200"/>
              <w:rPr>
                <w:rFonts w:hint="eastAsia" w:ascii="宋体" w:hAnsi="宋体" w:cs="宋体"/>
                <w:bCs/>
                <w:sz w:val="24"/>
                <w:szCs w:val="24"/>
              </w:rPr>
            </w:pPr>
            <w:r>
              <w:rPr>
                <w:rFonts w:hint="eastAsia" w:ascii="宋体" w:hAnsi="宋体" w:eastAsia="宋体" w:cs="宋体"/>
                <w:sz w:val="24"/>
                <w:szCs w:val="24"/>
                <w:lang w:bidi="ar"/>
              </w:rPr>
              <w:t>见最终合同签订信息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1"/>
              <w:jc w:val="center"/>
              <w:rPr>
                <w:rFonts w:hint="eastAsia"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hint="eastAsia"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20</w:t>
            </w:r>
            <w:r>
              <w:rPr>
                <w:rFonts w:hint="eastAsia" w:ascii="宋体" w:hAnsi="宋体" w:eastAsia="宋体" w:cs="宋体"/>
                <w:sz w:val="24"/>
                <w:szCs w:val="24"/>
              </w:rPr>
              <w:t>日内需根据设计</w:t>
            </w:r>
            <w:r>
              <w:rPr>
                <w:rStyle w:val="41"/>
                <w:rFonts w:hint="eastAsia" w:ascii="宋体" w:hAnsi="宋体" w:eastAsia="宋体" w:cs="宋体"/>
                <w:sz w:val="24"/>
                <w:szCs w:val="24"/>
              </w:rPr>
              <w:t>提资</w:t>
            </w:r>
            <w:r>
              <w:rPr>
                <w:rFonts w:hint="eastAsia" w:ascii="宋体" w:hAnsi="宋体" w:eastAsia="宋体" w:cs="宋体"/>
                <w:sz w:val="24"/>
                <w:szCs w:val="24"/>
              </w:rPr>
              <w:t>要求提供详细的</w:t>
            </w:r>
            <w:r>
              <w:rPr>
                <w:rStyle w:val="41"/>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1"/>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1"/>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bl>
    <w:p>
      <w:pPr>
        <w:pStyle w:val="16"/>
        <w:framePr w:wrap="around"/>
        <w:numPr>
          <w:ilvl w:val="0"/>
          <w:numId w:val="1"/>
        </w:numPr>
        <w:ind w:firstLineChars="0"/>
        <w:rPr>
          <w:rFonts w:hint="eastAsia"/>
          <w:color w:val="auto"/>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16"/>
        <w:framePr w:wrap="around"/>
        <w:rPr>
          <w:rFonts w:hint="eastAsia"/>
          <w:color w:val="auto"/>
        </w:rPr>
      </w:pPr>
      <w:bookmarkStart w:id="2" w:name="_Toc15609"/>
    </w:p>
    <w:p>
      <w:pPr>
        <w:pStyle w:val="16"/>
        <w:framePr w:wrap="around"/>
        <w:rPr>
          <w:rFonts w:hint="eastAsia"/>
          <w:color w:val="auto"/>
        </w:rPr>
      </w:pPr>
    </w:p>
    <w:p>
      <w:pPr>
        <w:pStyle w:val="16"/>
        <w:framePr w:wrap="around"/>
        <w:rPr>
          <w:rFonts w:hint="eastAsia"/>
          <w:color w:val="auto"/>
        </w:rPr>
      </w:pPr>
    </w:p>
    <w:p>
      <w:pPr>
        <w:pStyle w:val="16"/>
        <w:framePr w:wrap="around"/>
        <w:rPr>
          <w:rFonts w:hint="eastAsia"/>
          <w:color w:val="auto"/>
        </w:rPr>
      </w:pPr>
      <w:r>
        <w:rPr>
          <w:rFonts w:hint="eastAsia"/>
          <w:color w:val="auto"/>
        </w:rPr>
        <w:t>第二部分 投标须知</w:t>
      </w:r>
      <w:bookmarkEnd w:id="2"/>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sz w:val="24"/>
          <w:szCs w:val="24"/>
          <w:u w:val="single"/>
        </w:rPr>
      </w:pPr>
      <w:r>
        <w:rPr>
          <w:rFonts w:hint="eastAsia" w:ascii="宋体" w:hAnsi="宋体" w:eastAsia="宋体" w:cs="宋体"/>
          <w:sz w:val="24"/>
          <w:szCs w:val="24"/>
        </w:rPr>
        <w:t>项目名称：</w:t>
      </w:r>
      <w:bookmarkStart w:id="3" w:name="OLE_LINK1"/>
      <w:r>
        <w:rPr>
          <w:rFonts w:hint="eastAsia" w:ascii="宋体" w:hAnsi="宋体" w:eastAsia="宋体" w:cs="宋体"/>
          <w:sz w:val="24"/>
          <w:szCs w:val="24"/>
        </w:rPr>
        <w:t>见《投标须知前附表》。</w:t>
      </w:r>
    </w:p>
    <w:bookmarkEnd w:id="3"/>
    <w:p>
      <w:pPr>
        <w:keepNext/>
        <w:keepLines/>
        <w:numPr>
          <w:ilvl w:val="0"/>
          <w:numId w:val="2"/>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对于本项目需着重介绍的注意事项已经通过以下带颜色文档进行标记。</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具体要求详见《技术标书》。</w:t>
      </w:r>
    </w:p>
    <w:p>
      <w:pPr>
        <w:keepNext/>
        <w:keepLines/>
        <w:numPr>
          <w:ilvl w:val="0"/>
          <w:numId w:val="2"/>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pPr>
        <w:pStyle w:val="16"/>
        <w:framePr w:wrap="around"/>
        <w:rPr>
          <w:rFonts w:hint="eastAsia"/>
          <w:color w:val="auto"/>
        </w:rPr>
      </w:pPr>
      <w:r>
        <w:rPr>
          <w:rFonts w:hint="eastAsia"/>
          <w:color w:val="auto"/>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sz w:val="24"/>
          <w:szCs w:val="24"/>
        </w:rPr>
      </w:pPr>
      <w:r>
        <w:rPr>
          <w:rFonts w:hint="eastAsia" w:ascii="宋体" w:hAnsi="宋体" w:eastAsia="宋体" w:cs="宋体"/>
          <w:b/>
          <w:bCs/>
          <w:sz w:val="24"/>
          <w:szCs w:val="24"/>
        </w:rPr>
        <w:t>1.报名方式</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sz w:val="24"/>
          <w:szCs w:val="24"/>
        </w:rPr>
        <w:t>注册完毕后按照</w:t>
      </w:r>
      <w:r>
        <w:rPr>
          <w:rFonts w:hint="eastAsia" w:ascii="宋体" w:hAnsi="宋体" w:eastAsia="宋体" w:cs="宋体"/>
          <w:b/>
          <w:sz w:val="24"/>
          <w:szCs w:val="24"/>
        </w:rPr>
        <w:t>“SRM系统供应商用户手册（附件16）”登录系统，</w:t>
      </w:r>
      <w:r>
        <w:rPr>
          <w:rFonts w:hint="eastAsia" w:ascii="宋体" w:hAnsi="宋体" w:eastAsia="宋体" w:cs="宋体"/>
          <w:sz w:val="24"/>
          <w:szCs w:val="24"/>
        </w:rPr>
        <w:t>进入“供应商应标”，选择对应的项目，点击“应标”后按照招标文件第三部分投标文件组成资格证明文件中的1.1-1.13准备资料并上传，资质审查通过即为报名成功，公示期间请尽快报名。</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投标保证金缴纳的时候，</w:t>
      </w:r>
      <w:r>
        <w:rPr>
          <w:rFonts w:hint="eastAsia" w:ascii="宋体" w:hAnsi="宋体" w:eastAsia="宋体" w:cs="宋体"/>
          <w:b/>
          <w:bCs/>
          <w:sz w:val="24"/>
          <w:szCs w:val="24"/>
        </w:rPr>
        <w:t>务必备注所投标的项目名称</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hint="eastAsia" w:ascii="宋体" w:hAnsi="宋体" w:eastAsia="宋体" w:cs="宋体"/>
          <w:b/>
          <w:bCs/>
          <w:sz w:val="24"/>
          <w:szCs w:val="24"/>
        </w:rPr>
      </w:pPr>
      <w:r>
        <w:rPr>
          <w:rFonts w:hint="eastAsia" w:ascii="宋体" w:hAnsi="宋体" w:eastAsia="宋体" w:cs="宋体"/>
          <w:b/>
          <w:bCs/>
          <w:sz w:val="24"/>
          <w:szCs w:val="24"/>
        </w:rPr>
        <w:t>投标条件</w:t>
      </w:r>
    </w:p>
    <w:p>
      <w:pPr>
        <w:pStyle w:val="16"/>
        <w:framePr w:wrap="around"/>
        <w:rPr>
          <w:rFonts w:hint="eastAsia"/>
          <w:color w:val="auto"/>
        </w:rPr>
      </w:pPr>
      <w:r>
        <w:rPr>
          <w:rFonts w:hint="eastAsia"/>
          <w:color w:val="auto"/>
        </w:rPr>
        <w:t>对于中国境内投标人，投标条件详见招标文件“第一部分投标须知前附表1.6”。</w:t>
      </w:r>
    </w:p>
    <w:p>
      <w:pPr>
        <w:keepNext/>
        <w:keepLines/>
        <w:spacing w:line="360" w:lineRule="auto"/>
        <w:ind w:firstLine="482" w:firstLineChars="200"/>
        <w:outlineLvl w:val="2"/>
        <w:rPr>
          <w:rFonts w:hint="eastAsia" w:ascii="宋体" w:hAnsi="宋体" w:eastAsia="宋体" w:cs="宋体"/>
          <w:b/>
          <w:bCs/>
          <w:sz w:val="24"/>
          <w:szCs w:val="24"/>
        </w:rPr>
      </w:pPr>
      <w:r>
        <w:rPr>
          <w:rFonts w:hint="eastAsia" w:ascii="宋体" w:hAnsi="宋体" w:eastAsia="宋体" w:cs="宋体"/>
          <w:b/>
          <w:bCs/>
          <w:sz w:val="24"/>
          <w:szCs w:val="24"/>
        </w:rPr>
        <w:t>3.报价</w:t>
      </w:r>
    </w:p>
    <w:p>
      <w:pPr>
        <w:pStyle w:val="16"/>
        <w:framePr w:wrap="around"/>
        <w:rPr>
          <w:rFonts w:hint="eastAsia"/>
          <w:color w:val="auto"/>
        </w:rPr>
      </w:pPr>
      <w:r>
        <w:rPr>
          <w:rFonts w:hint="eastAsia"/>
          <w:color w:val="auto"/>
        </w:rPr>
        <w:t>3.1本次招投标为</w:t>
      </w:r>
      <w:r>
        <w:rPr>
          <w:rFonts w:hint="eastAsia"/>
          <w:color w:val="auto"/>
          <w:highlight w:val="yellow"/>
        </w:rPr>
        <w:t>公开招标</w:t>
      </w:r>
      <w:r>
        <w:rPr>
          <w:rFonts w:hint="eastAsia"/>
          <w:b/>
          <w:color w:val="auto"/>
        </w:rPr>
        <w:t>；</w:t>
      </w:r>
      <w:r>
        <w:rPr>
          <w:rFonts w:hint="eastAsia"/>
          <w:color w:val="auto"/>
        </w:rPr>
        <w:t>评标流程以及规则详见本部分第六条评标原则。</w:t>
      </w:r>
    </w:p>
    <w:p>
      <w:pPr>
        <w:spacing w:line="360" w:lineRule="auto"/>
        <w:ind w:firstLine="235" w:firstLineChars="98"/>
        <w:rPr>
          <w:rFonts w:hint="eastAsia" w:ascii="宋体" w:hAnsi="宋体" w:eastAsia="宋体" w:cs="宋体"/>
          <w:sz w:val="24"/>
          <w:szCs w:val="24"/>
        </w:rPr>
      </w:pPr>
      <w:r>
        <w:rPr>
          <w:rFonts w:hint="eastAsia" w:ascii="宋体" w:hAnsi="宋体" w:eastAsia="宋体" w:cs="宋体"/>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3.2</w:t>
      </w:r>
      <w:r>
        <w:rPr>
          <w:rFonts w:hint="eastAsia" w:ascii="宋体" w:hAnsi="宋体" w:eastAsia="宋体" w:cs="宋体"/>
          <w:b/>
          <w:bCs/>
          <w:sz w:val="24"/>
          <w:szCs w:val="24"/>
          <w:highlight w:val="yellow"/>
        </w:rPr>
        <w:t>所有设备的报价货币单位为：</w:t>
      </w:r>
      <w:r>
        <w:rPr>
          <w:rFonts w:hint="eastAsia" w:ascii="宋体" w:hAnsi="宋体" w:eastAsia="宋体" w:cs="宋体"/>
          <w:b/>
          <w:bCs/>
          <w:sz w:val="24"/>
          <w:szCs w:val="24"/>
          <w:highlight w:val="yellow"/>
          <w:u w:val="single"/>
        </w:rPr>
        <w:t xml:space="preserve">         </w:t>
      </w:r>
      <w:r>
        <w:rPr>
          <w:rFonts w:hint="eastAsia" w:ascii="宋体" w:hAnsi="宋体" w:eastAsia="宋体" w:cs="宋体"/>
          <w:b/>
          <w:bCs/>
          <w:sz w:val="24"/>
          <w:szCs w:val="24"/>
          <w:highlight w:val="yellow"/>
        </w:rPr>
        <w:t>元</w:t>
      </w:r>
      <w:r>
        <w:rPr>
          <w:rFonts w:hint="eastAsia" w:ascii="宋体" w:hAnsi="宋体" w:eastAsia="宋体" w:cs="宋体"/>
          <w:b/>
          <w:bCs/>
          <w:sz w:val="24"/>
          <w:szCs w:val="24"/>
        </w:rPr>
        <w:t>【人民币（应同时报含税价和不含税价并写明税率）】</w:t>
      </w:r>
      <w:r>
        <w:rPr>
          <w:rFonts w:hint="eastAsia" w:ascii="宋体" w:hAnsi="宋体" w:eastAsia="宋体" w:cs="宋体"/>
          <w:b/>
          <w:bCs/>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sz w:val="24"/>
          <w:szCs w:val="24"/>
        </w:rPr>
        <w:t>4.设备要求：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4.1投标设备技术参数和总体要求按《技术标书》执行；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4.2设备制造完毕经出厂检验合格后方能发货；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4.3设备包装按国家或部颁标准执行；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4.5投标企业按技术规范书提报设备详细技术资料；</w:t>
      </w:r>
    </w:p>
    <w:p>
      <w:pPr>
        <w:pStyle w:val="16"/>
        <w:framePr w:wrap="around"/>
        <w:rPr>
          <w:rFonts w:hint="eastAsia"/>
          <w:color w:val="auto"/>
        </w:rPr>
      </w:pPr>
      <w:r>
        <w:rPr>
          <w:rFonts w:hint="eastAsia"/>
          <w:color w:val="auto"/>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6"/>
        <w:framePr w:wrap="around"/>
        <w:rPr>
          <w:rFonts w:hint="eastAsia"/>
          <w:color w:val="auto"/>
          <w:highlight w:val="yellow"/>
        </w:rPr>
      </w:pPr>
      <w:r>
        <w:rPr>
          <w:rFonts w:hint="eastAsia"/>
          <w:color w:val="auto"/>
        </w:rPr>
        <w:t>4.7</w:t>
      </w:r>
      <w:r>
        <w:rPr>
          <w:rFonts w:hint="eastAsia"/>
          <w:color w:val="auto"/>
          <w:highlight w:val="yellow"/>
        </w:rPr>
        <w:t>设备设施颜色严格执行我公司企业标准《设备设施颜色标识》（Q/ZZ30070</w:t>
      </w:r>
    </w:p>
    <w:p>
      <w:pPr>
        <w:pStyle w:val="16"/>
        <w:framePr w:wrap="around"/>
        <w:rPr>
          <w:rFonts w:hint="eastAsia"/>
          <w:color w:val="auto"/>
        </w:rPr>
      </w:pPr>
      <w:r>
        <w:rPr>
          <w:rFonts w:hint="eastAsia"/>
          <w:color w:val="auto"/>
          <w:highlight w:val="yellow"/>
        </w:rPr>
        <w:t>—2020）</w:t>
      </w:r>
      <w:r>
        <w:rPr>
          <w:rFonts w:hint="eastAsia"/>
          <w:color w:val="auto"/>
        </w:rPr>
        <w:t>。</w:t>
      </w:r>
    </w:p>
    <w:p>
      <w:pPr>
        <w:keepNext/>
        <w:keepLines/>
        <w:spacing w:line="360" w:lineRule="auto"/>
        <w:ind w:firstLine="482" w:firstLineChars="200"/>
        <w:outlineLvl w:val="2"/>
        <w:rPr>
          <w:rFonts w:hint="eastAsia" w:ascii="宋体" w:hAnsi="宋体" w:eastAsia="宋体" w:cs="宋体"/>
          <w:b/>
          <w:bCs/>
          <w:sz w:val="24"/>
          <w:szCs w:val="24"/>
        </w:rPr>
      </w:pPr>
      <w:r>
        <w:rPr>
          <w:rFonts w:hint="eastAsia" w:ascii="宋体" w:hAnsi="宋体" w:eastAsia="宋体" w:cs="宋体"/>
          <w:b/>
          <w:bCs/>
          <w:sz w:val="24"/>
          <w:szCs w:val="24"/>
        </w:rPr>
        <w:t>5.其他要求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sz w:val="24"/>
          <w:szCs w:val="24"/>
        </w:rPr>
      </w:pPr>
      <w:r>
        <w:rPr>
          <w:rFonts w:hint="eastAsia" w:ascii="宋体" w:hAnsi="宋体" w:eastAsia="宋体" w:cs="宋体"/>
          <w:b/>
          <w:bCs/>
          <w:sz w:val="24"/>
          <w:szCs w:val="24"/>
        </w:rPr>
        <w:t>6.询标</w:t>
      </w:r>
    </w:p>
    <w:p>
      <w:pPr>
        <w:keepNext/>
        <w:keepLines/>
        <w:spacing w:line="360" w:lineRule="auto"/>
        <w:ind w:firstLine="480" w:firstLineChars="200"/>
        <w:rPr>
          <w:rFonts w:hint="eastAsia" w:ascii="宋体" w:hAnsi="宋体" w:eastAsia="宋体" w:cs="宋体"/>
          <w:b/>
          <w:bCs/>
          <w:sz w:val="24"/>
          <w:szCs w:val="24"/>
        </w:rPr>
      </w:pPr>
      <w:r>
        <w:rPr>
          <w:rFonts w:hint="eastAsia" w:ascii="宋体" w:hAnsi="宋体" w:eastAsia="宋体" w:cs="宋体"/>
          <w:sz w:val="24"/>
          <w:szCs w:val="24"/>
        </w:rPr>
        <w:t>凡对本次招标提出的询问，均以招标人的书面答复为准。</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五、议程安排</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sz w:val="24"/>
          <w:szCs w:val="24"/>
        </w:rPr>
        <w:t>1.发标时间</w:t>
      </w:r>
    </w:p>
    <w:p>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sz w:val="24"/>
          <w:szCs w:val="24"/>
        </w:rPr>
      </w:pPr>
      <w:r>
        <w:rPr>
          <w:rFonts w:hint="eastAsia" w:ascii="宋体" w:hAnsi="宋体" w:eastAsia="宋体" w:cs="宋体"/>
          <w:b/>
          <w:bCs/>
          <w:sz w:val="24"/>
          <w:szCs w:val="24"/>
        </w:rPr>
        <w:t>2.发标方式</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中国重汽官网、山东省阳光采购服务平台等公开媒体公布。</w:t>
      </w:r>
    </w:p>
    <w:p>
      <w:pPr>
        <w:keepNext/>
        <w:keepLines/>
        <w:spacing w:line="360" w:lineRule="auto"/>
        <w:ind w:firstLine="482" w:firstLineChars="200"/>
        <w:outlineLvl w:val="2"/>
        <w:rPr>
          <w:rFonts w:hint="eastAsia" w:ascii="宋体" w:hAnsi="宋体" w:eastAsia="宋体" w:cs="宋体"/>
          <w:b/>
          <w:bCs/>
          <w:sz w:val="24"/>
          <w:szCs w:val="24"/>
        </w:rPr>
      </w:pPr>
      <w:r>
        <w:rPr>
          <w:rFonts w:hint="eastAsia" w:ascii="宋体" w:hAnsi="宋体" w:eastAsia="宋体" w:cs="宋体"/>
          <w:b/>
          <w:bCs/>
          <w:sz w:val="24"/>
          <w:szCs w:val="24"/>
        </w:rPr>
        <w:t>3.答疑</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见《投标须知前附表》第二条，逾期不受理。</w:t>
      </w:r>
    </w:p>
    <w:p>
      <w:pPr>
        <w:keepNext/>
        <w:keepLines/>
        <w:spacing w:line="360" w:lineRule="auto"/>
        <w:ind w:firstLine="482" w:firstLineChars="200"/>
        <w:outlineLvl w:val="2"/>
        <w:rPr>
          <w:rFonts w:hint="eastAsia" w:ascii="宋体" w:hAnsi="宋体" w:eastAsia="宋体" w:cs="宋体"/>
          <w:b/>
          <w:bCs/>
          <w:sz w:val="24"/>
          <w:szCs w:val="24"/>
        </w:rPr>
      </w:pPr>
      <w:r>
        <w:rPr>
          <w:rFonts w:hint="eastAsia" w:ascii="宋体" w:hAnsi="宋体" w:eastAsia="宋体" w:cs="宋体"/>
          <w:b/>
          <w:bCs/>
          <w:sz w:val="24"/>
          <w:szCs w:val="24"/>
        </w:rPr>
        <w:t>4.投标报名</w:t>
      </w:r>
    </w:p>
    <w:p>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（保证金具体金额及缴纳截止时间见《投标须知前附表》4.2和4.3）。</w:t>
      </w:r>
    </w:p>
    <w:p>
      <w:pPr>
        <w:pStyle w:val="111"/>
        <w:framePr w:wrap="around"/>
        <w:ind w:firstLine="480"/>
        <w:rPr>
          <w:rFonts w:hint="eastAsia"/>
          <w:color w:val="auto"/>
        </w:rPr>
      </w:pPr>
      <w:r>
        <w:rPr>
          <w:rFonts w:hint="eastAsia"/>
          <w:color w:val="auto"/>
        </w:rPr>
        <w:t>4.2招标人银行账户信息如下：见《投标须知前附表》4.2。</w:t>
      </w:r>
    </w:p>
    <w:p>
      <w:pPr>
        <w:pStyle w:val="111"/>
        <w:framePr w:wrap="around"/>
        <w:ind w:firstLine="480"/>
        <w:rPr>
          <w:rFonts w:hint="eastAsia"/>
          <w:color w:val="auto"/>
        </w:rPr>
      </w:pPr>
      <w:r>
        <w:rPr>
          <w:rFonts w:hint="eastAsia"/>
          <w:color w:val="auto"/>
        </w:rPr>
        <w:t>转账附言：公司名称+项目名称+投标保证金；</w:t>
      </w:r>
    </w:p>
    <w:p>
      <w:pPr>
        <w:pStyle w:val="111"/>
        <w:framePr w:wrap="around"/>
        <w:ind w:firstLine="480"/>
        <w:rPr>
          <w:rFonts w:hint="eastAsia"/>
          <w:color w:val="auto"/>
        </w:rPr>
      </w:pPr>
      <w:r>
        <w:rPr>
          <w:rFonts w:hint="eastAsia"/>
          <w:color w:val="auto"/>
        </w:rPr>
        <w:t>对于没有中标的投标人，投标保证金将于招标人内部完成中标人评审并确认最终中标人后在30工作日内予以原路返还；对于中标方，投标保证金将在项目验收后30个工作日内原路返还；</w:t>
      </w:r>
    </w:p>
    <w:p>
      <w:pPr>
        <w:pStyle w:val="111"/>
        <w:framePr w:wrap="around"/>
        <w:ind w:firstLine="480"/>
        <w:rPr>
          <w:rFonts w:hint="eastAsia"/>
          <w:color w:val="auto"/>
        </w:rPr>
      </w:pPr>
      <w:r>
        <w:rPr>
          <w:rFonts w:hint="eastAsia"/>
          <w:color w:val="auto"/>
        </w:rPr>
        <w:t>4.3说明</w:t>
      </w:r>
    </w:p>
    <w:p>
      <w:pPr>
        <w:pStyle w:val="111"/>
        <w:framePr w:wrap="around"/>
        <w:ind w:firstLine="480"/>
        <w:rPr>
          <w:rFonts w:hint="eastAsia"/>
          <w:color w:val="auto"/>
        </w:rPr>
      </w:pPr>
      <w:r>
        <w:rPr>
          <w:rFonts w:hint="eastAsia"/>
          <w:color w:val="auto"/>
        </w:rPr>
        <w:t>4.3.1 投标人在向招标人出示《投标保证金缴纳凭证》后方可进行投标；</w:t>
      </w:r>
    </w:p>
    <w:p>
      <w:pPr>
        <w:pStyle w:val="111"/>
        <w:framePr w:wrap="around"/>
        <w:ind w:firstLine="480"/>
        <w:rPr>
          <w:rFonts w:hint="eastAsia"/>
          <w:color w:val="auto"/>
        </w:rPr>
      </w:pPr>
      <w:r>
        <w:rPr>
          <w:rFonts w:hint="eastAsia"/>
          <w:color w:val="auto"/>
        </w:rPr>
        <w:t>4.3.2 发生以下情况时，招标人有权没收保证金：</w:t>
      </w:r>
    </w:p>
    <w:p>
      <w:pPr>
        <w:pStyle w:val="111"/>
        <w:framePr w:wrap="around"/>
        <w:ind w:firstLine="480"/>
        <w:rPr>
          <w:rFonts w:hint="eastAsia"/>
          <w:color w:val="auto"/>
        </w:rPr>
      </w:pPr>
      <w:r>
        <w:rPr>
          <w:rFonts w:hint="eastAsia"/>
          <w:color w:val="auto"/>
        </w:rPr>
        <w:t>4.3.2.1 截至开标前3天，投标人无正当理由且未以书面形式递交说明而在投标截止日不来投标的；</w:t>
      </w:r>
    </w:p>
    <w:p>
      <w:pPr>
        <w:pStyle w:val="111"/>
        <w:framePr w:wrap="around"/>
        <w:ind w:firstLine="480"/>
        <w:rPr>
          <w:rFonts w:hint="eastAsia"/>
          <w:color w:val="auto"/>
        </w:rPr>
      </w:pPr>
      <w:r>
        <w:rPr>
          <w:rFonts w:hint="eastAsia"/>
          <w:color w:val="auto"/>
        </w:rPr>
        <w:t>4.3.2.2 投标人递送投标文件后，无正当理由放弃投标的；</w:t>
      </w:r>
    </w:p>
    <w:p>
      <w:pPr>
        <w:pStyle w:val="111"/>
        <w:framePr w:wrap="around"/>
        <w:ind w:firstLine="480"/>
        <w:rPr>
          <w:rFonts w:hint="eastAsia"/>
          <w:color w:val="auto"/>
        </w:rPr>
      </w:pPr>
      <w:r>
        <w:rPr>
          <w:rFonts w:hint="eastAsia"/>
          <w:color w:val="auto"/>
        </w:rPr>
        <w:t>4.3.2.3若为视频开标，招标过程中澄清函等资料原件未按要求提交的；</w:t>
      </w:r>
    </w:p>
    <w:p>
      <w:pPr>
        <w:pStyle w:val="111"/>
        <w:framePr w:wrap="around"/>
        <w:ind w:firstLine="480"/>
        <w:rPr>
          <w:rFonts w:hint="eastAsia"/>
          <w:color w:val="auto"/>
        </w:rPr>
      </w:pPr>
      <w:r>
        <w:rPr>
          <w:rFonts w:hint="eastAsia"/>
          <w:color w:val="auto"/>
        </w:rPr>
        <w:t>4.3.2.4自中标通知书发出之日起30日内，中标人无正当理由不签订合同的；</w:t>
      </w:r>
    </w:p>
    <w:p>
      <w:pPr>
        <w:pStyle w:val="111"/>
        <w:framePr w:wrap="around"/>
        <w:ind w:firstLine="480"/>
        <w:rPr>
          <w:rFonts w:hint="eastAsia"/>
          <w:color w:val="auto"/>
        </w:rPr>
      </w:pPr>
      <w:r>
        <w:rPr>
          <w:rFonts w:hint="eastAsia"/>
          <w:color w:val="auto"/>
        </w:rPr>
        <w:t>4.3.2.5投标人在投标过程中被查实有串标、围标、陪标等违规违纪行为的；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4.3.2.6投标人有违约违规行为或被投诉、举报的，在调查处理期间，保证金暂不退还，待调查处理结束后按有关规定处理。</w:t>
      </w:r>
    </w:p>
    <w:p>
      <w:pPr>
        <w:pStyle w:val="111"/>
        <w:framePr w:wrap="around"/>
        <w:ind w:firstLine="480"/>
        <w:rPr>
          <w:rFonts w:hint="eastAsia"/>
          <w:color w:val="auto"/>
        </w:rPr>
      </w:pPr>
      <w:r>
        <w:rPr>
          <w:rFonts w:hint="eastAsia"/>
          <w:color w:val="auto"/>
        </w:rPr>
        <w:t>4.4投标报名截止时间</w:t>
      </w:r>
    </w:p>
    <w:p>
      <w:pPr>
        <w:pStyle w:val="111"/>
        <w:framePr w:wrap="around"/>
        <w:ind w:firstLine="480"/>
        <w:rPr>
          <w:rFonts w:hint="eastAsia"/>
          <w:color w:val="auto"/>
        </w:rPr>
      </w:pPr>
      <w:r>
        <w:rPr>
          <w:rFonts w:hint="eastAsia"/>
          <w:color w:val="auto"/>
        </w:rPr>
        <w:t>报名方式：</w:t>
      </w:r>
      <w:r>
        <w:rPr>
          <w:rFonts w:hint="eastAsia"/>
          <w:color w:val="auto"/>
          <w:highlight w:val="yellow"/>
        </w:rPr>
        <w:t>见《投标须知前附表》2.3。</w:t>
      </w:r>
    </w:p>
    <w:p>
      <w:pPr>
        <w:pStyle w:val="111"/>
        <w:framePr w:wrap="around"/>
        <w:ind w:firstLine="480"/>
        <w:rPr>
          <w:rFonts w:hint="eastAsia"/>
          <w:color w:val="auto"/>
        </w:rPr>
      </w:pPr>
      <w:r>
        <w:rPr>
          <w:rFonts w:hint="eastAsia"/>
          <w:color w:val="auto"/>
        </w:rPr>
        <w:t>报名提交资料：均为盖章电子扫描版，用“公司名称+文件名称”命名。</w:t>
      </w:r>
    </w:p>
    <w:p>
      <w:pPr>
        <w:numPr>
          <w:ilvl w:val="0"/>
          <w:numId w:val="4"/>
        </w:numPr>
        <w:spacing w:line="360" w:lineRule="auto"/>
        <w:rPr>
          <w:rFonts w:hint="eastAsia" w:ascii="宋体" w:hAnsi="宋体" w:eastAsia="宋体" w:cs="宋体"/>
          <w:sz w:val="24"/>
          <w:szCs w:val="24"/>
        </w:rPr>
      </w:pPr>
      <w:r>
        <w:rPr>
          <w:rFonts w:hint="eastAsia" w:ascii="宋体" w:hAnsi="宋体" w:eastAsia="宋体" w:cs="宋体"/>
          <w:b/>
          <w:sz w:val="24"/>
          <w:szCs w:val="24"/>
        </w:rPr>
        <w:t>如果是授权委托人投标，</w:t>
      </w:r>
      <w:r>
        <w:rPr>
          <w:rFonts w:hint="eastAsia" w:ascii="宋体" w:hAnsi="宋体" w:eastAsia="宋体" w:cs="宋体"/>
          <w:sz w:val="24"/>
          <w:szCs w:val="24"/>
        </w:rPr>
        <w:t>要提交营业执照副本、法人授权委托书（含法人及授权人身份信息证明、授权代表联系方式）。</w:t>
      </w:r>
    </w:p>
    <w:p>
      <w:pPr>
        <w:numPr>
          <w:ilvl w:val="0"/>
          <w:numId w:val="4"/>
        </w:numPr>
        <w:spacing w:line="360" w:lineRule="auto"/>
        <w:rPr>
          <w:rFonts w:hint="eastAsia" w:ascii="宋体" w:hAnsi="宋体" w:eastAsia="宋体" w:cs="宋体"/>
          <w:sz w:val="24"/>
          <w:szCs w:val="24"/>
        </w:rPr>
      </w:pPr>
      <w:r>
        <w:rPr>
          <w:rFonts w:hint="eastAsia" w:ascii="宋体" w:hAnsi="宋体" w:eastAsia="宋体" w:cs="宋体"/>
          <w:b/>
          <w:sz w:val="24"/>
          <w:szCs w:val="24"/>
        </w:rPr>
        <w:t>如果是法人参加投标</w:t>
      </w:r>
      <w:r>
        <w:rPr>
          <w:rFonts w:hint="eastAsia" w:ascii="宋体" w:hAnsi="宋体" w:eastAsia="宋体" w:cs="宋体"/>
          <w:sz w:val="24"/>
          <w:szCs w:val="24"/>
        </w:rPr>
        <w:t>，要提交营业执照副本、法人代表证明文件。</w:t>
      </w:r>
    </w:p>
    <w:p>
      <w:pPr>
        <w:numPr>
          <w:ilvl w:val="0"/>
          <w:numId w:val="4"/>
        </w:numPr>
        <w:spacing w:line="360" w:lineRule="auto"/>
        <w:rPr>
          <w:rFonts w:hint="eastAsia" w:ascii="宋体" w:hAnsi="宋体" w:eastAsia="宋体" w:cs="宋体"/>
          <w:sz w:val="24"/>
          <w:szCs w:val="24"/>
        </w:rPr>
      </w:pPr>
      <w:r>
        <w:rPr>
          <w:rFonts w:hint="eastAsia" w:ascii="宋体" w:hAnsi="宋体" w:eastAsia="宋体" w:cs="宋体"/>
          <w:b/>
          <w:sz w:val="24"/>
          <w:szCs w:val="24"/>
        </w:rPr>
        <w:t>如果是代理商投标</w:t>
      </w:r>
      <w:r>
        <w:rPr>
          <w:rFonts w:hint="eastAsia" w:ascii="宋体" w:hAnsi="宋体" w:eastAsia="宋体" w:cs="宋体"/>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sz w:val="24"/>
          <w:szCs w:val="24"/>
        </w:rPr>
      </w:pPr>
      <w:r>
        <w:rPr>
          <w:rFonts w:hint="eastAsia" w:ascii="宋体" w:hAnsi="宋体" w:eastAsia="宋体" w:cs="宋体"/>
          <w:b/>
          <w:bCs/>
          <w:sz w:val="24"/>
          <w:szCs w:val="24"/>
        </w:rPr>
        <w:t>5.开标时间</w:t>
      </w:r>
    </w:p>
    <w:p>
      <w:pPr>
        <w:keepNext/>
        <w:keepLine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见《投标须知前附表》5.1，若有变动另行通知。</w:t>
      </w:r>
    </w:p>
    <w:p>
      <w:pPr>
        <w:keepNext/>
        <w:keepLines/>
        <w:spacing w:line="360" w:lineRule="auto"/>
        <w:ind w:firstLine="482" w:firstLineChars="200"/>
        <w:outlineLvl w:val="2"/>
        <w:rPr>
          <w:rFonts w:hint="eastAsia" w:ascii="宋体" w:hAnsi="宋体" w:eastAsia="宋体" w:cs="宋体"/>
          <w:b/>
          <w:bCs/>
          <w:sz w:val="24"/>
          <w:szCs w:val="24"/>
        </w:rPr>
      </w:pPr>
      <w:r>
        <w:rPr>
          <w:rFonts w:hint="eastAsia" w:ascii="宋体" w:hAnsi="宋体" w:eastAsia="宋体" w:cs="宋体"/>
          <w:b/>
          <w:bCs/>
          <w:sz w:val="24"/>
          <w:szCs w:val="24"/>
        </w:rPr>
        <w:t>6.开标方式</w:t>
      </w:r>
    </w:p>
    <w:p>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原则上来现场参与开标。如因特殊情况无法现场参与，需在开标前三日，通知招标人，由招标人创建视频链接，并在报名结束后统一通知。</w:t>
      </w:r>
    </w:p>
    <w:p>
      <w:pPr>
        <w:spacing w:line="360" w:lineRule="auto"/>
        <w:jc w:val="left"/>
        <w:outlineLvl w:val="1"/>
        <w:rPr>
          <w:rFonts w:hint="eastAsia" w:ascii="宋体" w:hAnsi="宋体" w:eastAsia="宋体" w:cs="宋体"/>
          <w:b/>
          <w:sz w:val="24"/>
          <w:szCs w:val="24"/>
        </w:rPr>
      </w:pPr>
      <w:bookmarkStart w:id="4" w:name="_Toc33266627"/>
      <w:bookmarkStart w:id="5" w:name="_Toc33265653"/>
      <w:bookmarkStart w:id="6" w:name="_Toc33266950"/>
      <w:bookmarkStart w:id="7" w:name="_Toc33266914"/>
      <w:bookmarkStart w:id="8" w:name="_Toc33265752"/>
      <w:bookmarkStart w:id="9" w:name="_Toc33267001"/>
      <w:bookmarkStart w:id="10" w:name="_Toc33285487"/>
      <w:r>
        <w:rPr>
          <w:rFonts w:hint="eastAsia" w:ascii="宋体" w:hAnsi="宋体" w:eastAsia="宋体" w:cs="宋体"/>
          <w:b/>
          <w:sz w:val="24"/>
          <w:szCs w:val="24"/>
        </w:rPr>
        <w:t>六、评价原则</w:t>
      </w:r>
      <w:bookmarkEnd w:id="4"/>
      <w:bookmarkEnd w:id="5"/>
      <w:bookmarkEnd w:id="6"/>
      <w:bookmarkEnd w:id="7"/>
      <w:bookmarkEnd w:id="8"/>
      <w:bookmarkEnd w:id="9"/>
      <w:bookmarkEnd w:id="10"/>
      <w:bookmarkStart w:id="11" w:name="_Toc395116633"/>
    </w:p>
    <w:bookmarkEnd w:id="11"/>
    <w:p>
      <w:pPr>
        <w:spacing w:line="360" w:lineRule="auto"/>
        <w:ind w:firstLine="482" w:firstLineChars="200"/>
        <w:outlineLvl w:val="2"/>
        <w:rPr>
          <w:rFonts w:hint="eastAsia" w:ascii="宋体" w:hAnsi="宋体" w:eastAsia="宋体" w:cs="宋体"/>
          <w:b/>
          <w:bCs/>
          <w:sz w:val="24"/>
          <w:szCs w:val="24"/>
        </w:rPr>
      </w:pPr>
      <w:r>
        <w:rPr>
          <w:rFonts w:hint="eastAsia" w:ascii="宋体" w:hAnsi="宋体" w:eastAsia="宋体" w:cs="宋体"/>
          <w:b/>
          <w:bCs/>
          <w:sz w:val="24"/>
          <w:szCs w:val="24"/>
        </w:rPr>
        <w:t>1.评标</w:t>
      </w:r>
    </w:p>
    <w:p>
      <w:pPr>
        <w:adjustRightInd w:val="0"/>
        <w:snapToGrid w:val="0"/>
        <w:spacing w:line="360" w:lineRule="auto"/>
        <w:ind w:firstLine="480" w:firstLineChars="200"/>
        <w:rPr>
          <w:rFonts w:hint="eastAsia" w:ascii="宋体" w:hAnsi="宋体" w:eastAsia="宋体" w:cs="宋体"/>
          <w:b/>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rPr>
        <w:t>资质标入围后，</w:t>
      </w:r>
      <w:r>
        <w:rPr>
          <w:rFonts w:hint="eastAsia" w:ascii="宋体" w:hAnsi="宋体" w:eastAsia="宋体" w:cs="Times New Roman"/>
          <w:b/>
          <w:bCs/>
          <w:sz w:val="24"/>
          <w:szCs w:val="24"/>
        </w:rPr>
        <w:t>原则上</w:t>
      </w:r>
      <w:r>
        <w:rPr>
          <w:rFonts w:hint="eastAsia" w:ascii="宋体" w:hAnsi="宋体" w:eastAsia="宋体" w:cs="宋体"/>
          <w:b/>
          <w:bCs/>
          <w:sz w:val="24"/>
          <w:szCs w:val="24"/>
        </w:rPr>
        <w:t>合理最低价中标</w:t>
      </w:r>
      <w:bookmarkStart w:id="12" w:name="_Toc33266628"/>
      <w:bookmarkStart w:id="13" w:name="_Toc33265654"/>
      <w:bookmarkStart w:id="14" w:name="_Toc33266915"/>
      <w:bookmarkStart w:id="15" w:name="_Toc33267002"/>
      <w:bookmarkStart w:id="16" w:name="_Toc395116634"/>
      <w:bookmarkStart w:id="17" w:name="_Toc33285489"/>
      <w:bookmarkStart w:id="18" w:name="_Toc33266951"/>
      <w:bookmarkStart w:id="19" w:name="_Toc33265753"/>
      <w:r>
        <w:rPr>
          <w:rFonts w:hint="eastAsia" w:ascii="宋体" w:hAnsi="宋体" w:eastAsia="宋体" w:cs="宋体"/>
          <w:sz w:val="24"/>
          <w:szCs w:val="24"/>
        </w:rPr>
        <w:t>。本着公平、公正、公开的原则，在通过资质评审后入围的前提下，选择合理最低价确定中标人</w:t>
      </w:r>
      <w:r>
        <w:rPr>
          <w:rFonts w:hint="eastAsia" w:ascii="宋体" w:hAnsi="宋体" w:eastAsia="宋体" w:cs="宋体"/>
          <w:b/>
          <w:sz w:val="24"/>
          <w:szCs w:val="24"/>
        </w:rPr>
        <w:t>，对未中标单位不做任何解释。</w:t>
      </w:r>
    </w:p>
    <w:bookmarkEnd w:id="12"/>
    <w:bookmarkEnd w:id="13"/>
    <w:bookmarkEnd w:id="14"/>
    <w:bookmarkEnd w:id="15"/>
    <w:bookmarkEnd w:id="16"/>
    <w:bookmarkEnd w:id="17"/>
    <w:bookmarkEnd w:id="18"/>
    <w:bookmarkEnd w:id="19"/>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评标流程：</w:t>
      </w:r>
    </w:p>
    <w:p>
      <w:pPr>
        <w:pStyle w:val="16"/>
        <w:framePr w:wrap="around"/>
        <w:rPr>
          <w:rFonts w:hint="eastAsia"/>
          <w:color w:val="auto"/>
        </w:rPr>
      </w:pPr>
      <w:r>
        <w:rPr>
          <w:rFonts w:hint="eastAsia"/>
          <w:color w:val="auto"/>
        </w:rPr>
        <w:t>投标文件包含《投标文件（资质标）》、《投标文件（商务标）》（开标一览表），共计二个文件。</w:t>
      </w:r>
    </w:p>
    <w:p>
      <w:pPr>
        <w:numPr>
          <w:ilvl w:val="0"/>
          <w:numId w:val="5"/>
        </w:numPr>
        <w:spacing w:line="360" w:lineRule="auto"/>
        <w:rPr>
          <w:rFonts w:hint="eastAsia" w:ascii="宋体" w:hAnsi="宋体" w:eastAsia="宋体" w:cs="宋体"/>
          <w:b/>
          <w:sz w:val="24"/>
          <w:szCs w:val="24"/>
        </w:rPr>
      </w:pPr>
      <w:r>
        <w:rPr>
          <w:rFonts w:hint="eastAsia" w:ascii="宋体" w:hAnsi="宋体" w:eastAsia="宋体" w:cs="宋体"/>
          <w:b/>
          <w:sz w:val="24"/>
          <w:szCs w:val="24"/>
        </w:rPr>
        <w:t>应标资格审查：在“中国重汽e采通”应标报名时，</w:t>
      </w:r>
      <w:r>
        <w:rPr>
          <w:rFonts w:hint="eastAsia" w:ascii="宋体" w:hAnsi="宋体" w:eastAsia="宋体" w:cs="宋体"/>
          <w:b/>
          <w:bCs/>
          <w:sz w:val="24"/>
          <w:szCs w:val="24"/>
        </w:rPr>
        <w:t>按照第三部分第三条投标文件组成资格证明文件中的1.1-1.12准备资料，上传完毕后，等待审核</w:t>
      </w:r>
      <w:r>
        <w:rPr>
          <w:rFonts w:hint="eastAsia" w:ascii="宋体" w:hAnsi="宋体" w:eastAsia="宋体" w:cs="宋体"/>
          <w:b/>
          <w:sz w:val="24"/>
          <w:szCs w:val="24"/>
        </w:rPr>
        <w:t>；</w:t>
      </w:r>
    </w:p>
    <w:p>
      <w:pPr>
        <w:numPr>
          <w:ilvl w:val="0"/>
          <w:numId w:val="6"/>
        </w:numPr>
        <w:spacing w:line="360" w:lineRule="auto"/>
        <w:rPr>
          <w:rFonts w:hint="eastAsia" w:ascii="宋体" w:hAnsi="宋体" w:eastAsia="宋体" w:cs="宋体"/>
          <w:b/>
          <w:sz w:val="24"/>
          <w:szCs w:val="24"/>
        </w:rPr>
      </w:pPr>
      <w:r>
        <w:rPr>
          <w:rFonts w:hint="eastAsia" w:ascii="宋体" w:hAnsi="宋体" w:eastAsia="宋体" w:cs="宋体"/>
          <w:b/>
          <w:sz w:val="24"/>
          <w:szCs w:val="24"/>
        </w:rPr>
        <w:t>通过应标资格审查的单位进入投标环节，按照“SRM系统供应商用户手册（附件16）”，在重汽e采通平台投递电子标书（包含资质标、商务标）；没有通过应标资质审查的单位不能进入投标环节；</w:t>
      </w:r>
    </w:p>
    <w:p>
      <w:pPr>
        <w:numPr>
          <w:ilvl w:val="0"/>
          <w:numId w:val="5"/>
        </w:numPr>
        <w:spacing w:line="360" w:lineRule="auto"/>
        <w:rPr>
          <w:rFonts w:hint="eastAsia" w:ascii="宋体" w:hAnsi="宋体" w:eastAsia="宋体" w:cs="宋体"/>
          <w:b/>
          <w:sz w:val="24"/>
          <w:szCs w:val="24"/>
        </w:rPr>
      </w:pPr>
      <w:r>
        <w:rPr>
          <w:rFonts w:hint="eastAsia" w:ascii="宋体" w:hAnsi="宋体" w:eastAsia="宋体" w:cs="宋体"/>
          <w:b/>
          <w:sz w:val="24"/>
          <w:szCs w:val="24"/>
        </w:rPr>
        <w:t>资质标评审：资质标审核通过的单位，可以进入公开唱标环节；</w:t>
      </w:r>
    </w:p>
    <w:p>
      <w:pPr>
        <w:numPr>
          <w:ilvl w:val="0"/>
          <w:numId w:val="7"/>
        </w:numPr>
        <w:spacing w:line="360" w:lineRule="auto"/>
        <w:rPr>
          <w:rFonts w:hint="eastAsia" w:ascii="宋体" w:hAnsi="宋体" w:eastAsia="宋体" w:cs="宋体"/>
          <w:b/>
          <w:sz w:val="24"/>
          <w:szCs w:val="24"/>
        </w:rPr>
      </w:pPr>
      <w:r>
        <w:rPr>
          <w:rFonts w:hint="eastAsia" w:ascii="宋体" w:hAnsi="宋体" w:eastAsia="宋体" w:cs="宋体"/>
          <w:b/>
          <w:sz w:val="24"/>
          <w:szCs w:val="24"/>
        </w:rPr>
        <w:t>公开唱标：公示资质标入围单位的开标价格及商务条款响应情况；</w:t>
      </w:r>
    </w:p>
    <w:p>
      <w:pPr>
        <w:numPr>
          <w:ilvl w:val="0"/>
          <w:numId w:val="8"/>
        </w:numPr>
        <w:spacing w:line="360" w:lineRule="auto"/>
        <w:rPr>
          <w:rFonts w:hint="eastAsia"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pPr>
        <w:numPr>
          <w:ilvl w:val="0"/>
          <w:numId w:val="9"/>
        </w:numPr>
        <w:spacing w:line="360" w:lineRule="auto"/>
        <w:rPr>
          <w:rFonts w:hint="eastAsia" w:ascii="宋体" w:hAnsi="宋体" w:eastAsia="宋体" w:cs="宋体"/>
          <w:b/>
          <w:sz w:val="24"/>
          <w:szCs w:val="24"/>
        </w:rPr>
      </w:pPr>
      <w:r>
        <w:rPr>
          <w:rFonts w:hint="eastAsia" w:ascii="宋体" w:hAnsi="宋体" w:eastAsia="宋体" w:cs="宋体"/>
          <w:b/>
          <w:sz w:val="24"/>
          <w:szCs w:val="24"/>
        </w:rPr>
        <w:t>中标人确定：资质标入围后，原则上</w:t>
      </w:r>
      <w:r>
        <w:rPr>
          <w:rFonts w:hint="eastAsia" w:ascii="宋体" w:hAnsi="宋体" w:eastAsia="宋体" w:cs="宋体"/>
          <w:b/>
          <w:bCs/>
          <w:sz w:val="24"/>
          <w:szCs w:val="24"/>
        </w:rPr>
        <w:t>合理最低价</w:t>
      </w:r>
      <w:r>
        <w:rPr>
          <w:rFonts w:hint="eastAsia" w:ascii="宋体" w:hAnsi="宋体" w:eastAsia="宋体" w:cs="宋体"/>
          <w:b/>
          <w:sz w:val="24"/>
          <w:szCs w:val="24"/>
        </w:rPr>
        <w:t>中标。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sz w:val="24"/>
          <w:szCs w:val="24"/>
          <w:lang w:bidi="ar"/>
        </w:rPr>
        <w:t>变更意向中标人</w:t>
      </w:r>
      <w:r>
        <w:rPr>
          <w:rFonts w:hint="eastAsia" w:ascii="宋体" w:hAnsi="宋体" w:eastAsia="宋体" w:cs="宋体"/>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1.招标人根据评标工作小组的评标结果确定中标人，在重汽e采通平台公布中标结果，并发送中标通知。</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宋体" w:hAnsi="宋体" w:eastAsia="宋体" w:cs="宋体"/>
          <w:sz w:val="24"/>
          <w:szCs w:val="24"/>
        </w:rPr>
      </w:pPr>
      <w:r>
        <w:rPr>
          <w:rFonts w:hint="eastAsia" w:ascii="宋体" w:hAnsi="宋体" w:eastAsia="宋体" w:cs="宋体"/>
          <w:sz w:val="24"/>
          <w:szCs w:val="24"/>
        </w:rPr>
        <w:t xml:space="preserve">    （1）投标人提供的有关资格、资质证明文件不合格、不真实或提供虚假投标材料；</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（2）投标人在报价有效期内撤回投标；</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（4）投标人以任何方式诋毁其他投标人；</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（5）投标人串通投标；</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（6）投标人被举报、检举，并经招标人查实无误的；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（10）未按要求填报商务报价资料，对招标开展造成较大影响；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（11）未按照招标人规定的时间内在中国重汽e采通完成投标的；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（12）不同投标人的投标文件异常一致；</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（13）投标报价呈规律性差异的；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hAnsi="宋体" w:eastAsia="宋体" w:cs="宋体"/>
          <w:sz w:val="24"/>
          <w:szCs w:val="24"/>
        </w:rPr>
        <w:t>4</w:t>
      </w:r>
      <w:r>
        <w:rPr>
          <w:rFonts w:hint="eastAsia" w:ascii="宋体" w:hAnsi="宋体" w:eastAsia="宋体" w:cs="宋体"/>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0" w:name="OLE_LINK26"/>
      <w:bookmarkStart w:id="21" w:name="OLE_LINK28"/>
      <w:bookmarkStart w:id="22" w:name="OLE_LINK27"/>
      <w:bookmarkStart w:id="23" w:name="OLE_LINK29"/>
      <w:bookmarkStart w:id="24" w:name="OLE_LINK25"/>
      <w:r>
        <w:rPr>
          <w:rFonts w:hint="eastAsia" w:ascii="宋体" w:hAnsi="宋体" w:eastAsia="宋体" w:cs="宋体"/>
          <w:bCs/>
          <w:sz w:val="24"/>
          <w:szCs w:val="24"/>
        </w:rPr>
        <w:t>；</w:t>
      </w:r>
      <w:bookmarkEnd w:id="20"/>
      <w:bookmarkEnd w:id="21"/>
      <w:bookmarkEnd w:id="22"/>
      <w:bookmarkEnd w:id="23"/>
      <w:bookmarkEnd w:id="24"/>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sz w:val="24"/>
          <w:szCs w:val="24"/>
        </w:rPr>
      </w:pPr>
      <w:r>
        <w:rPr>
          <w:rFonts w:hint="eastAsia" w:ascii="宋体" w:hAnsi="宋体" w:eastAsia="宋体" w:cs="宋体"/>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sz w:val="24"/>
          <w:szCs w:val="24"/>
        </w:rPr>
      </w:pPr>
      <w:r>
        <w:rPr>
          <w:rFonts w:hint="eastAsia" w:ascii="宋体" w:hAnsi="宋体" w:eastAsia="宋体" w:cs="宋体"/>
          <w:b/>
          <w:bCs/>
          <w:sz w:val="24"/>
          <w:szCs w:val="24"/>
        </w:rPr>
        <w:t>九、本次招标最终解释权</w:t>
      </w:r>
      <w:r>
        <w:rPr>
          <w:rFonts w:hint="eastAsia" w:ascii="宋体" w:hAnsi="宋体" w:eastAsia="宋体" w:cs="宋体"/>
          <w:b/>
          <w:sz w:val="24"/>
          <w:szCs w:val="24"/>
        </w:rPr>
        <w:t>归中国重汽集团济南特种车有限公司。</w:t>
      </w:r>
    </w:p>
    <w:p>
      <w:pPr>
        <w:pStyle w:val="16"/>
        <w:framePr w:wrap="around"/>
        <w:rPr>
          <w:rFonts w:hint="eastAsia"/>
          <w:color w:val="auto"/>
        </w:rPr>
        <w:sectPr>
          <w:headerReference r:id="rId9" w:type="default"/>
          <w:footerReference r:id="rId10" w:type="default"/>
          <w:pgSz w:w="11907" w:h="16840"/>
          <w:pgMar w:top="1304" w:right="1418" w:bottom="1304" w:left="1418" w:header="724" w:footer="851" w:gutter="0"/>
          <w:cols w:space="720" w:num="1"/>
          <w:docGrid w:linePitch="290" w:charSpace="-3931"/>
        </w:sectPr>
      </w:pPr>
    </w:p>
    <w:p>
      <w:pPr>
        <w:pStyle w:val="16"/>
        <w:framePr w:wrap="around"/>
        <w:rPr>
          <w:rFonts w:hint="eastAsia"/>
          <w:color w:val="auto"/>
        </w:rPr>
      </w:pPr>
      <w:bookmarkStart w:id="25" w:name="_Toc22879"/>
      <w:r>
        <w:rPr>
          <w:rFonts w:hint="eastAsia"/>
          <w:color w:val="auto"/>
        </w:rPr>
        <w:t>第三部分 投标文件编制</w:t>
      </w:r>
      <w:bookmarkEnd w:id="25"/>
    </w:p>
    <w:p>
      <w:pPr>
        <w:keepNext/>
        <w:keepLines/>
        <w:spacing w:line="360" w:lineRule="auto"/>
        <w:outlineLvl w:val="1"/>
        <w:rPr>
          <w:rFonts w:hint="eastAsia" w:ascii="宋体" w:hAnsi="宋体" w:eastAsia="宋体" w:cs="宋体"/>
          <w:b/>
          <w:bCs/>
          <w:sz w:val="24"/>
          <w:szCs w:val="24"/>
        </w:rPr>
      </w:pP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2.投标文件和与投标有关的所有文件均应使用中文。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1.投标人所投标设备详细技术资料清单，在标书中列示说明；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2.投标人完整的技术支持与售后服务实施方案，在标书中列示说明，包含但不限于以下内容：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B、售后服务机构或网点（名称、地址、联系人、电话）。</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《投标文件（资质标）》、《投标文件（商务标）》（开标一览表）</w:t>
      </w:r>
      <w:r>
        <w:rPr>
          <w:rFonts w:hint="eastAsia" w:ascii="宋体" w:hAnsi="宋体" w:eastAsia="宋体" w:cs="宋体"/>
          <w:bCs/>
          <w:sz w:val="24"/>
          <w:szCs w:val="24"/>
        </w:rPr>
        <w:t>文件组成，共计2个文件。</w:t>
      </w:r>
    </w:p>
    <w:p>
      <w:pPr>
        <w:spacing w:line="360" w:lineRule="auto"/>
        <w:ind w:firstLine="482" w:firstLineChars="200"/>
        <w:rPr>
          <w:rFonts w:hint="eastAsia" w:ascii="宋体" w:hAnsi="宋体" w:eastAsia="宋体" w:cs="宋体"/>
          <w:bCs/>
          <w:sz w:val="24"/>
          <w:szCs w:val="24"/>
        </w:rPr>
      </w:pPr>
      <w:r>
        <w:rPr>
          <w:rFonts w:hint="eastAsia" w:ascii="宋体" w:hAnsi="宋体" w:eastAsia="宋体" w:cs="宋体"/>
          <w:b/>
          <w:sz w:val="24"/>
          <w:szCs w:val="24"/>
        </w:rPr>
        <w:t>投标文件的份数要求及投递方式</w:t>
      </w:r>
      <w:r>
        <w:rPr>
          <w:rFonts w:hint="eastAsia" w:ascii="宋体" w:hAnsi="宋体" w:eastAsia="宋体" w:cs="宋体"/>
          <w:bCs/>
          <w:sz w:val="24"/>
          <w:szCs w:val="24"/>
        </w:rPr>
        <w:t>，见《投标须知前附表》第3条。</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详见附件格式1—13，其余未尽事宜请按各单位习惯制定即可。</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1.《投标文件（资质标）》包括</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1.1营业执照副本复印件（需加盖公章）；</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1.2投标函（附件1）；</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sz w:val="24"/>
          <w:szCs w:val="24"/>
        </w:rPr>
        <w:t>；</w:t>
      </w:r>
    </w:p>
    <w:p>
      <w:pPr>
        <w:spacing w:line="360" w:lineRule="auto"/>
        <w:ind w:firstLine="480" w:firstLineChars="200"/>
        <w:rPr>
          <w:rFonts w:hint="eastAsia" w:ascii="宋体" w:hAnsi="宋体" w:eastAsia="宋体" w:cs="宋体"/>
          <w:b/>
          <w:sz w:val="24"/>
          <w:szCs w:val="24"/>
          <w:highlight w:val="yellow"/>
        </w:rPr>
      </w:pPr>
      <w:r>
        <w:rPr>
          <w:rFonts w:hint="eastAsia" w:ascii="宋体" w:hAnsi="宋体" w:eastAsia="宋体" w:cs="宋体"/>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1.5近三年内在经营活动中</w:t>
      </w:r>
      <w:r>
        <w:rPr>
          <w:rFonts w:hint="eastAsia" w:hAnsi="宋体" w:eastAsia="宋体" w:cs="宋体"/>
          <w:sz w:val="24"/>
          <w:szCs w:val="24"/>
        </w:rPr>
        <w:t>无与本项目有关的违法及重大违规</w:t>
      </w:r>
      <w:r>
        <w:rPr>
          <w:rFonts w:hint="eastAsia" w:ascii="宋体" w:hAnsi="宋体" w:eastAsia="宋体" w:cs="宋体"/>
          <w:sz w:val="24"/>
          <w:szCs w:val="24"/>
        </w:rPr>
        <w:t>行为的声明；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1.6投标人在国家企业信用信息公示系统中无与本项目有关的行政处罚、经营异常和失信信息的声明；</w:t>
      </w:r>
      <w:r>
        <w:rPr>
          <w:rFonts w:hint="eastAsia" w:ascii="宋体" w:hAnsi="宋体" w:eastAsia="宋体" w:cs="宋体"/>
          <w:sz w:val="24"/>
          <w:szCs w:val="24"/>
          <w:highlight w:val="yellow"/>
        </w:rPr>
        <w:t>（附投标当日系统内相关截图）</w:t>
      </w:r>
    </w:p>
    <w:p>
      <w:pPr>
        <w:spacing w:line="360" w:lineRule="auto"/>
        <w:ind w:firstLine="480" w:firstLineChars="200"/>
        <w:rPr>
          <w:rFonts w:hint="eastAsia"/>
        </w:rPr>
      </w:pPr>
      <w:r>
        <w:rPr>
          <w:rFonts w:hint="eastAsia" w:ascii="宋体" w:hAnsi="宋体" w:eastAsia="宋体" w:cs="宋体"/>
          <w:sz w:val="24"/>
          <w:szCs w:val="24"/>
        </w:rPr>
        <w:t>1.7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1.8企业信用证明材料</w:t>
      </w:r>
      <w:r>
        <w:rPr>
          <w:rFonts w:hint="eastAsia" w:ascii="宋体" w:hAnsi="宋体" w:eastAsia="宋体" w:cs="宋体"/>
          <w:sz w:val="24"/>
          <w:szCs w:val="24"/>
          <w:highlight w:val="yellow"/>
        </w:rPr>
        <w:t>（征信中心出具的信用报告）</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1.9代理商投标要携带生产商的授权书、原厂售后服务承诺书，根据实际情况提供即可，无格式限制</w:t>
      </w:r>
      <w:r>
        <w:rPr>
          <w:rFonts w:hint="eastAsia" w:hAnsi="宋体" w:eastAsia="宋体" w:cs="宋体"/>
          <w:sz w:val="24"/>
          <w:szCs w:val="24"/>
        </w:rPr>
        <w:t>（</w:t>
      </w:r>
      <w:r>
        <w:rPr>
          <w:rFonts w:hint="eastAsia" w:hAnsi="宋体" w:eastAsia="宋体" w:cs="宋体"/>
          <w:sz w:val="24"/>
          <w:szCs w:val="24"/>
          <w:highlight w:val="yellow"/>
        </w:rPr>
        <w:t>包括所代理品牌针对项目的唯一授权书</w:t>
      </w:r>
      <w:r>
        <w:rPr>
          <w:rFonts w:hint="eastAsia" w:hAnsi="宋体" w:eastAsia="宋体" w:cs="宋体"/>
          <w:sz w:val="24"/>
          <w:szCs w:val="24"/>
        </w:rPr>
        <w:t>）</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1.11保密承诺函（附件4）；</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1.12 2022年1月1日至今，企业近三年同类项目业绩证明，</w:t>
      </w:r>
      <w:r>
        <w:rPr>
          <w:rFonts w:ascii="宋体" w:hAnsi="宋体" w:eastAsia="宋体" w:cs="宋体"/>
          <w:sz w:val="24"/>
          <w:szCs w:val="24"/>
          <w:highlight w:val="yellow"/>
        </w:rPr>
        <w:t>须提供</w:t>
      </w:r>
      <w:r>
        <w:rPr>
          <w:rFonts w:hint="eastAsia" w:hAnsi="宋体" w:eastAsia="宋体" w:cs="宋体"/>
          <w:b/>
          <w:bCs/>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1.13投标保证金缴纳凭证，同时</w:t>
      </w:r>
      <w:r>
        <w:rPr>
          <w:rFonts w:hint="eastAsia" w:ascii="宋体" w:hAnsi="宋体" w:eastAsia="宋体" w:cs="宋体"/>
          <w:sz w:val="24"/>
          <w:szCs w:val="24"/>
          <w:highlight w:val="yellow"/>
        </w:rPr>
        <w:t>正文描述付款账号、户名、开户行名称、开户行行号、保证金金额</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b/>
          <w:sz w:val="24"/>
          <w:szCs w:val="24"/>
        </w:rPr>
      </w:pPr>
      <w:r>
        <w:rPr>
          <w:rFonts w:hint="eastAsia" w:ascii="宋体" w:hAnsi="宋体" w:eastAsia="宋体" w:cs="宋体"/>
          <w:sz w:val="24"/>
          <w:szCs w:val="24"/>
        </w:rPr>
        <w:t>1.14技术规格偏离表（附件5-1），</w:t>
      </w:r>
      <w:r>
        <w:rPr>
          <w:rFonts w:hint="eastAsia" w:ascii="宋体" w:hAnsi="宋体" w:eastAsia="宋体" w:cs="宋体"/>
          <w:b/>
          <w:sz w:val="24"/>
          <w:szCs w:val="24"/>
        </w:rPr>
        <w:t>必须先进行两列要求一一对照，不允许直接写无偏离；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1.15供货期及保证措施；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1.16产品的技术服务和售后服务内容及措施；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1.17交货进度及计划；</w:t>
      </w:r>
    </w:p>
    <w:p>
      <w:pPr>
        <w:spacing w:line="360" w:lineRule="auto"/>
        <w:ind w:firstLine="480" w:firstLineChars="200"/>
        <w:rPr>
          <w:rFonts w:hint="eastAsia" w:ascii="宋体" w:hAnsi="宋体" w:eastAsia="宋体" w:cs="宋体"/>
          <w:sz w:val="24"/>
          <w:szCs w:val="24"/>
        </w:rPr>
      </w:pPr>
      <w:bookmarkStart w:id="26" w:name="_Toc536542319"/>
      <w:r>
        <w:rPr>
          <w:rFonts w:hint="eastAsia" w:ascii="宋体" w:hAnsi="宋体" w:eastAsia="宋体" w:cs="宋体"/>
          <w:sz w:val="24"/>
          <w:szCs w:val="24"/>
        </w:rPr>
        <w:t>1.18投标产品技术支持材料</w:t>
      </w:r>
      <w:bookmarkEnd w:id="26"/>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1.19设备质量承诺函（附件7）；</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1.20投标人需提交的其它资料。</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2.1开标一览表（附件8）；</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2.2投标报价明细表（附件9-1至9-5）</w:t>
      </w:r>
      <w:r>
        <w:rPr>
          <w:rFonts w:hint="eastAsia" w:ascii="宋体" w:hAnsi="宋体" w:eastAsia="宋体" w:cs="宋体"/>
          <w:b/>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2.3商务条款偏离表（附件10）</w:t>
      </w:r>
      <w:bookmarkStart w:id="27" w:name="OLE_LINK18"/>
      <w:bookmarkStart w:id="28" w:name="OLE_LINK19"/>
      <w:r>
        <w:rPr>
          <w:rFonts w:hint="eastAsia" w:ascii="宋体" w:hAnsi="宋体" w:eastAsia="宋体" w:cs="宋体"/>
          <w:b/>
          <w:sz w:val="24"/>
          <w:szCs w:val="24"/>
        </w:rPr>
        <w:t>；</w:t>
      </w:r>
      <w:bookmarkEnd w:id="27"/>
      <w:bookmarkEnd w:id="28"/>
      <w:r>
        <w:rPr>
          <w:rFonts w:hint="eastAsia" w:ascii="宋体" w:hAnsi="宋体" w:eastAsia="宋体" w:cs="宋体"/>
          <w:sz w:val="24"/>
          <w:szCs w:val="24"/>
        </w:rPr>
        <w:t xml:space="preserve"> </w:t>
      </w:r>
    </w:p>
    <w:p>
      <w:pPr>
        <w:spacing w:line="360" w:lineRule="auto"/>
        <w:ind w:firstLine="480" w:firstLineChars="200"/>
        <w:rPr>
          <w:rFonts w:hint="eastAsia" w:ascii="宋体" w:hAnsi="宋体" w:eastAsia="宋体" w:cs="宋体"/>
          <w:b/>
          <w:sz w:val="24"/>
          <w:szCs w:val="24"/>
        </w:rPr>
      </w:pPr>
      <w:r>
        <w:rPr>
          <w:rFonts w:hint="eastAsia" w:ascii="宋体" w:hAnsi="宋体" w:eastAsia="宋体" w:cs="宋体"/>
          <w:sz w:val="24"/>
          <w:szCs w:val="24"/>
        </w:rPr>
        <w:t>2.4投标人承诺（附件11）</w:t>
      </w:r>
      <w:r>
        <w:rPr>
          <w:rFonts w:hint="eastAsia" w:ascii="宋体" w:hAnsi="宋体" w:eastAsia="宋体" w:cs="宋体"/>
          <w:b/>
          <w:sz w:val="24"/>
          <w:szCs w:val="24"/>
        </w:rPr>
        <w:t>；</w:t>
      </w:r>
    </w:p>
    <w:p>
      <w:pPr>
        <w:spacing w:line="360" w:lineRule="auto"/>
        <w:ind w:firstLine="480" w:firstLineChars="200"/>
        <w:rPr>
          <w:rFonts w:hint="eastAsia" w:ascii="宋体" w:hAnsi="宋体" w:eastAsia="宋体" w:cs="宋体"/>
          <w:b/>
          <w:sz w:val="24"/>
          <w:szCs w:val="24"/>
        </w:rPr>
      </w:pPr>
      <w:r>
        <w:rPr>
          <w:rFonts w:hint="eastAsia" w:ascii="宋体" w:hAnsi="宋体" w:eastAsia="宋体" w:cs="宋体"/>
          <w:sz w:val="24"/>
          <w:szCs w:val="24"/>
        </w:rPr>
        <w:t>2.5服务承诺函（附件12），</w:t>
      </w:r>
      <w:r>
        <w:rPr>
          <w:rFonts w:hint="eastAsia" w:ascii="宋体" w:hAnsi="宋体" w:eastAsia="宋体" w:cs="宋体"/>
          <w:b/>
          <w:sz w:val="24"/>
          <w:szCs w:val="24"/>
        </w:rPr>
        <w:t>需写明质保期以外服务费用情况</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详见第六部分投标文件附件格式1—13，其余未尽事宜请按各单位习惯制定即可。</w:t>
      </w:r>
    </w:p>
    <w:p>
      <w:pPr>
        <w:pStyle w:val="16"/>
        <w:framePr w:wrap="around"/>
        <w:rPr>
          <w:rFonts w:hint="eastAsia"/>
          <w:color w:val="auto"/>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bookmarkStart w:id="29" w:name="_Toc9849"/>
      <w:r>
        <w:rPr>
          <w:rFonts w:hint="eastAsia" w:ascii="Calibri" w:hAnsi="Calibri" w:eastAsia="宋体" w:cs="Times New Roman"/>
          <w:b/>
          <w:bCs/>
          <w:kern w:val="44"/>
          <w:sz w:val="36"/>
          <w:szCs w:val="44"/>
        </w:rPr>
        <w:t>第四部分 技术标书</w:t>
      </w:r>
      <w:bookmarkEnd w:id="29"/>
    </w:p>
    <w:p>
      <w:pPr>
        <w:jc w:val="center"/>
        <w:rPr>
          <w:rFonts w:hint="eastAsia" w:ascii="Calibri" w:hAnsi="宋体" w:eastAsia="宋体" w:cs="Times New Roman"/>
          <w:b/>
          <w:bCs/>
          <w:spacing w:val="-8"/>
          <w:sz w:val="48"/>
          <w:szCs w:val="44"/>
        </w:rPr>
      </w:pPr>
      <w:r>
        <w:rPr>
          <w:rFonts w:hint="eastAsia" w:ascii="Calibri" w:hAnsi="宋体" w:eastAsia="宋体" w:cs="Times New Roman"/>
          <w:b/>
          <w:bCs/>
          <w:spacing w:val="-8"/>
          <w:sz w:val="48"/>
          <w:szCs w:val="44"/>
        </w:rPr>
        <w:t>中国重汽集团济南特种车有限公司</w:t>
      </w:r>
    </w:p>
    <w:p>
      <w:pPr>
        <w:jc w:val="center"/>
        <w:rPr>
          <w:rFonts w:hint="eastAsia" w:ascii="Calibri" w:hAnsi="宋体" w:eastAsia="宋体" w:cs="Times New Roman"/>
          <w:b/>
          <w:bCs/>
          <w:spacing w:val="-8"/>
          <w:sz w:val="48"/>
          <w:szCs w:val="44"/>
        </w:rPr>
      </w:pPr>
      <w:r>
        <w:rPr>
          <w:rFonts w:hint="eastAsia" w:ascii="Calibri" w:hAnsi="宋体" w:eastAsia="宋体" w:cs="Times New Roman"/>
          <w:b/>
          <w:bCs/>
          <w:spacing w:val="-8"/>
          <w:sz w:val="48"/>
          <w:szCs w:val="44"/>
        </w:rPr>
        <w:t xml:space="preserve">车间大屏项目配套弱电施工 </w:t>
      </w:r>
    </w:p>
    <w:p>
      <w:pPr>
        <w:pStyle w:val="16"/>
        <w:framePr w:wrap="around"/>
        <w:rPr>
          <w:rFonts w:hint="eastAsia"/>
          <w:color w:val="auto"/>
        </w:rPr>
      </w:pPr>
    </w:p>
    <w:p>
      <w:pPr>
        <w:jc w:val="center"/>
        <w:rPr>
          <w:rFonts w:hint="eastAsia" w:ascii="黑体" w:hAnsi="宋体" w:eastAsia="黑体" w:cs="Times New Roman"/>
          <w:sz w:val="72"/>
          <w:szCs w:val="72"/>
        </w:rPr>
      </w:pPr>
    </w:p>
    <w:p>
      <w:pPr>
        <w:jc w:val="center"/>
        <w:rPr>
          <w:rFonts w:hint="eastAsia" w:ascii="黑体" w:hAnsi="宋体" w:eastAsia="黑体" w:cs="Times New Roman"/>
          <w:sz w:val="72"/>
          <w:szCs w:val="72"/>
        </w:rPr>
      </w:pPr>
    </w:p>
    <w:p>
      <w:pPr>
        <w:jc w:val="center"/>
        <w:rPr>
          <w:rFonts w:hint="eastAsia" w:ascii="黑体" w:hAnsi="宋体" w:eastAsia="黑体" w:cs="Times New Roman"/>
          <w:sz w:val="72"/>
          <w:szCs w:val="72"/>
        </w:rPr>
      </w:pPr>
      <w:r>
        <w:rPr>
          <w:rFonts w:hint="eastAsia" w:ascii="黑体" w:hAnsi="宋体" w:eastAsia="黑体" w:cs="Times New Roman"/>
          <w:sz w:val="72"/>
          <w:szCs w:val="72"/>
        </w:rPr>
        <w:t>技</w:t>
      </w:r>
    </w:p>
    <w:p>
      <w:pPr>
        <w:jc w:val="center"/>
        <w:rPr>
          <w:rFonts w:hint="eastAsia" w:ascii="黑体" w:hAnsi="宋体" w:eastAsia="黑体" w:cs="Times New Roman"/>
          <w:sz w:val="72"/>
          <w:szCs w:val="72"/>
        </w:rPr>
      </w:pPr>
      <w:r>
        <w:rPr>
          <w:rFonts w:hint="eastAsia" w:ascii="黑体" w:hAnsi="宋体" w:eastAsia="黑体" w:cs="Times New Roman"/>
          <w:sz w:val="72"/>
          <w:szCs w:val="72"/>
        </w:rPr>
        <w:t>术</w:t>
      </w:r>
    </w:p>
    <w:p>
      <w:pPr>
        <w:jc w:val="center"/>
        <w:rPr>
          <w:rFonts w:hint="eastAsia" w:ascii="黑体" w:hAnsi="宋体" w:eastAsia="黑体" w:cs="Times New Roman"/>
          <w:sz w:val="72"/>
          <w:szCs w:val="72"/>
        </w:rPr>
      </w:pPr>
      <w:r>
        <w:rPr>
          <w:rFonts w:hint="eastAsia" w:ascii="黑体" w:hAnsi="宋体" w:eastAsia="黑体" w:cs="Times New Roman"/>
          <w:sz w:val="72"/>
          <w:szCs w:val="72"/>
        </w:rPr>
        <w:t>标</w:t>
      </w:r>
    </w:p>
    <w:p>
      <w:pPr>
        <w:jc w:val="center"/>
        <w:rPr>
          <w:rFonts w:hint="eastAsia" w:ascii="黑体" w:hAnsi="宋体" w:eastAsia="黑体" w:cs="Times New Roman"/>
          <w:sz w:val="72"/>
          <w:szCs w:val="72"/>
        </w:rPr>
      </w:pPr>
      <w:r>
        <w:rPr>
          <w:rFonts w:hint="eastAsia" w:ascii="黑体" w:hAnsi="宋体" w:eastAsia="黑体" w:cs="Times New Roman"/>
          <w:sz w:val="72"/>
          <w:szCs w:val="72"/>
        </w:rPr>
        <w:t>书</w:t>
      </w:r>
    </w:p>
    <w:p>
      <w:pPr>
        <w:pStyle w:val="16"/>
        <w:framePr w:wrap="around"/>
        <w:rPr>
          <w:rFonts w:hint="eastAsia"/>
          <w:color w:val="auto"/>
        </w:rPr>
      </w:pPr>
    </w:p>
    <w:p>
      <w:pPr>
        <w:pStyle w:val="16"/>
        <w:framePr w:wrap="around"/>
        <w:rPr>
          <w:rFonts w:hint="eastAsia"/>
          <w:color w:val="auto"/>
        </w:rPr>
      </w:pPr>
    </w:p>
    <w:p>
      <w:pPr>
        <w:pStyle w:val="16"/>
        <w:framePr w:wrap="around"/>
        <w:rPr>
          <w:rFonts w:hint="eastAsia"/>
          <w:color w:val="auto"/>
        </w:rPr>
      </w:pPr>
    </w:p>
    <w:p>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pPr>
        <w:jc w:val="center"/>
        <w:rPr>
          <w:rFonts w:hint="eastAsia" w:ascii="宋体" w:hAnsi="宋体" w:eastAsia="宋体" w:cs="Times New Roman"/>
          <w:sz w:val="28"/>
          <w:szCs w:val="28"/>
        </w:rPr>
      </w:pPr>
    </w:p>
    <w:p>
      <w:pPr>
        <w:jc w:val="center"/>
        <w:rPr>
          <w:rFonts w:hint="eastAsia" w:ascii="宋体" w:hAnsi="宋体" w:eastAsia="宋体" w:cs="Times New Roman"/>
          <w:sz w:val="28"/>
          <w:szCs w:val="28"/>
        </w:rPr>
      </w:pPr>
    </w:p>
    <w:p>
      <w:pPr>
        <w:jc w:val="center"/>
        <w:rPr>
          <w:rFonts w:ascii="宋体" w:hAnsi="Calibri" w:eastAsia="宋体" w:cs="Times New Roman"/>
          <w:sz w:val="28"/>
          <w:szCs w:val="28"/>
        </w:rPr>
      </w:pPr>
      <w:r>
        <w:rPr>
          <w:rFonts w:hint="eastAsia" w:ascii="宋体" w:hAnsi="宋体" w:eastAsia="宋体" w:cs="Times New Roman"/>
          <w:sz w:val="28"/>
          <w:szCs w:val="28"/>
        </w:rPr>
        <w:t>招</w:t>
      </w:r>
      <w:r>
        <w:rPr>
          <w:rFonts w:ascii="宋体" w:hAnsi="宋体" w:eastAsia="宋体" w:cs="Times New Roman"/>
          <w:sz w:val="28"/>
          <w:szCs w:val="28"/>
        </w:rPr>
        <w:t xml:space="preserve"> </w:t>
      </w:r>
      <w:r>
        <w:rPr>
          <w:rFonts w:hint="eastAsia" w:ascii="宋体" w:hAnsi="宋体" w:eastAsia="宋体" w:cs="Times New Roman"/>
          <w:sz w:val="28"/>
          <w:szCs w:val="28"/>
        </w:rPr>
        <w:t>标</w:t>
      </w:r>
      <w:r>
        <w:rPr>
          <w:rFonts w:ascii="宋体" w:hAnsi="宋体" w:eastAsia="宋体" w:cs="Times New Roman"/>
          <w:sz w:val="28"/>
          <w:szCs w:val="28"/>
        </w:rPr>
        <w:t xml:space="preserve"> </w:t>
      </w:r>
      <w:r>
        <w:rPr>
          <w:rFonts w:hint="eastAsia" w:ascii="宋体" w:hAnsi="宋体" w:eastAsia="宋体" w:cs="Times New Roman"/>
          <w:sz w:val="28"/>
          <w:szCs w:val="28"/>
        </w:rPr>
        <w:t>人：中国重汽集团济南特种车有限公司</w:t>
      </w:r>
    </w:p>
    <w:p>
      <w:pPr>
        <w:jc w:val="center"/>
        <w:rPr>
          <w:rFonts w:ascii="Calibri" w:hAnsi="Calibri" w:eastAsia="宋体" w:cs="Times New Roman"/>
          <w:sz w:val="28"/>
          <w:szCs w:val="28"/>
        </w:rPr>
      </w:pPr>
      <w:r>
        <w:rPr>
          <w:rFonts w:ascii="Calibri" w:hAnsi="Calibri" w:eastAsia="宋体" w:cs="Times New Roman"/>
          <w:sz w:val="28"/>
          <w:szCs w:val="28"/>
        </w:rPr>
        <w:t>202</w:t>
      </w:r>
      <w:r>
        <w:rPr>
          <w:rFonts w:hint="eastAsia" w:ascii="Calibri" w:hAnsi="Calibri" w:eastAsia="宋体" w:cs="Times New Roman"/>
          <w:sz w:val="28"/>
          <w:szCs w:val="28"/>
        </w:rPr>
        <w:t>5</w:t>
      </w:r>
      <w:r>
        <w:rPr>
          <w:rFonts w:hint="eastAsia" w:ascii="宋体" w:hAnsi="宋体" w:eastAsia="宋体" w:cs="Times New Roman"/>
          <w:sz w:val="28"/>
          <w:szCs w:val="28"/>
        </w:rPr>
        <w:t>年</w:t>
      </w:r>
      <w:r>
        <w:rPr>
          <w:rFonts w:hint="eastAsia" w:ascii="Calibri" w:hAnsi="Calibri" w:eastAsia="宋体" w:cs="Times New Roman"/>
          <w:sz w:val="28"/>
          <w:szCs w:val="28"/>
        </w:rPr>
        <w:t>8月</w:t>
      </w:r>
    </w:p>
    <w:p>
      <w:pPr>
        <w:jc w:val="center"/>
        <w:rPr>
          <w:rFonts w:ascii="Calibri" w:hAnsi="Calibri" w:eastAsia="宋体" w:cs="Times New Roman"/>
          <w:sz w:val="28"/>
          <w:szCs w:val="28"/>
        </w:rPr>
      </w:pPr>
    </w:p>
    <w:p>
      <w:pPr>
        <w:jc w:val="center"/>
        <w:rPr>
          <w:rFonts w:ascii="Calibri" w:hAnsi="Calibri" w:eastAsia="宋体" w:cs="Times New Roman"/>
          <w:sz w:val="28"/>
          <w:szCs w:val="28"/>
        </w:rPr>
      </w:pPr>
    </w:p>
    <w:p>
      <w:pPr>
        <w:jc w:val="center"/>
        <w:rPr>
          <w:rFonts w:ascii="Calibri" w:hAnsi="Calibri" w:eastAsia="宋体" w:cs="Times New Roman"/>
          <w:sz w:val="28"/>
          <w:szCs w:val="28"/>
        </w:rPr>
      </w:pPr>
    </w:p>
    <w:p>
      <w:pPr>
        <w:jc w:val="center"/>
        <w:rPr>
          <w:rFonts w:ascii="Calibri" w:hAnsi="Calibri" w:eastAsia="宋体" w:cs="Times New Roman"/>
          <w:sz w:val="28"/>
          <w:szCs w:val="28"/>
        </w:rPr>
      </w:pPr>
    </w:p>
    <w:p>
      <w:pPr>
        <w:jc w:val="center"/>
        <w:rPr>
          <w:rFonts w:ascii="Calibri" w:hAnsi="Calibri" w:eastAsia="宋体" w:cs="Times New Roman"/>
          <w:sz w:val="28"/>
          <w:szCs w:val="28"/>
        </w:rPr>
      </w:pPr>
    </w:p>
    <w:p>
      <w:pPr>
        <w:adjustRightInd w:val="0"/>
        <w:snapToGrid w:val="0"/>
        <w:spacing w:before="120" w:beforeLines="50" w:after="120" w:afterLines="50" w:line="360" w:lineRule="auto"/>
        <w:jc w:val="center"/>
        <w:outlineLvl w:val="0"/>
        <w:rPr>
          <w:rFonts w:hint="eastAsia" w:ascii="仿宋" w:hAnsi="仿宋" w:eastAsia="仿宋" w:cs="仿宋"/>
          <w:b/>
          <w:bCs/>
        </w:rPr>
      </w:pPr>
      <w:bookmarkStart w:id="30" w:name="_Toc2174"/>
      <w:bookmarkStart w:id="31" w:name="_Toc2042"/>
      <w:bookmarkStart w:id="32" w:name="_Toc32410"/>
      <w:bookmarkStart w:id="33" w:name="_Toc7975"/>
      <w:bookmarkStart w:id="34" w:name="_Toc19716"/>
      <w:bookmarkStart w:id="35" w:name="_Toc19570"/>
      <w:r>
        <w:rPr>
          <w:rFonts w:hint="eastAsia" w:ascii="仿宋" w:hAnsi="仿宋" w:eastAsia="仿宋" w:cs="仿宋"/>
          <w:b/>
          <w:bCs/>
        </w:rPr>
        <w:t>第一章采购货物概况</w:t>
      </w:r>
      <w:bookmarkEnd w:id="30"/>
      <w:bookmarkEnd w:id="31"/>
      <w:bookmarkEnd w:id="32"/>
      <w:bookmarkEnd w:id="33"/>
      <w:bookmarkEnd w:id="34"/>
      <w:bookmarkEnd w:id="35"/>
      <w:bookmarkStart w:id="36" w:name="_Toc133783967"/>
    </w:p>
    <w:p>
      <w:pPr>
        <w:adjustRightInd w:val="0"/>
        <w:snapToGrid w:val="0"/>
        <w:spacing w:line="360" w:lineRule="auto"/>
        <w:jc w:val="center"/>
        <w:outlineLvl w:val="1"/>
        <w:rPr>
          <w:rFonts w:hint="eastAsia" w:ascii="仿宋" w:hAnsi="仿宋" w:eastAsia="仿宋" w:cs="仿宋"/>
          <w:b/>
          <w:bCs/>
        </w:rPr>
      </w:pPr>
      <w:bookmarkStart w:id="37" w:name="_Toc30808"/>
      <w:bookmarkStart w:id="38" w:name="_Toc5826"/>
      <w:bookmarkStart w:id="39" w:name="_Toc5400"/>
      <w:bookmarkStart w:id="40" w:name="_Toc30246"/>
      <w:bookmarkStart w:id="41" w:name="_Toc10612"/>
      <w:bookmarkStart w:id="42" w:name="_Toc25011"/>
      <w:bookmarkStart w:id="43" w:name="_Toc17474"/>
      <w:bookmarkStart w:id="44" w:name="_Toc2940"/>
      <w:bookmarkStart w:id="45" w:name="_Toc29157"/>
      <w:bookmarkStart w:id="46" w:name="_Toc27214"/>
      <w:bookmarkStart w:id="47" w:name="_Toc11411"/>
      <w:bookmarkStart w:id="48" w:name="_Toc11763"/>
      <w:bookmarkStart w:id="49" w:name="_Toc24689"/>
      <w:bookmarkStart w:id="50" w:name="_Toc30245"/>
      <w:bookmarkStart w:id="51" w:name="_Toc22424"/>
      <w:bookmarkStart w:id="52" w:name="_Toc6498"/>
      <w:bookmarkStart w:id="53" w:name="_Toc16714"/>
      <w:bookmarkStart w:id="54" w:name="_Toc5609"/>
      <w:bookmarkStart w:id="55" w:name="_Toc892"/>
      <w:bookmarkStart w:id="56" w:name="_Toc9983"/>
      <w:bookmarkStart w:id="57" w:name="_Toc24613"/>
      <w:bookmarkStart w:id="58" w:name="_Toc21892"/>
      <w:bookmarkStart w:id="59" w:name="_Toc864"/>
      <w:bookmarkStart w:id="60" w:name="_Toc4004"/>
      <w:bookmarkStart w:id="61" w:name="_Toc28361"/>
      <w:bookmarkStart w:id="62" w:name="_Toc6606"/>
      <w:bookmarkStart w:id="63" w:name="_Toc29605"/>
      <w:bookmarkStart w:id="64" w:name="_Toc29927"/>
      <w:bookmarkStart w:id="65" w:name="_Toc19070"/>
      <w:bookmarkStart w:id="66" w:name="_Toc21756"/>
      <w:bookmarkStart w:id="67" w:name="_Toc8362"/>
      <w:bookmarkStart w:id="68" w:name="_Toc2152"/>
      <w:bookmarkStart w:id="69" w:name="_Toc7515"/>
      <w:bookmarkStart w:id="70" w:name="_Toc7333"/>
      <w:bookmarkStart w:id="71" w:name="_Toc5172"/>
      <w:bookmarkStart w:id="72" w:name="_Toc6436"/>
      <w:bookmarkStart w:id="73" w:name="_Toc31000"/>
      <w:bookmarkStart w:id="74" w:name="_Toc2996"/>
      <w:bookmarkStart w:id="75" w:name="_Toc5420"/>
      <w:bookmarkStart w:id="76" w:name="_Toc5983"/>
      <w:bookmarkStart w:id="77" w:name="_Toc22942"/>
      <w:bookmarkStart w:id="78" w:name="_Toc7159"/>
      <w:r>
        <w:rPr>
          <w:rFonts w:hint="eastAsia" w:ascii="仿宋" w:hAnsi="仿宋" w:eastAsia="仿宋" w:cs="仿宋"/>
          <w:b/>
          <w:bCs/>
        </w:rPr>
        <w:t>第一节使用环境</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pPr>
        <w:pStyle w:val="19"/>
        <w:tabs>
          <w:tab w:val="left" w:pos="0"/>
        </w:tabs>
        <w:snapToGrid w:val="0"/>
        <w:spacing w:line="360" w:lineRule="auto"/>
        <w:ind w:firstLine="420" w:firstLineChars="200"/>
        <w:rPr>
          <w:rFonts w:hint="eastAsia" w:ascii="仿宋" w:hAnsi="仿宋" w:eastAsia="仿宋" w:cs="仿宋"/>
        </w:rPr>
      </w:pPr>
      <w:r>
        <w:rPr>
          <w:rFonts w:hint="eastAsia" w:ascii="仿宋" w:hAnsi="仿宋" w:eastAsia="仿宋" w:cs="仿宋"/>
        </w:rPr>
        <w:t>1项目名称：</w:t>
      </w:r>
      <w:r>
        <w:rPr>
          <w:rFonts w:hint="eastAsia" w:ascii="仿宋" w:hAnsi="仿宋" w:eastAsia="仿宋" w:cs="仿宋"/>
          <w:highlight w:val="yellow"/>
        </w:rPr>
        <w:t>车间大屏项目配套弱电施工</w:t>
      </w:r>
    </w:p>
    <w:p>
      <w:pPr>
        <w:pStyle w:val="19"/>
        <w:snapToGrid w:val="0"/>
        <w:spacing w:line="360" w:lineRule="auto"/>
        <w:ind w:firstLine="420" w:firstLineChars="200"/>
        <w:rPr>
          <w:rFonts w:hint="eastAsia" w:ascii="仿宋" w:hAnsi="仿宋" w:eastAsia="仿宋" w:cs="仿宋"/>
          <w:highlight w:val="yellow"/>
          <w:u w:val="single"/>
          <w:shd w:val="pct10" w:color="auto" w:fill="FFFFFF"/>
        </w:rPr>
      </w:pPr>
      <w:r>
        <w:rPr>
          <w:rFonts w:hint="eastAsia" w:ascii="仿宋" w:hAnsi="仿宋" w:eastAsia="仿宋" w:cs="仿宋"/>
          <w:highlight w:val="yellow"/>
        </w:rPr>
        <w:t>2建设地点：中国重汽济南特种车有限公司</w:t>
      </w:r>
    </w:p>
    <w:p>
      <w:pPr>
        <w:pStyle w:val="19"/>
        <w:snapToGrid w:val="0"/>
        <w:spacing w:line="360" w:lineRule="auto"/>
        <w:ind w:firstLine="420" w:firstLineChars="200"/>
        <w:rPr>
          <w:rFonts w:hint="eastAsia" w:ascii="仿宋" w:hAnsi="仿宋" w:eastAsia="仿宋" w:cs="仿宋"/>
          <w:highlight w:val="yellow"/>
        </w:rPr>
      </w:pPr>
      <w:r>
        <w:rPr>
          <w:rFonts w:hint="eastAsia" w:ascii="仿宋" w:hAnsi="仿宋" w:eastAsia="仿宋" w:cs="仿宋"/>
          <w:highlight w:val="yellow"/>
        </w:rPr>
        <w:t>3使用地点：总装线、车身线、物流仓库</w:t>
      </w:r>
    </w:p>
    <w:p>
      <w:pPr>
        <w:pStyle w:val="19"/>
        <w:snapToGrid w:val="0"/>
        <w:spacing w:line="360" w:lineRule="auto"/>
        <w:ind w:firstLine="420" w:firstLineChars="200"/>
        <w:rPr>
          <w:rFonts w:hint="eastAsia" w:ascii="仿宋" w:hAnsi="仿宋" w:eastAsia="仿宋" w:cs="仿宋"/>
          <w:highlight w:val="yellow"/>
        </w:rPr>
      </w:pPr>
      <w:r>
        <w:rPr>
          <w:rFonts w:hint="eastAsia" w:ascii="仿宋" w:hAnsi="仿宋" w:eastAsia="仿宋" w:cs="仿宋"/>
        </w:rPr>
        <w:t>4工作制度：</w:t>
      </w:r>
      <w:r>
        <w:rPr>
          <w:rFonts w:hint="eastAsia" w:ascii="仿宋" w:hAnsi="仿宋" w:eastAsia="仿宋" w:cs="仿宋"/>
          <w:highlight w:val="yellow"/>
        </w:rPr>
        <w:t>全年24小时不间断运行</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5使用地点区域自然环境：</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5.1海拨高度：1000m以下。</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5.2环境温度：环境温度10°C 至 35°C。</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5.3相对湿度：年平均59%，最大95%、最小15%。</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5.4 地震裂度：七度。</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6能源环境：</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6.1电力：中国制式，供电电压</w:t>
      </w:r>
      <w:r>
        <w:rPr>
          <w:rFonts w:hint="eastAsia" w:ascii="仿宋" w:hAnsi="仿宋" w:eastAsia="仿宋" w:cs="仿宋"/>
          <w:u w:val="single"/>
          <w:shd w:val="pct10" w:color="auto" w:fill="FFFFFF"/>
        </w:rPr>
        <w:t>380V±15%/220V±15%</w:t>
      </w:r>
      <w:r>
        <w:rPr>
          <w:rFonts w:hint="eastAsia" w:ascii="仿宋" w:hAnsi="仿宋" w:eastAsia="仿宋" w:cs="仿宋"/>
        </w:rPr>
        <w:t>，供电频率50Hz±2%。</w:t>
      </w:r>
    </w:p>
    <w:p>
      <w:pPr>
        <w:adjustRightInd w:val="0"/>
        <w:snapToGrid w:val="0"/>
        <w:spacing w:line="360" w:lineRule="auto"/>
        <w:jc w:val="center"/>
        <w:outlineLvl w:val="1"/>
        <w:rPr>
          <w:rFonts w:hint="eastAsia" w:ascii="仿宋" w:hAnsi="仿宋" w:eastAsia="仿宋" w:cs="仿宋"/>
        </w:rPr>
      </w:pPr>
      <w:bookmarkStart w:id="79" w:name="_Toc429"/>
      <w:bookmarkStart w:id="80" w:name="_Toc1424"/>
      <w:bookmarkStart w:id="81" w:name="_Toc10013"/>
      <w:bookmarkStart w:id="82" w:name="_Toc27857"/>
      <w:bookmarkStart w:id="83" w:name="_Toc9561"/>
      <w:bookmarkStart w:id="84" w:name="_Toc29019"/>
      <w:bookmarkStart w:id="85" w:name="_Toc5421"/>
      <w:bookmarkStart w:id="86" w:name="_Toc6636"/>
      <w:bookmarkStart w:id="87" w:name="_Toc17682"/>
      <w:bookmarkStart w:id="88" w:name="_Toc18778"/>
      <w:bookmarkStart w:id="89" w:name="_Toc24481"/>
      <w:bookmarkStart w:id="90" w:name="_Toc8560"/>
      <w:bookmarkStart w:id="91" w:name="_Toc13544"/>
      <w:bookmarkStart w:id="92" w:name="_Toc7568"/>
      <w:bookmarkStart w:id="93" w:name="_Toc30431"/>
      <w:bookmarkStart w:id="94" w:name="_Toc13324"/>
      <w:bookmarkStart w:id="95" w:name="_Toc21616"/>
      <w:bookmarkStart w:id="96" w:name="_Toc1523"/>
      <w:bookmarkStart w:id="97" w:name="_Toc18032"/>
      <w:bookmarkStart w:id="98" w:name="_Toc5282"/>
      <w:bookmarkStart w:id="99" w:name="_Toc9143"/>
      <w:bookmarkStart w:id="100" w:name="_Toc11744"/>
      <w:bookmarkStart w:id="101" w:name="_Toc5374"/>
      <w:bookmarkStart w:id="102" w:name="_Toc21957"/>
      <w:bookmarkStart w:id="103" w:name="_Toc15369"/>
      <w:bookmarkStart w:id="104" w:name="_Toc133783968"/>
      <w:bookmarkStart w:id="105" w:name="_Toc9671"/>
      <w:bookmarkStart w:id="106" w:name="_Toc27449"/>
      <w:bookmarkStart w:id="107" w:name="_Toc12401"/>
      <w:bookmarkStart w:id="108" w:name="_Toc21302"/>
      <w:bookmarkStart w:id="109" w:name="_Toc22983"/>
      <w:bookmarkStart w:id="110" w:name="_Toc17750"/>
      <w:bookmarkStart w:id="111" w:name="_Toc24559"/>
      <w:bookmarkStart w:id="112" w:name="_Toc17605"/>
      <w:bookmarkStart w:id="113" w:name="_Toc23473"/>
      <w:bookmarkStart w:id="114" w:name="_Toc24563"/>
      <w:bookmarkStart w:id="115" w:name="_Toc6433"/>
      <w:bookmarkStart w:id="116" w:name="_Toc29333"/>
      <w:bookmarkStart w:id="117" w:name="_Toc4175"/>
      <w:bookmarkStart w:id="118" w:name="_Toc8728"/>
      <w:bookmarkStart w:id="119" w:name="_Toc31241"/>
      <w:bookmarkStart w:id="120" w:name="_Toc9784"/>
      <w:bookmarkStart w:id="121" w:name="_Toc8740"/>
      <w:bookmarkStart w:id="122" w:name="_Toc18569"/>
      <w:bookmarkStart w:id="123" w:name="_Toc32599"/>
      <w:bookmarkStart w:id="124" w:name="_Toc29190"/>
      <w:bookmarkStart w:id="125" w:name="_Toc17543"/>
      <w:r>
        <w:rPr>
          <w:rFonts w:hint="eastAsia" w:ascii="仿宋" w:hAnsi="仿宋" w:eastAsia="仿宋" w:cs="仿宋"/>
          <w:b/>
          <w:bCs/>
        </w:rPr>
        <w:t>第二节采购货物概况</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pPr>
        <w:pStyle w:val="19"/>
        <w:snapToGrid w:val="0"/>
        <w:spacing w:line="360" w:lineRule="auto"/>
        <w:ind w:firstLine="420" w:firstLineChars="200"/>
        <w:rPr>
          <w:rFonts w:hint="eastAsia" w:ascii="仿宋" w:hAnsi="仿宋" w:eastAsia="仿宋" w:cs="仿宋"/>
          <w:highlight w:val="yellow"/>
        </w:rPr>
      </w:pPr>
      <w:r>
        <w:rPr>
          <w:rFonts w:hint="eastAsia" w:ascii="仿宋" w:hAnsi="仿宋" w:eastAsia="仿宋" w:cs="仿宋"/>
          <w:highlight w:val="yellow"/>
        </w:rPr>
        <w:t>1货物：施工及辅材（详见下表）</w:t>
      </w:r>
    </w:p>
    <w:p>
      <w:pPr>
        <w:pStyle w:val="19"/>
        <w:snapToGrid w:val="0"/>
        <w:spacing w:line="360" w:lineRule="auto"/>
        <w:ind w:firstLine="420" w:firstLineChars="200"/>
        <w:rPr>
          <w:rFonts w:hint="eastAsia" w:ascii="仿宋" w:hAnsi="仿宋" w:eastAsia="仿宋" w:cs="仿宋"/>
          <w:highlight w:val="yellow"/>
        </w:rPr>
      </w:pPr>
      <w:r>
        <w:rPr>
          <w:rFonts w:hint="eastAsia" w:ascii="仿宋" w:hAnsi="仿宋" w:eastAsia="仿宋" w:cs="仿宋"/>
          <w:highlight w:val="yellow"/>
        </w:rPr>
        <w:t>2货物数量：</w:t>
      </w:r>
      <w:r>
        <w:rPr>
          <w:rFonts w:hint="eastAsia" w:ascii="仿宋" w:hAnsi="仿宋" w:eastAsia="仿宋" w:cs="仿宋"/>
          <w:highlight w:val="yellow"/>
          <w:u w:val="single"/>
          <w:shd w:val="pct10" w:color="auto" w:fill="FFFFFF"/>
        </w:rPr>
        <w:t>1套</w:t>
      </w:r>
      <w:r>
        <w:rPr>
          <w:rFonts w:hint="eastAsia" w:ascii="仿宋" w:hAnsi="仿宋" w:eastAsia="仿宋" w:cs="仿宋"/>
          <w:highlight w:val="yellow"/>
        </w:rPr>
        <w:t>（详见下表）</w:t>
      </w:r>
    </w:p>
    <w:p>
      <w:pPr>
        <w:pStyle w:val="19"/>
        <w:snapToGrid w:val="0"/>
        <w:spacing w:line="360" w:lineRule="auto"/>
        <w:ind w:firstLine="420" w:firstLineChars="200"/>
        <w:jc w:val="center"/>
        <w:rPr>
          <w:rFonts w:hint="eastAsia" w:ascii="仿宋" w:hAnsi="仿宋" w:eastAsia="仿宋" w:cs="仿宋"/>
        </w:rPr>
      </w:pPr>
      <w:r>
        <w:rPr>
          <w:rFonts w:hint="eastAsia" w:ascii="仿宋" w:hAnsi="仿宋" w:eastAsia="仿宋" w:cs="仿宋"/>
        </w:rPr>
        <w:t>采购货物主要构成一览表</w:t>
      </w:r>
    </w:p>
    <w:tbl>
      <w:tblPr>
        <w:tblStyle w:val="35"/>
        <w:tblW w:w="10275" w:type="dxa"/>
        <w:tblInd w:w="-21" w:type="dxa"/>
        <w:tblLayout w:type="fixed"/>
        <w:tblCellMar>
          <w:top w:w="0" w:type="dxa"/>
          <w:left w:w="108" w:type="dxa"/>
          <w:bottom w:w="0" w:type="dxa"/>
          <w:right w:w="108" w:type="dxa"/>
        </w:tblCellMar>
      </w:tblPr>
      <w:tblGrid>
        <w:gridCol w:w="621"/>
        <w:gridCol w:w="2979"/>
        <w:gridCol w:w="3859"/>
        <w:gridCol w:w="1160"/>
        <w:gridCol w:w="828"/>
        <w:gridCol w:w="828"/>
      </w:tblGrid>
      <w:tr>
        <w:tblPrEx>
          <w:tblCellMar>
            <w:top w:w="0" w:type="dxa"/>
            <w:left w:w="108" w:type="dxa"/>
            <w:bottom w:w="0" w:type="dxa"/>
            <w:right w:w="108" w:type="dxa"/>
          </w:tblCellMar>
        </w:tblPrEx>
        <w:trPr>
          <w:trHeight w:val="260" w:hRule="atLeast"/>
        </w:trPr>
        <w:tc>
          <w:tcPr>
            <w:tcW w:w="621" w:type="dxa"/>
            <w:tcBorders>
              <w:top w:val="single" w:color="000000" w:sz="8" w:space="0"/>
              <w:left w:val="single" w:color="000000" w:sz="8" w:space="0"/>
              <w:bottom w:val="single" w:color="000000" w:sz="8" w:space="0"/>
              <w:right w:val="single" w:color="000000" w:sz="4" w:space="0"/>
            </w:tcBorders>
            <w:noWrap/>
            <w:vAlign w:val="center"/>
          </w:tcPr>
          <w:p>
            <w:pPr>
              <w:widowControl/>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序号</w:t>
            </w:r>
          </w:p>
        </w:tc>
        <w:tc>
          <w:tcPr>
            <w:tcW w:w="2979" w:type="dxa"/>
            <w:tcBorders>
              <w:top w:val="single" w:color="000000" w:sz="8" w:space="0"/>
              <w:left w:val="single" w:color="000000" w:sz="4" w:space="0"/>
              <w:bottom w:val="single" w:color="000000" w:sz="8" w:space="0"/>
              <w:right w:val="single" w:color="000000" w:sz="4" w:space="0"/>
            </w:tcBorders>
            <w:noWrap/>
            <w:vAlign w:val="center"/>
          </w:tcPr>
          <w:p>
            <w:pPr>
              <w:widowControl/>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货物名称</w:t>
            </w:r>
          </w:p>
        </w:tc>
        <w:tc>
          <w:tcPr>
            <w:tcW w:w="3859" w:type="dxa"/>
            <w:tcBorders>
              <w:top w:val="single" w:color="000000" w:sz="8" w:space="0"/>
              <w:left w:val="single" w:color="000000" w:sz="4" w:space="0"/>
              <w:bottom w:val="single" w:color="000000" w:sz="8" w:space="0"/>
              <w:right w:val="single" w:color="000000" w:sz="4" w:space="0"/>
            </w:tcBorders>
            <w:noWrap/>
            <w:vAlign w:val="center"/>
          </w:tcPr>
          <w:p>
            <w:pPr>
              <w:widowControl/>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型号规格</w:t>
            </w:r>
          </w:p>
        </w:tc>
        <w:tc>
          <w:tcPr>
            <w:tcW w:w="1160" w:type="dxa"/>
            <w:tcBorders>
              <w:top w:val="single" w:color="000000" w:sz="8" w:space="0"/>
              <w:left w:val="single" w:color="000000" w:sz="4" w:space="0"/>
              <w:bottom w:val="single" w:color="000000" w:sz="8" w:space="0"/>
              <w:right w:val="single" w:color="000000" w:sz="4" w:space="0"/>
            </w:tcBorders>
            <w:noWrap/>
            <w:vAlign w:val="center"/>
          </w:tcPr>
          <w:p>
            <w:pPr>
              <w:widowControl/>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单位</w:t>
            </w:r>
          </w:p>
        </w:tc>
        <w:tc>
          <w:tcPr>
            <w:tcW w:w="828" w:type="dxa"/>
            <w:tcBorders>
              <w:top w:val="single" w:color="000000" w:sz="8" w:space="0"/>
              <w:left w:val="single" w:color="000000" w:sz="4" w:space="0"/>
              <w:bottom w:val="single" w:color="000000" w:sz="8" w:space="0"/>
              <w:right w:val="single" w:color="000000" w:sz="8" w:space="0"/>
            </w:tcBorders>
            <w:noWrap/>
            <w:vAlign w:val="center"/>
          </w:tcPr>
          <w:p>
            <w:pPr>
              <w:widowControl/>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数量</w:t>
            </w:r>
          </w:p>
        </w:tc>
        <w:tc>
          <w:tcPr>
            <w:tcW w:w="828" w:type="dxa"/>
            <w:tcBorders>
              <w:top w:val="single" w:color="000000" w:sz="8" w:space="0"/>
              <w:left w:val="single" w:color="000000" w:sz="4" w:space="0"/>
              <w:bottom w:val="single" w:color="000000" w:sz="8" w:space="0"/>
              <w:right w:val="single" w:color="000000" w:sz="8" w:space="0"/>
            </w:tcBorders>
            <w:noWrap/>
            <w:vAlign w:val="center"/>
          </w:tcPr>
          <w:p>
            <w:pPr>
              <w:widowControl/>
              <w:jc w:val="center"/>
              <w:textAlignment w:val="center"/>
              <w:rPr>
                <w:rFonts w:hint="eastAsia" w:ascii="仿宋" w:hAnsi="仿宋" w:eastAsia="仿宋" w:cs="仿宋"/>
                <w:b/>
                <w:bCs/>
                <w:color w:val="000000"/>
                <w:kern w:val="0"/>
                <w:sz w:val="20"/>
                <w:szCs w:val="20"/>
                <w:lang w:bidi="ar"/>
              </w:rPr>
            </w:pPr>
          </w:p>
        </w:tc>
      </w:tr>
      <w:tr>
        <w:tblPrEx>
          <w:tblCellMar>
            <w:top w:w="0" w:type="dxa"/>
            <w:left w:w="108" w:type="dxa"/>
            <w:bottom w:w="0" w:type="dxa"/>
            <w:right w:w="108" w:type="dxa"/>
          </w:tblCellMar>
        </w:tblPrEx>
        <w:trPr>
          <w:trHeight w:val="260" w:hRule="atLeast"/>
        </w:trPr>
        <w:tc>
          <w:tcPr>
            <w:tcW w:w="621" w:type="dxa"/>
            <w:tcBorders>
              <w:top w:val="nil"/>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c>
          <w:tcPr>
            <w:tcW w:w="2979" w:type="dxa"/>
            <w:tcBorders>
              <w:top w:val="nil"/>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网线</w:t>
            </w:r>
          </w:p>
        </w:tc>
        <w:tc>
          <w:tcPr>
            <w:tcW w:w="3859" w:type="dxa"/>
            <w:tcBorders>
              <w:top w:val="nil"/>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六类</w:t>
            </w:r>
          </w:p>
        </w:tc>
        <w:tc>
          <w:tcPr>
            <w:tcW w:w="1160" w:type="dxa"/>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m</w:t>
            </w:r>
          </w:p>
        </w:tc>
        <w:tc>
          <w:tcPr>
            <w:tcW w:w="828" w:type="dxa"/>
            <w:tcBorders>
              <w:top w:val="nil"/>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1000</w:t>
            </w:r>
          </w:p>
        </w:tc>
        <w:tc>
          <w:tcPr>
            <w:tcW w:w="828" w:type="dxa"/>
            <w:tcBorders>
              <w:top w:val="nil"/>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kern w:val="0"/>
                <w:sz w:val="20"/>
                <w:szCs w:val="20"/>
                <w:lang w:bidi="ar"/>
              </w:rPr>
            </w:pP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2</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电源线</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RVV3*2.5（三线/2.5mm</w:t>
            </w:r>
            <w:r>
              <w:rPr>
                <w:rFonts w:hint="eastAsia" w:ascii="宋体" w:hAnsi="宋体" w:eastAsia="宋体" w:cs="宋体"/>
                <w:color w:val="000000"/>
                <w:kern w:val="0"/>
                <w:sz w:val="20"/>
                <w:szCs w:val="20"/>
                <w:lang w:bidi="ar"/>
              </w:rPr>
              <w:t>²</w:t>
            </w:r>
            <w:r>
              <w:rPr>
                <w:rStyle w:val="137"/>
                <w:rFonts w:hint="default"/>
                <w:lang w:bidi="ar"/>
              </w:rPr>
              <w:t>）</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m</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550</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kern w:val="0"/>
                <w:sz w:val="20"/>
                <w:szCs w:val="20"/>
                <w:lang w:bidi="ar"/>
              </w:rPr>
            </w:pPr>
          </w:p>
        </w:tc>
      </w:tr>
      <w:tr>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3</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桥架</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50mm*100mm</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m</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250</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kern w:val="0"/>
                <w:sz w:val="20"/>
                <w:szCs w:val="20"/>
                <w:lang w:bidi="ar"/>
              </w:rPr>
            </w:pP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4</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高清线</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5m/条</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条</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8</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kern w:val="0"/>
                <w:sz w:val="20"/>
                <w:szCs w:val="20"/>
                <w:lang w:bidi="ar"/>
              </w:rPr>
            </w:pP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5</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登高车</w:t>
            </w:r>
          </w:p>
        </w:tc>
        <w:tc>
          <w:tcPr>
            <w:tcW w:w="385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FF0000"/>
                <w:sz w:val="20"/>
                <w:szCs w:val="20"/>
              </w:rPr>
              <w:t>登高高度≥15米</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元/2台/天</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9</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kern w:val="0"/>
                <w:sz w:val="20"/>
                <w:szCs w:val="20"/>
                <w:lang w:bidi="ar"/>
              </w:rPr>
            </w:pP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6-1</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总装线大屏框架：框架钢结构尺寸（长*高*厚）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3940mm*2500mm*110mm</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kern w:val="0"/>
                <w:sz w:val="20"/>
                <w:szCs w:val="20"/>
                <w:lang w:bidi="ar"/>
              </w:rPr>
            </w:pP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6-2</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总装线大屏框架钢结构支架-主龙骨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100mm*50mm*2.5mm方钢</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kern w:val="0"/>
                <w:sz w:val="20"/>
                <w:szCs w:val="20"/>
                <w:lang w:bidi="ar"/>
              </w:rPr>
            </w:pP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6-3</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总装线大屏分龙骨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40mm*40mm*2.0mm方钢</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kern w:val="0"/>
                <w:sz w:val="20"/>
                <w:szCs w:val="20"/>
                <w:lang w:bidi="ar"/>
              </w:rPr>
            </w:pPr>
          </w:p>
        </w:tc>
      </w:tr>
      <w:tr>
        <w:tblPrEx>
          <w:tblCellMar>
            <w:top w:w="0" w:type="dxa"/>
            <w:left w:w="108" w:type="dxa"/>
            <w:bottom w:w="0" w:type="dxa"/>
            <w:right w:w="108" w:type="dxa"/>
          </w:tblCellMar>
        </w:tblPrEx>
        <w:trPr>
          <w:trHeight w:val="9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6-4</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总装线大屏吊杆</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50mm*50mm*3.5mm方钢,长度3m-6m可调节</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2</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kern w:val="0"/>
                <w:sz w:val="20"/>
                <w:szCs w:val="20"/>
                <w:lang w:bidi="ar"/>
              </w:rPr>
            </w:pP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FF0000"/>
                <w:sz w:val="20"/>
                <w:szCs w:val="20"/>
                <w:highlight w:val="yellow"/>
              </w:rPr>
            </w:pPr>
            <w:r>
              <w:rPr>
                <w:rFonts w:hint="eastAsia" w:ascii="仿宋" w:hAnsi="仿宋" w:eastAsia="仿宋" w:cs="仿宋"/>
                <w:color w:val="FF0000"/>
                <w:sz w:val="20"/>
                <w:szCs w:val="20"/>
                <w:highlight w:val="yellow"/>
              </w:rPr>
              <w:t>6-5</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总装线大屏定制夹持器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2</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FF0000"/>
                <w:sz w:val="20"/>
                <w:szCs w:val="20"/>
                <w:highlight w:val="yellow"/>
              </w:rPr>
            </w:pPr>
            <w:r>
              <w:rPr>
                <w:rFonts w:hint="eastAsia" w:ascii="仿宋" w:hAnsi="仿宋" w:eastAsia="仿宋" w:cs="仿宋"/>
                <w:color w:val="FF0000"/>
                <w:sz w:val="20"/>
                <w:szCs w:val="20"/>
                <w:highlight w:val="yellow"/>
              </w:rPr>
              <w:t>6-6</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总装线大屏大屏四周包边</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1</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FF0000"/>
                <w:sz w:val="20"/>
                <w:szCs w:val="20"/>
                <w:highlight w:val="yellow"/>
              </w:rPr>
            </w:pPr>
            <w:r>
              <w:rPr>
                <w:rFonts w:hint="eastAsia" w:ascii="仿宋" w:hAnsi="仿宋" w:eastAsia="仿宋" w:cs="仿宋"/>
                <w:color w:val="FF0000"/>
                <w:sz w:val="20"/>
                <w:szCs w:val="20"/>
                <w:highlight w:val="yellow"/>
              </w:rPr>
              <w:t>6-7</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总装线大屏配套螺丝，卡扣，角件等</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1</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7-1</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车身线大屏框架：框架钢结构尺寸（长*高*厚）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3940mm*2500mm*110mm</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kern w:val="0"/>
                <w:sz w:val="20"/>
                <w:szCs w:val="20"/>
                <w:lang w:bidi="ar"/>
              </w:rPr>
            </w:pP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7-2</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车身线大屏框架钢结构支架:—主龙骨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100mm*50mm*2.5mm方钢</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kern w:val="0"/>
                <w:sz w:val="20"/>
                <w:szCs w:val="20"/>
                <w:lang w:bidi="ar"/>
              </w:rPr>
            </w:pP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7-3</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车身线大屏分龙骨：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40mm*40mm*2.0mm方钢</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kern w:val="0"/>
                <w:sz w:val="20"/>
                <w:szCs w:val="20"/>
                <w:lang w:bidi="ar"/>
              </w:rPr>
            </w:pP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7-4</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车身线大屏吊杆:</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50mm*50mm*3.5mm方钢,长度3m-6m可调节</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kern w:val="0"/>
                <w:sz w:val="20"/>
                <w:szCs w:val="20"/>
                <w:lang w:bidi="ar"/>
              </w:rPr>
            </w:pP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FF0000"/>
                <w:sz w:val="20"/>
                <w:szCs w:val="20"/>
                <w:highlight w:val="yellow"/>
              </w:rPr>
            </w:pPr>
            <w:r>
              <w:rPr>
                <w:rFonts w:hint="eastAsia" w:ascii="仿宋" w:hAnsi="仿宋" w:eastAsia="仿宋" w:cs="仿宋"/>
                <w:color w:val="FF0000"/>
                <w:sz w:val="20"/>
                <w:szCs w:val="20"/>
                <w:highlight w:val="yellow"/>
              </w:rPr>
              <w:t>7-5</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车身线大屏定制夹持器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2</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FF0000"/>
                <w:sz w:val="20"/>
                <w:szCs w:val="20"/>
                <w:highlight w:val="yellow"/>
              </w:rPr>
            </w:pPr>
            <w:r>
              <w:rPr>
                <w:rFonts w:hint="eastAsia" w:ascii="仿宋" w:hAnsi="仿宋" w:eastAsia="仿宋" w:cs="仿宋"/>
                <w:color w:val="FF0000"/>
                <w:sz w:val="20"/>
                <w:szCs w:val="20"/>
                <w:highlight w:val="yellow"/>
              </w:rPr>
              <w:t>7-6</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车身线大屏大屏四周包边</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1</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FF0000"/>
                <w:sz w:val="20"/>
                <w:szCs w:val="20"/>
                <w:highlight w:val="yellow"/>
              </w:rPr>
            </w:pPr>
            <w:r>
              <w:rPr>
                <w:rFonts w:hint="eastAsia" w:ascii="仿宋" w:hAnsi="仿宋" w:eastAsia="仿宋" w:cs="仿宋"/>
                <w:color w:val="FF0000"/>
                <w:sz w:val="20"/>
                <w:szCs w:val="20"/>
                <w:highlight w:val="yellow"/>
              </w:rPr>
              <w:t>7-7</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车身线大屏配套螺丝，卡扣，角件等</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1</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8-1</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仓库大屏框架:框架钢结构尺寸（长*高*厚）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2020mm*1540mm*110mm</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kern w:val="0"/>
                <w:sz w:val="20"/>
                <w:szCs w:val="20"/>
                <w:lang w:bidi="ar"/>
              </w:rPr>
            </w:pP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8-2</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仓库大屏框架钢结构支架:—主龙骨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100mm*50mm*2.5mm方钢</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kern w:val="0"/>
                <w:sz w:val="20"/>
                <w:szCs w:val="20"/>
                <w:lang w:bidi="ar"/>
              </w:rPr>
            </w:pP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8-3</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仓库大屏分龙骨：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40mm*40mm*2.0mm方钢</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kern w:val="0"/>
                <w:sz w:val="20"/>
                <w:szCs w:val="20"/>
                <w:lang w:bidi="ar"/>
              </w:rPr>
            </w:pP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8-4</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仓库大屏吊杆:</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50mm*50mm*2.0mm方钢,长度3m-6m可调节</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kern w:val="0"/>
                <w:sz w:val="20"/>
                <w:szCs w:val="20"/>
                <w:lang w:bidi="ar"/>
              </w:rPr>
            </w:pP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FF0000"/>
                <w:sz w:val="20"/>
                <w:szCs w:val="20"/>
                <w:highlight w:val="yellow"/>
              </w:rPr>
            </w:pPr>
            <w:r>
              <w:rPr>
                <w:rFonts w:hint="eastAsia" w:ascii="仿宋" w:hAnsi="仿宋" w:eastAsia="仿宋" w:cs="仿宋"/>
                <w:color w:val="FF0000"/>
                <w:sz w:val="20"/>
                <w:szCs w:val="20"/>
                <w:highlight w:val="yellow"/>
              </w:rPr>
              <w:t>8-5</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仓库大屏定制夹持器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2</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FF0000"/>
                <w:sz w:val="20"/>
                <w:szCs w:val="20"/>
                <w:highlight w:val="yellow"/>
              </w:rPr>
            </w:pPr>
            <w:r>
              <w:rPr>
                <w:rFonts w:hint="eastAsia" w:ascii="仿宋" w:hAnsi="仿宋" w:eastAsia="仿宋" w:cs="仿宋"/>
                <w:color w:val="FF0000"/>
                <w:sz w:val="20"/>
                <w:szCs w:val="20"/>
                <w:highlight w:val="yellow"/>
              </w:rPr>
              <w:t>8-6</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仓库大屏大屏四周包边</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1</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FF0000"/>
                <w:sz w:val="20"/>
                <w:szCs w:val="20"/>
                <w:highlight w:val="yellow"/>
              </w:rPr>
            </w:pPr>
            <w:r>
              <w:rPr>
                <w:rFonts w:hint="eastAsia" w:ascii="仿宋" w:hAnsi="仿宋" w:eastAsia="仿宋" w:cs="仿宋"/>
                <w:color w:val="FF0000"/>
                <w:sz w:val="20"/>
                <w:szCs w:val="20"/>
                <w:highlight w:val="yellow"/>
              </w:rPr>
              <w:t>8-7</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仓库大屏配套螺丝，卡扣，角件等</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1</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9</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总装线大屏安装调试：</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hAnsi="仿宋" w:eastAsia="仿宋" w:cs="仿宋"/>
                <w:color w:val="000000"/>
                <w:sz w:val="20"/>
                <w:szCs w:val="20"/>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m</w:t>
            </w:r>
            <w:r>
              <w:rPr>
                <w:rFonts w:hint="eastAsia" w:ascii="宋体" w:hAnsi="宋体" w:eastAsia="宋体" w:cs="宋体"/>
                <w:color w:val="000000"/>
                <w:kern w:val="0"/>
                <w:sz w:val="20"/>
                <w:szCs w:val="20"/>
                <w:lang w:bidi="ar"/>
              </w:rPr>
              <w:t>²</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10</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kern w:val="0"/>
                <w:sz w:val="20"/>
                <w:szCs w:val="20"/>
                <w:lang w:bidi="ar"/>
              </w:rPr>
            </w:pP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10</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车身线大屏安装调试：</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hAnsi="仿宋" w:eastAsia="仿宋" w:cs="仿宋"/>
                <w:color w:val="000000"/>
                <w:sz w:val="20"/>
                <w:szCs w:val="20"/>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m</w:t>
            </w:r>
            <w:r>
              <w:rPr>
                <w:rFonts w:hint="eastAsia" w:ascii="宋体" w:hAnsi="宋体" w:eastAsia="宋体" w:cs="宋体"/>
                <w:color w:val="000000"/>
                <w:kern w:val="0"/>
                <w:sz w:val="20"/>
                <w:szCs w:val="20"/>
                <w:lang w:bidi="ar"/>
              </w:rPr>
              <w:t>²</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10</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kern w:val="0"/>
                <w:sz w:val="20"/>
                <w:szCs w:val="20"/>
                <w:lang w:bidi="ar"/>
              </w:rPr>
            </w:pP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11</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仓库大屏安装调试：</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hAnsi="仿宋" w:eastAsia="仿宋" w:cs="仿宋"/>
                <w:color w:val="000000"/>
                <w:sz w:val="20"/>
                <w:szCs w:val="20"/>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m</w:t>
            </w:r>
            <w:r>
              <w:rPr>
                <w:rFonts w:hint="eastAsia" w:ascii="宋体" w:hAnsi="宋体" w:eastAsia="宋体" w:cs="宋体"/>
                <w:color w:val="000000"/>
                <w:kern w:val="0"/>
                <w:sz w:val="20"/>
                <w:szCs w:val="20"/>
                <w:lang w:bidi="ar"/>
              </w:rPr>
              <w:t>²</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4</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kern w:val="0"/>
                <w:sz w:val="20"/>
                <w:szCs w:val="20"/>
                <w:lang w:bidi="ar"/>
              </w:rPr>
            </w:pP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12</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光纤</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6芯单模</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m</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640</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kern w:val="0"/>
                <w:sz w:val="20"/>
                <w:szCs w:val="20"/>
                <w:lang w:bidi="ar"/>
              </w:rPr>
            </w:pP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13-1</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光纤收发器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1光4电</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2</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kern w:val="0"/>
                <w:sz w:val="20"/>
                <w:szCs w:val="20"/>
                <w:lang w:bidi="ar"/>
              </w:rPr>
            </w:pP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13-2</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光纤收发器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1发1收</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kern w:val="0"/>
                <w:sz w:val="20"/>
                <w:szCs w:val="20"/>
                <w:lang w:bidi="ar"/>
              </w:rPr>
            </w:pPr>
          </w:p>
        </w:tc>
      </w:tr>
      <w:tr>
        <w:tblPrEx>
          <w:tblCellMar>
            <w:top w:w="0" w:type="dxa"/>
            <w:left w:w="108" w:type="dxa"/>
            <w:bottom w:w="0" w:type="dxa"/>
            <w:right w:w="108" w:type="dxa"/>
          </w:tblCellMar>
        </w:tblPrEx>
        <w:trPr>
          <w:trHeight w:val="9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14</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光纤熔接</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hAnsi="仿宋" w:eastAsia="仿宋" w:cs="仿宋"/>
                <w:color w:val="000000"/>
                <w:sz w:val="20"/>
                <w:szCs w:val="20"/>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kern w:val="0"/>
                <w:sz w:val="20"/>
                <w:szCs w:val="20"/>
                <w:lang w:bidi="ar"/>
              </w:rPr>
            </w:pP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15</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布线费用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hAnsi="仿宋" w:eastAsia="仿宋" w:cs="仿宋"/>
                <w:color w:val="000000"/>
                <w:sz w:val="20"/>
                <w:szCs w:val="20"/>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kern w:val="0"/>
                <w:sz w:val="20"/>
                <w:szCs w:val="20"/>
                <w:lang w:bidi="ar"/>
              </w:rPr>
            </w:pPr>
          </w:p>
        </w:tc>
      </w:tr>
      <w:tr>
        <w:tblPrEx>
          <w:tblCellMar>
            <w:top w:w="0" w:type="dxa"/>
            <w:left w:w="108" w:type="dxa"/>
            <w:bottom w:w="0" w:type="dxa"/>
            <w:right w:w="108" w:type="dxa"/>
          </w:tblCellMar>
        </w:tblPrEx>
        <w:trPr>
          <w:trHeight w:val="260" w:hRule="atLeast"/>
        </w:trPr>
        <w:tc>
          <w:tcPr>
            <w:tcW w:w="3600" w:type="dxa"/>
            <w:gridSpan w:val="2"/>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安装地点/ 服务对象</w:t>
            </w:r>
          </w:p>
        </w:tc>
        <w:tc>
          <w:tcPr>
            <w:tcW w:w="5847" w:type="dxa"/>
            <w:gridSpan w:val="3"/>
            <w:tcBorders>
              <w:top w:val="single" w:color="000000" w:sz="4" w:space="0"/>
              <w:left w:val="single" w:color="000000" w:sz="4" w:space="0"/>
              <w:bottom w:val="single" w:color="000000" w:sz="4" w:space="0"/>
              <w:right w:val="single" w:color="000000" w:sz="8"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中国重汽集团济南特种车有限公司总装线、车身线、物流仓库</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jc w:val="center"/>
              <w:rPr>
                <w:rFonts w:hint="eastAsia" w:ascii="仿宋" w:hAnsi="仿宋" w:eastAsia="仿宋" w:cs="仿宋"/>
                <w:color w:val="000000"/>
                <w:kern w:val="0"/>
                <w:sz w:val="20"/>
                <w:szCs w:val="20"/>
                <w:lang w:bidi="ar"/>
              </w:rPr>
            </w:pPr>
          </w:p>
        </w:tc>
      </w:tr>
      <w:tr>
        <w:tblPrEx>
          <w:tblCellMar>
            <w:top w:w="0" w:type="dxa"/>
            <w:left w:w="108" w:type="dxa"/>
            <w:bottom w:w="0" w:type="dxa"/>
            <w:right w:w="108" w:type="dxa"/>
          </w:tblCellMar>
        </w:tblPrEx>
        <w:trPr>
          <w:trHeight w:val="260" w:hRule="atLeast"/>
        </w:trPr>
        <w:tc>
          <w:tcPr>
            <w:tcW w:w="3600" w:type="dxa"/>
            <w:gridSpan w:val="2"/>
            <w:tcBorders>
              <w:top w:val="single" w:color="000000" w:sz="4" w:space="0"/>
              <w:left w:val="single" w:color="000000" w:sz="8" w:space="0"/>
              <w:bottom w:val="single" w:color="000000" w:sz="8"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供货方式</w:t>
            </w:r>
          </w:p>
        </w:tc>
        <w:tc>
          <w:tcPr>
            <w:tcW w:w="5847" w:type="dxa"/>
            <w:gridSpan w:val="3"/>
            <w:tcBorders>
              <w:top w:val="single" w:color="000000" w:sz="4" w:space="0"/>
              <w:left w:val="single" w:color="000000" w:sz="4" w:space="0"/>
              <w:bottom w:val="single" w:color="000000" w:sz="8" w:space="0"/>
              <w:right w:val="single" w:color="000000" w:sz="8"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交钥匙方式</w:t>
            </w:r>
          </w:p>
        </w:tc>
        <w:tc>
          <w:tcPr>
            <w:tcW w:w="828" w:type="dxa"/>
            <w:tcBorders>
              <w:top w:val="single" w:color="000000" w:sz="4" w:space="0"/>
              <w:left w:val="single" w:color="000000" w:sz="4" w:space="0"/>
              <w:bottom w:val="single" w:color="000000" w:sz="8" w:space="0"/>
              <w:right w:val="single" w:color="000000" w:sz="8" w:space="0"/>
            </w:tcBorders>
            <w:noWrap/>
            <w:vAlign w:val="center"/>
          </w:tcPr>
          <w:p>
            <w:pPr>
              <w:jc w:val="center"/>
              <w:rPr>
                <w:rFonts w:hint="eastAsia" w:ascii="仿宋" w:hAnsi="仿宋" w:eastAsia="仿宋" w:cs="仿宋"/>
                <w:color w:val="000000"/>
                <w:kern w:val="0"/>
                <w:sz w:val="20"/>
                <w:szCs w:val="20"/>
                <w:lang w:bidi="ar"/>
              </w:rPr>
            </w:pPr>
          </w:p>
        </w:tc>
      </w:tr>
    </w:tbl>
    <w:p>
      <w:pPr>
        <w:pStyle w:val="19"/>
        <w:snapToGrid w:val="0"/>
        <w:spacing w:line="360" w:lineRule="auto"/>
        <w:ind w:firstLine="420" w:firstLineChars="200"/>
        <w:rPr>
          <w:rFonts w:hint="eastAsia" w:ascii="仿宋" w:hAnsi="仿宋" w:eastAsia="仿宋" w:cs="仿宋"/>
        </w:rPr>
      </w:pP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备注：</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①本表所列采购货物仅为货物的主要构成部分，应配套供货以及招标方所列其它货物（或设备）和服务，请投标方认真阅读“供货范围”。若有异议，不管是多么微小，都应在投标文件“商务偏离”章节中予以详细说明。</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②本表“供货方式”指：交钥匙方式——包括制造、运输、定点卸货、安装、调试和验收以及培训等。</w:t>
      </w:r>
    </w:p>
    <w:p>
      <w:pPr>
        <w:jc w:val="center"/>
        <w:outlineLvl w:val="0"/>
        <w:rPr>
          <w:rFonts w:hint="eastAsia" w:ascii="仿宋" w:hAnsi="仿宋" w:eastAsia="仿宋" w:cs="仿宋"/>
          <w:b/>
          <w:bCs/>
        </w:rPr>
      </w:pPr>
      <w:bookmarkStart w:id="126" w:name="_Toc4488"/>
      <w:bookmarkStart w:id="127" w:name="_Toc16387"/>
      <w:bookmarkStart w:id="128" w:name="_Toc8565"/>
      <w:bookmarkStart w:id="129" w:name="_Toc28168"/>
      <w:bookmarkStart w:id="130" w:name="_Toc12377"/>
      <w:bookmarkStart w:id="131" w:name="_Toc8780"/>
      <w:bookmarkStart w:id="132" w:name="_Toc26470"/>
      <w:bookmarkStart w:id="133" w:name="_Toc761"/>
      <w:bookmarkStart w:id="134" w:name="_Toc13878"/>
      <w:bookmarkStart w:id="135" w:name="_Toc7739"/>
      <w:bookmarkStart w:id="136" w:name="_Toc30487"/>
      <w:bookmarkStart w:id="137" w:name="_Toc10441"/>
      <w:bookmarkStart w:id="138" w:name="_Toc10580"/>
      <w:bookmarkStart w:id="139" w:name="_Toc24992"/>
      <w:bookmarkStart w:id="140" w:name="_Toc2875"/>
      <w:bookmarkStart w:id="141" w:name="_Toc30429"/>
      <w:bookmarkStart w:id="142" w:name="_Toc18120"/>
      <w:bookmarkStart w:id="143" w:name="_Toc27638"/>
      <w:bookmarkStart w:id="144" w:name="_Toc31734"/>
      <w:bookmarkStart w:id="145" w:name="_Toc19793"/>
      <w:bookmarkStart w:id="146" w:name="_Toc22658"/>
      <w:bookmarkStart w:id="147" w:name="_Toc11605"/>
      <w:bookmarkStart w:id="148" w:name="_Toc32616"/>
      <w:bookmarkStart w:id="149" w:name="_Toc22689"/>
      <w:bookmarkStart w:id="150" w:name="_Toc26149"/>
      <w:bookmarkStart w:id="151" w:name="_Toc6687"/>
      <w:bookmarkStart w:id="152" w:name="_Toc20034"/>
      <w:bookmarkStart w:id="153" w:name="_Toc29174"/>
      <w:bookmarkStart w:id="154" w:name="_Toc19015"/>
      <w:bookmarkStart w:id="155" w:name="_Toc24597"/>
      <w:bookmarkStart w:id="156" w:name="_Toc1621"/>
      <w:bookmarkStart w:id="157" w:name="_Toc15180"/>
      <w:bookmarkStart w:id="158" w:name="_Toc133783969"/>
      <w:bookmarkStart w:id="159" w:name="_Toc7813"/>
      <w:bookmarkStart w:id="160" w:name="_Toc2018"/>
      <w:bookmarkStart w:id="161" w:name="_Toc7710"/>
      <w:bookmarkStart w:id="162" w:name="_Toc17465"/>
      <w:bookmarkStart w:id="163" w:name="_Toc23603"/>
      <w:bookmarkStart w:id="164" w:name="_Toc32524"/>
      <w:bookmarkStart w:id="165" w:name="_Toc4881"/>
      <w:bookmarkStart w:id="166" w:name="_Toc7338"/>
      <w:bookmarkStart w:id="167" w:name="_Toc4743"/>
      <w:bookmarkStart w:id="168" w:name="_Toc498"/>
      <w:r>
        <w:rPr>
          <w:rFonts w:hint="eastAsia" w:ascii="仿宋" w:hAnsi="仿宋" w:eastAsia="仿宋" w:cs="仿宋"/>
          <w:b/>
          <w:bCs/>
        </w:rPr>
        <w:t>第二章技术要求</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pPr>
        <w:snapToGrid w:val="0"/>
        <w:spacing w:line="360" w:lineRule="auto"/>
        <w:ind w:firstLine="422" w:firstLineChars="200"/>
        <w:outlineLvl w:val="1"/>
        <w:rPr>
          <w:rFonts w:hint="eastAsia" w:ascii="仿宋" w:hAnsi="仿宋" w:eastAsia="仿宋" w:cs="仿宋"/>
          <w:b/>
          <w:bCs/>
        </w:rPr>
      </w:pPr>
      <w:bookmarkStart w:id="169" w:name="_Toc23337"/>
      <w:bookmarkStart w:id="170" w:name="_Toc21559"/>
      <w:bookmarkStart w:id="171" w:name="_Toc9894"/>
      <w:bookmarkStart w:id="172" w:name="_Toc4126"/>
      <w:bookmarkStart w:id="173" w:name="_Toc27930"/>
      <w:bookmarkStart w:id="174" w:name="_Toc5876"/>
      <w:bookmarkStart w:id="175" w:name="_Toc29354"/>
      <w:bookmarkStart w:id="176" w:name="_Toc11056"/>
      <w:bookmarkStart w:id="177" w:name="_Toc15747"/>
      <w:bookmarkStart w:id="178" w:name="_Toc380"/>
      <w:bookmarkStart w:id="179" w:name="_Toc477"/>
      <w:bookmarkStart w:id="180" w:name="_Toc5450"/>
      <w:bookmarkStart w:id="181" w:name="_Toc18792"/>
      <w:bookmarkStart w:id="182" w:name="_Toc16822"/>
      <w:bookmarkStart w:id="183" w:name="_Toc5110"/>
      <w:bookmarkStart w:id="184" w:name="_Toc25950"/>
      <w:bookmarkStart w:id="185" w:name="_Toc9134"/>
      <w:bookmarkStart w:id="186" w:name="_Toc11621"/>
      <w:bookmarkStart w:id="187" w:name="_Toc7141"/>
      <w:bookmarkStart w:id="188" w:name="_Toc22422"/>
      <w:bookmarkStart w:id="189" w:name="_Toc15995"/>
      <w:bookmarkStart w:id="190" w:name="_Toc15744"/>
      <w:bookmarkStart w:id="191" w:name="_Toc5714"/>
      <w:bookmarkStart w:id="192" w:name="_Toc20402"/>
      <w:bookmarkStart w:id="193" w:name="_Toc13195"/>
      <w:bookmarkStart w:id="194" w:name="_Toc27282"/>
      <w:bookmarkStart w:id="195" w:name="_Toc16063"/>
      <w:bookmarkStart w:id="196" w:name="_Toc26827"/>
      <w:bookmarkStart w:id="197" w:name="_Toc2473"/>
      <w:bookmarkStart w:id="198" w:name="_Toc5804"/>
      <w:bookmarkStart w:id="199" w:name="_Toc29489"/>
      <w:bookmarkStart w:id="200" w:name="_Toc31434"/>
      <w:bookmarkStart w:id="201" w:name="_Toc6003"/>
      <w:bookmarkStart w:id="202" w:name="_Toc31246"/>
      <w:bookmarkStart w:id="203" w:name="_Toc39"/>
      <w:bookmarkStart w:id="204" w:name="_Toc1111"/>
      <w:bookmarkStart w:id="205" w:name="_Toc23050"/>
      <w:bookmarkStart w:id="206" w:name="_Toc1968"/>
      <w:bookmarkStart w:id="207" w:name="_Toc20792"/>
      <w:bookmarkStart w:id="208" w:name="_Toc28751"/>
      <w:bookmarkStart w:id="209" w:name="_Toc5430"/>
      <w:r>
        <w:rPr>
          <w:rFonts w:hint="eastAsia" w:ascii="仿宋" w:hAnsi="仿宋" w:eastAsia="仿宋" w:cs="仿宋"/>
          <w:b/>
          <w:bCs/>
        </w:rPr>
        <w:t>1基本要求</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1.1 投标方所供的货物，必须符合中国最新版的法律、法规和相关标准、规范的要求，符合项目所在地政府有关特殊要求。</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1.2 投标方所供货物涉及的、招标方有权使用的专利权技术以及知识产权保护的其它技术等，应保证招标方不因此受到任何侵权指控以及实际损失。</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1.3 投标方应保证所供货物的先进性、可靠性、经济性和实用性，并为全新货物（或设备）,并具有该货物所有功能的永久使用权。</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1.4 投标方应满足招标方提出的各项技术要求，必要时应当免费提供技术承诺或担保。</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1.5 投标方应保证所供货物必须符合当前国家或地方最新安全、环保、职业健康最新法律、法规及《机械制造企业安全生产标准化》各项要求</w:t>
      </w:r>
      <w:r>
        <w:rPr>
          <w:rFonts w:ascii="Calibri" w:hAnsi="Calibri" w:eastAsia="仿宋" w:cs="Calibri"/>
        </w:rPr>
        <w:t> </w:t>
      </w:r>
      <w:r>
        <w:rPr>
          <w:rFonts w:hint="eastAsia" w:ascii="仿宋" w:hAnsi="仿宋" w:eastAsia="仿宋" w:cs="仿宋"/>
        </w:rPr>
        <w:t>。确保货物在使用管理过程中满足《职业健康安全管理体系》、《环境管理体系》等方面的国家标准、规范及地方规章要求</w:t>
      </w:r>
      <w:r>
        <w:rPr>
          <w:rFonts w:hint="eastAsia" w:ascii="仿宋" w:hAnsi="仿宋" w:eastAsia="仿宋" w:cs="仿宋"/>
          <w:color w:val="0000FF"/>
        </w:rPr>
        <w:t>。</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1.6 投标方应保证所供货物为中国公布的非淘汰货物，并为中国指定或规定的主管部门认可的环保型和节能型货物。招标的中标货物不接受试验品（提供证据），还应是原产地的货物。</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1.7 投标方应保证所供货物的完整性和成套性，能保证货物的正常运行、使用。</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1.8投标方应对招标方采购的货物所涉及的技术、产能等信息负有保密义务，特殊项目应当无条件签署保密协议。</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★1.9投标方所供设备应按“</w:t>
      </w:r>
      <w:r>
        <w:rPr>
          <w:rFonts w:hint="eastAsia" w:ascii="仿宋" w:hAnsi="仿宋" w:eastAsia="仿宋" w:cs="仿宋"/>
          <w:highlight w:val="yellow"/>
        </w:rPr>
        <w:t>交钥匙工程</w:t>
      </w:r>
      <w:r>
        <w:rPr>
          <w:rFonts w:hint="eastAsia" w:ascii="仿宋" w:hAnsi="仿宋" w:eastAsia="仿宋" w:cs="仿宋"/>
        </w:rPr>
        <w:t>”要求。</w:t>
      </w:r>
    </w:p>
    <w:p>
      <w:pPr>
        <w:snapToGrid w:val="0"/>
        <w:spacing w:line="360" w:lineRule="auto"/>
        <w:ind w:firstLine="422" w:firstLineChars="200"/>
        <w:outlineLvl w:val="1"/>
        <w:rPr>
          <w:rFonts w:hint="eastAsia" w:ascii="仿宋" w:hAnsi="仿宋" w:eastAsia="仿宋" w:cs="仿宋"/>
          <w:b/>
          <w:bCs/>
        </w:rPr>
      </w:pPr>
      <w:r>
        <w:rPr>
          <w:rFonts w:hint="eastAsia" w:ascii="仿宋" w:hAnsi="仿宋" w:eastAsia="仿宋" w:cs="仿宋"/>
          <w:b/>
          <w:bCs/>
        </w:rPr>
        <w:t>2特别提示</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 xml:space="preserve">   2.1本章技术要求，仅对功能、设计、结构、性能、安装和试验检验等方面，提出了最低和一般性的技术要求，并未对一切技术细节作出规定。</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 xml:space="preserve">    2.2本技术要求所使用的标准、规范等，如与投标人所执行的标准、规范不一致时，应按高于本技术要求所列的标准、规范执行。</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2.3投标人认为所供货物必需由招标人配备、解决或提供的其它要求，如设备基础隔振和减振设施、软化水、洁净气源等，均应在投标文件“技术偏离”中予以充分说明。</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2.4投标人应根据招投标货物具体要求，提出对厂房、设备基础（或安装平台）、公用设施、消防、环保等超出招标文件、投标文件、答疑文件、技术交流文件、技术协议书和合同等规定的、有特殊需要的解释、说明和要求。</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2.5无论是否有技术偏离，投标人均应在投标文件“技术偏离”中明确作出有无说明。若有异议，不管是多么微小，投标人必须予以明确和详细的说明或澄清。</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2.6为避免投标人优势在招标评审时漏项，质保期超出本技术标书要求的，应当在投标文件“技术偏离”中特别注明。</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2.7本技术标书内所有带★的项目为淘汰项，其中一项不能满足将导致淘汰；其他项为普通参数，3项（含3项）以上的普通参数负偏离将导致淘汰。</w:t>
      </w:r>
    </w:p>
    <w:p>
      <w:pPr>
        <w:snapToGrid w:val="0"/>
        <w:spacing w:line="360" w:lineRule="auto"/>
        <w:outlineLvl w:val="1"/>
        <w:rPr>
          <w:rFonts w:hint="eastAsia" w:ascii="仿宋" w:hAnsi="仿宋" w:eastAsia="仿宋" w:cs="仿宋"/>
          <w:b/>
          <w:bCs/>
        </w:rPr>
      </w:pPr>
      <w:bookmarkStart w:id="210" w:name="_Toc7189"/>
      <w:r>
        <w:rPr>
          <w:rFonts w:hint="eastAsia" w:ascii="仿宋" w:hAnsi="仿宋" w:eastAsia="仿宋" w:cs="仿宋"/>
          <w:b/>
          <w:bCs/>
        </w:rPr>
        <w:t>3具体技术要求</w:t>
      </w:r>
      <w:bookmarkEnd w:id="210"/>
    </w:p>
    <w:p>
      <w:pPr>
        <w:spacing w:line="360" w:lineRule="auto"/>
        <w:ind w:firstLine="420" w:firstLineChars="200"/>
        <w:jc w:val="left"/>
        <w:rPr>
          <w:rFonts w:hint="eastAsia" w:ascii="仿宋" w:hAnsi="仿宋" w:eastAsia="仿宋" w:cs="仿宋"/>
        </w:rPr>
      </w:pPr>
      <w:r>
        <w:rPr>
          <w:rFonts w:hint="eastAsia" w:ascii="仿宋" w:hAnsi="仿宋" w:eastAsia="仿宋" w:cs="仿宋"/>
        </w:rPr>
        <w:t>招标文件中所列技术要求为基本功能需求，是投标必要条件；所有技术要求皆为说明招标项目的技术标准和要求，法律含义为“参照或相当于”。其它条款若未响应或不满足，将根据招标文件要求减分。即便未被及时发现而使该投标人中标或者已经签订合同，一旦在任何时间被发现存在上述情形，则招标人均有权随时视情形决定是否取消该投标人的此前评议结果，或随时视情形决定是否对该投标予以拒绝，并有权决定采取相应的补救或纠正措施。一旦该投标人被拒绝或被取消该投标人的此前评议结果，其现有的位置将被其他投标人依序替代，相关的一切损失均由该投标人承担。</w:t>
      </w:r>
    </w:p>
    <w:p>
      <w:pPr>
        <w:spacing w:line="480" w:lineRule="exact"/>
        <w:ind w:firstLine="422" w:firstLineChars="200"/>
        <w:rPr>
          <w:rFonts w:hint="eastAsia" w:ascii="仿宋" w:hAnsi="仿宋" w:eastAsia="仿宋"/>
          <w:b/>
          <w:bCs/>
        </w:rPr>
      </w:pPr>
      <w:r>
        <w:rPr>
          <w:rFonts w:hint="eastAsia" w:ascii="仿宋" w:hAnsi="仿宋" w:eastAsia="仿宋"/>
          <w:b/>
          <w:bCs/>
        </w:rPr>
        <w:t>项目包括以下内容：</w:t>
      </w:r>
    </w:p>
    <w:p>
      <w:pPr>
        <w:spacing w:line="480" w:lineRule="exact"/>
        <w:ind w:firstLine="420" w:firstLineChars="200"/>
        <w:rPr>
          <w:rFonts w:hint="eastAsia" w:ascii="仿宋" w:hAnsi="仿宋" w:eastAsia="仿宋"/>
          <w:bCs/>
          <w:highlight w:val="yellow"/>
        </w:rPr>
      </w:pPr>
      <w:r>
        <w:rPr>
          <w:rFonts w:hint="eastAsia" w:ascii="仿宋" w:hAnsi="仿宋" w:eastAsia="仿宋" w:cs="仿宋"/>
        </w:rPr>
        <w:t>★</w:t>
      </w:r>
      <w:r>
        <w:rPr>
          <w:rFonts w:hint="eastAsia" w:ascii="仿宋" w:hAnsi="仿宋" w:eastAsia="仿宋"/>
          <w:bCs/>
          <w:highlight w:val="yellow"/>
        </w:rPr>
        <w:t>3.1功能用途：</w:t>
      </w:r>
    </w:p>
    <w:p>
      <w:pPr>
        <w:ind w:firstLine="420" w:firstLineChars="200"/>
        <w:rPr>
          <w:rFonts w:hint="eastAsia" w:ascii="仿宋" w:hAnsi="仿宋" w:eastAsia="仿宋"/>
          <w:bCs/>
          <w:color w:val="FF0000"/>
          <w:highlight w:val="yellow"/>
        </w:rPr>
      </w:pPr>
    </w:p>
    <w:p>
      <w:pPr>
        <w:ind w:firstLine="420" w:firstLineChars="200"/>
        <w:rPr>
          <w:rFonts w:hint="eastAsia" w:ascii="仿宋" w:hAnsi="仿宋" w:eastAsia="仿宋"/>
          <w:bCs/>
          <w:color w:val="FF0000"/>
          <w:highlight w:val="yellow"/>
        </w:rPr>
      </w:pPr>
      <w:r>
        <w:rPr>
          <w:rFonts w:hint="eastAsia" w:ascii="仿宋" w:hAnsi="仿宋" w:eastAsia="仿宋"/>
          <w:bCs/>
          <w:color w:val="FF0000"/>
          <w:highlight w:val="yellow"/>
        </w:rPr>
        <w:t>投标方按照招标方提供的大屏尺寸、安装位置采用吊装方式（固定点采用定制夹持器与房梁固定）进行安装调试以及控制线路的铺设，具体实施地点投标前投标方现场调研。大屏尺寸、安装位置如下：</w:t>
      </w:r>
    </w:p>
    <w:p>
      <w:pPr>
        <w:ind w:firstLine="420" w:firstLineChars="200"/>
        <w:rPr>
          <w:rFonts w:hint="eastAsia" w:ascii="仿宋" w:hAnsi="仿宋" w:eastAsia="仿宋"/>
          <w:bCs/>
          <w:color w:val="FF0000"/>
          <w:highlight w:val="yellow"/>
        </w:rPr>
      </w:pPr>
    </w:p>
    <w:tbl>
      <w:tblPr>
        <w:tblStyle w:val="36"/>
        <w:tblW w:w="9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8"/>
        <w:gridCol w:w="1723"/>
        <w:gridCol w:w="2536"/>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178" w:type="dxa"/>
          </w:tcPr>
          <w:p>
            <w:pPr>
              <w:jc w:val="center"/>
              <w:rPr>
                <w:rFonts w:hint="eastAsia" w:ascii="仿宋" w:hAnsi="仿宋" w:eastAsia="仿宋"/>
                <w:bCs/>
                <w:color w:val="FF0000"/>
                <w:sz w:val="20"/>
                <w:szCs w:val="20"/>
                <w:highlight w:val="yellow"/>
              </w:rPr>
            </w:pPr>
            <w:r>
              <w:rPr>
                <w:rFonts w:ascii="仿宋" w:hAnsi="仿宋" w:eastAsia="仿宋"/>
                <w:bCs/>
                <w:color w:val="FF0000"/>
                <w:sz w:val="20"/>
                <w:szCs w:val="20"/>
                <w:highlight w:val="yellow"/>
              </w:rPr>
              <w:t>产线/部门</w:t>
            </w:r>
          </w:p>
        </w:tc>
        <w:tc>
          <w:tcPr>
            <w:tcW w:w="1723" w:type="dxa"/>
          </w:tcPr>
          <w:p>
            <w:pPr>
              <w:jc w:val="center"/>
              <w:rPr>
                <w:rFonts w:hint="eastAsia" w:ascii="仿宋" w:hAnsi="仿宋" w:eastAsia="仿宋"/>
                <w:bCs/>
                <w:color w:val="FF0000"/>
                <w:sz w:val="20"/>
                <w:szCs w:val="20"/>
                <w:highlight w:val="yellow"/>
              </w:rPr>
            </w:pPr>
            <w:r>
              <w:rPr>
                <w:rFonts w:hint="eastAsia" w:ascii="仿宋" w:hAnsi="仿宋" w:eastAsia="仿宋" w:cs="仿宋"/>
                <w:color w:val="FF0000"/>
                <w:kern w:val="0"/>
                <w:sz w:val="20"/>
                <w:szCs w:val="20"/>
                <w:highlight w:val="yellow"/>
                <w:lang w:bidi="ar"/>
              </w:rPr>
              <w:t>大屏尺寸</w:t>
            </w:r>
          </w:p>
        </w:tc>
        <w:tc>
          <w:tcPr>
            <w:tcW w:w="2536" w:type="dxa"/>
          </w:tcPr>
          <w:p>
            <w:pPr>
              <w:jc w:val="center"/>
              <w:rPr>
                <w:rFonts w:hint="eastAsia" w:ascii="仿宋" w:hAnsi="仿宋" w:eastAsia="仿宋"/>
                <w:bCs/>
                <w:color w:val="FF0000"/>
                <w:sz w:val="20"/>
                <w:szCs w:val="20"/>
                <w:highlight w:val="yellow"/>
              </w:rPr>
            </w:pPr>
            <w:r>
              <w:rPr>
                <w:rFonts w:ascii="仿宋" w:hAnsi="仿宋" w:eastAsia="仿宋"/>
                <w:bCs/>
                <w:color w:val="FF0000"/>
                <w:sz w:val="20"/>
                <w:szCs w:val="20"/>
                <w:highlight w:val="yellow"/>
              </w:rPr>
              <w:t>安装位置</w:t>
            </w:r>
          </w:p>
        </w:tc>
        <w:tc>
          <w:tcPr>
            <w:tcW w:w="2986" w:type="dxa"/>
          </w:tcPr>
          <w:p>
            <w:pPr>
              <w:jc w:val="center"/>
              <w:rPr>
                <w:rFonts w:hint="eastAsia" w:ascii="仿宋" w:hAnsi="仿宋" w:eastAsia="仿宋"/>
                <w:bCs/>
                <w:color w:val="FF0000"/>
                <w:sz w:val="20"/>
                <w:szCs w:val="20"/>
                <w:highlight w:val="yellow"/>
              </w:rPr>
            </w:pPr>
            <w:r>
              <w:rPr>
                <w:rFonts w:hint="eastAsia" w:ascii="仿宋" w:hAnsi="仿宋" w:eastAsia="仿宋"/>
                <w:bCs/>
                <w:color w:val="FF0000"/>
                <w:sz w:val="20"/>
                <w:szCs w:val="20"/>
                <w:highlight w:val="yellow"/>
              </w:rPr>
              <w:t>控制端位置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8" w:type="dxa"/>
            <w:vAlign w:val="center"/>
          </w:tcPr>
          <w:p>
            <w:pPr>
              <w:jc w:val="center"/>
              <w:rPr>
                <w:rFonts w:hint="eastAsia" w:ascii="仿宋" w:hAnsi="仿宋" w:eastAsia="仿宋"/>
                <w:bCs/>
                <w:color w:val="FF0000"/>
                <w:sz w:val="20"/>
                <w:szCs w:val="20"/>
                <w:highlight w:val="yellow"/>
              </w:rPr>
            </w:pPr>
            <w:r>
              <w:rPr>
                <w:rFonts w:ascii="仿宋" w:hAnsi="仿宋" w:eastAsia="仿宋"/>
                <w:bCs/>
                <w:color w:val="FF0000"/>
                <w:sz w:val="20"/>
                <w:szCs w:val="20"/>
                <w:highlight w:val="yellow"/>
              </w:rPr>
              <w:t>总装线</w:t>
            </w:r>
          </w:p>
        </w:tc>
        <w:tc>
          <w:tcPr>
            <w:tcW w:w="1723" w:type="dxa"/>
            <w:vAlign w:val="center"/>
          </w:tcPr>
          <w:p>
            <w:pPr>
              <w:jc w:val="center"/>
              <w:rPr>
                <w:rFonts w:hint="eastAsia" w:ascii="仿宋" w:hAnsi="仿宋" w:eastAsia="仿宋"/>
                <w:bCs/>
                <w:color w:val="FF0000"/>
                <w:sz w:val="20"/>
                <w:szCs w:val="20"/>
                <w:highlight w:val="yellow"/>
              </w:rPr>
            </w:pPr>
            <w:r>
              <w:rPr>
                <w:rFonts w:hint="eastAsia" w:ascii="仿宋" w:hAnsi="仿宋" w:eastAsia="仿宋" w:cs="仿宋"/>
                <w:color w:val="FF0000"/>
                <w:kern w:val="0"/>
                <w:sz w:val="20"/>
                <w:szCs w:val="20"/>
                <w:highlight w:val="yellow"/>
                <w:lang w:bidi="ar"/>
              </w:rPr>
              <w:t>3840mm*2400mm</w:t>
            </w:r>
          </w:p>
        </w:tc>
        <w:tc>
          <w:tcPr>
            <w:tcW w:w="2536" w:type="dxa"/>
          </w:tcPr>
          <w:p>
            <w:pPr>
              <w:rPr>
                <w:rFonts w:hint="eastAsia" w:ascii="仿宋" w:hAnsi="仿宋" w:eastAsia="仿宋"/>
                <w:bCs/>
                <w:color w:val="FF0000"/>
                <w:sz w:val="20"/>
                <w:szCs w:val="20"/>
                <w:highlight w:val="yellow"/>
              </w:rPr>
            </w:pPr>
            <w:r>
              <w:rPr>
                <w:rFonts w:ascii="仿宋" w:hAnsi="仿宋" w:eastAsia="仿宋"/>
                <w:bCs/>
                <w:color w:val="FF0000"/>
                <w:sz w:val="20"/>
                <w:szCs w:val="20"/>
                <w:highlight w:val="yellow"/>
              </w:rPr>
              <w:t>A12B08立柱位置(总装线立柱A05-A33)</w:t>
            </w:r>
          </w:p>
        </w:tc>
        <w:tc>
          <w:tcPr>
            <w:tcW w:w="2986" w:type="dxa"/>
            <w:vMerge w:val="restart"/>
          </w:tcPr>
          <w:p>
            <w:pPr>
              <w:rPr>
                <w:rFonts w:hint="eastAsia" w:ascii="仿宋" w:hAnsi="仿宋" w:eastAsia="仿宋"/>
                <w:bCs/>
                <w:color w:val="FF0000"/>
                <w:sz w:val="20"/>
                <w:szCs w:val="20"/>
                <w:highlight w:val="yellow"/>
              </w:rPr>
            </w:pPr>
            <w:r>
              <w:rPr>
                <w:rFonts w:ascii="仿宋" w:hAnsi="仿宋" w:eastAsia="仿宋"/>
                <w:bCs/>
                <w:color w:val="FF0000"/>
                <w:sz w:val="20"/>
                <w:szCs w:val="20"/>
                <w:highlight w:val="yellow"/>
              </w:rPr>
              <w:t>北办公楼一楼制造部会议室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8" w:type="dxa"/>
            <w:vAlign w:val="center"/>
          </w:tcPr>
          <w:p>
            <w:pPr>
              <w:jc w:val="center"/>
              <w:rPr>
                <w:rFonts w:hint="eastAsia" w:ascii="仿宋" w:hAnsi="仿宋" w:eastAsia="仿宋"/>
                <w:bCs/>
                <w:color w:val="FF0000"/>
                <w:sz w:val="20"/>
                <w:szCs w:val="20"/>
                <w:highlight w:val="yellow"/>
              </w:rPr>
            </w:pPr>
            <w:r>
              <w:rPr>
                <w:rFonts w:ascii="仿宋" w:hAnsi="仿宋" w:eastAsia="仿宋"/>
                <w:bCs/>
                <w:color w:val="FF0000"/>
                <w:sz w:val="20"/>
                <w:szCs w:val="20"/>
                <w:highlight w:val="yellow"/>
              </w:rPr>
              <w:t>车身线</w:t>
            </w:r>
          </w:p>
        </w:tc>
        <w:tc>
          <w:tcPr>
            <w:tcW w:w="1723" w:type="dxa"/>
            <w:vAlign w:val="center"/>
          </w:tcPr>
          <w:p>
            <w:pPr>
              <w:jc w:val="center"/>
              <w:rPr>
                <w:rFonts w:hint="eastAsia" w:ascii="仿宋" w:hAnsi="仿宋" w:eastAsia="仿宋"/>
                <w:bCs/>
                <w:color w:val="FF0000"/>
                <w:sz w:val="20"/>
                <w:szCs w:val="20"/>
                <w:highlight w:val="yellow"/>
              </w:rPr>
            </w:pPr>
            <w:r>
              <w:rPr>
                <w:rFonts w:hint="eastAsia" w:ascii="仿宋" w:hAnsi="仿宋" w:eastAsia="仿宋" w:cs="仿宋"/>
                <w:color w:val="FF0000"/>
                <w:kern w:val="0"/>
                <w:sz w:val="20"/>
                <w:szCs w:val="20"/>
                <w:highlight w:val="yellow"/>
                <w:lang w:bidi="ar"/>
              </w:rPr>
              <w:t>3840mm*2400mm</w:t>
            </w:r>
          </w:p>
        </w:tc>
        <w:tc>
          <w:tcPr>
            <w:tcW w:w="2536" w:type="dxa"/>
          </w:tcPr>
          <w:p>
            <w:pPr>
              <w:rPr>
                <w:rFonts w:hint="eastAsia" w:ascii="仿宋" w:hAnsi="仿宋" w:eastAsia="仿宋"/>
                <w:bCs/>
                <w:color w:val="FF0000"/>
                <w:sz w:val="20"/>
                <w:szCs w:val="20"/>
                <w:highlight w:val="yellow"/>
              </w:rPr>
            </w:pPr>
            <w:r>
              <w:rPr>
                <w:rFonts w:ascii="仿宋" w:hAnsi="仿宋" w:eastAsia="仿宋"/>
                <w:bCs/>
                <w:color w:val="FF0000"/>
                <w:sz w:val="20"/>
                <w:szCs w:val="20"/>
                <w:highlight w:val="yellow"/>
              </w:rPr>
              <w:t>A12B11立柱位置(车身线立柱A05-A24)</w:t>
            </w:r>
          </w:p>
        </w:tc>
        <w:tc>
          <w:tcPr>
            <w:tcW w:w="2986" w:type="dxa"/>
            <w:vMerge w:val="continue"/>
          </w:tcPr>
          <w:p>
            <w:pPr>
              <w:rPr>
                <w:rFonts w:hint="eastAsia" w:ascii="仿宋" w:hAnsi="仿宋" w:eastAsia="仿宋"/>
                <w:bCs/>
                <w:color w:val="FF0000"/>
                <w:sz w:val="20"/>
                <w:szCs w:val="2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8" w:type="dxa"/>
            <w:vAlign w:val="center"/>
          </w:tcPr>
          <w:p>
            <w:pPr>
              <w:jc w:val="center"/>
              <w:rPr>
                <w:rFonts w:hint="eastAsia" w:ascii="仿宋" w:hAnsi="仿宋" w:eastAsia="仿宋"/>
                <w:bCs/>
                <w:color w:val="FF0000"/>
                <w:sz w:val="20"/>
                <w:szCs w:val="20"/>
                <w:highlight w:val="yellow"/>
              </w:rPr>
            </w:pPr>
            <w:r>
              <w:rPr>
                <w:rFonts w:ascii="仿宋" w:hAnsi="仿宋" w:eastAsia="仿宋"/>
                <w:bCs/>
                <w:color w:val="FF0000"/>
                <w:sz w:val="20"/>
                <w:szCs w:val="20"/>
                <w:highlight w:val="yellow"/>
              </w:rPr>
              <w:t>仓库</w:t>
            </w:r>
          </w:p>
        </w:tc>
        <w:tc>
          <w:tcPr>
            <w:tcW w:w="1723" w:type="dxa"/>
            <w:vAlign w:val="center"/>
          </w:tcPr>
          <w:p>
            <w:pPr>
              <w:jc w:val="center"/>
              <w:rPr>
                <w:rFonts w:hint="eastAsia" w:ascii="仿宋" w:hAnsi="仿宋" w:eastAsia="仿宋"/>
                <w:bCs/>
                <w:color w:val="FF0000"/>
                <w:sz w:val="20"/>
                <w:szCs w:val="20"/>
                <w:highlight w:val="yellow"/>
              </w:rPr>
            </w:pPr>
            <w:r>
              <w:rPr>
                <w:rFonts w:hint="eastAsia" w:ascii="仿宋" w:hAnsi="仿宋" w:eastAsia="仿宋" w:cs="仿宋"/>
                <w:color w:val="FF0000"/>
                <w:kern w:val="0"/>
                <w:sz w:val="20"/>
                <w:szCs w:val="20"/>
                <w:highlight w:val="yellow"/>
                <w:lang w:bidi="ar"/>
              </w:rPr>
              <w:t>1920mm*1440mm</w:t>
            </w:r>
          </w:p>
        </w:tc>
        <w:tc>
          <w:tcPr>
            <w:tcW w:w="2536" w:type="dxa"/>
          </w:tcPr>
          <w:p>
            <w:pPr>
              <w:rPr>
                <w:rFonts w:hint="eastAsia" w:ascii="仿宋" w:hAnsi="仿宋" w:eastAsia="仿宋"/>
                <w:bCs/>
                <w:color w:val="FF0000"/>
                <w:sz w:val="20"/>
                <w:szCs w:val="20"/>
                <w:highlight w:val="yellow"/>
              </w:rPr>
            </w:pPr>
            <w:r>
              <w:rPr>
                <w:rFonts w:ascii="仿宋" w:hAnsi="仿宋" w:eastAsia="仿宋"/>
                <w:bCs/>
                <w:color w:val="FF0000"/>
                <w:sz w:val="20"/>
                <w:szCs w:val="20"/>
                <w:highlight w:val="yellow"/>
              </w:rPr>
              <w:t>进门通道位置</w:t>
            </w:r>
          </w:p>
        </w:tc>
        <w:tc>
          <w:tcPr>
            <w:tcW w:w="2986" w:type="dxa"/>
          </w:tcPr>
          <w:p>
            <w:pPr>
              <w:rPr>
                <w:rFonts w:hint="eastAsia" w:ascii="仿宋" w:hAnsi="仿宋" w:eastAsia="仿宋"/>
                <w:bCs/>
                <w:color w:val="FF0000"/>
                <w:sz w:val="20"/>
                <w:szCs w:val="20"/>
                <w:highlight w:val="yellow"/>
              </w:rPr>
            </w:pPr>
            <w:r>
              <w:rPr>
                <w:rFonts w:ascii="仿宋" w:hAnsi="仿宋" w:eastAsia="仿宋"/>
                <w:bCs/>
                <w:color w:val="FF0000"/>
                <w:sz w:val="20"/>
                <w:szCs w:val="20"/>
                <w:highlight w:val="yellow"/>
              </w:rPr>
              <w:t>载信物流仓库北门办公室</w:t>
            </w:r>
          </w:p>
        </w:tc>
      </w:tr>
    </w:tbl>
    <w:p>
      <w:pPr>
        <w:ind w:firstLine="420" w:firstLineChars="200"/>
        <w:rPr>
          <w:rFonts w:hint="eastAsia" w:ascii="仿宋" w:hAnsi="仿宋" w:eastAsia="仿宋"/>
          <w:bCs/>
          <w:color w:val="FF0000"/>
          <w:highlight w:val="yellow"/>
        </w:rPr>
      </w:pPr>
    </w:p>
    <w:p>
      <w:pPr>
        <w:spacing w:line="480" w:lineRule="exact"/>
        <w:ind w:firstLine="420" w:firstLineChars="200"/>
        <w:rPr>
          <w:rFonts w:hint="eastAsia" w:ascii="仿宋" w:hAnsi="仿宋" w:eastAsia="仿宋"/>
          <w:bCs/>
          <w:color w:val="FF0000"/>
          <w:highlight w:val="yellow"/>
        </w:rPr>
      </w:pPr>
      <w:r>
        <w:rPr>
          <w:rFonts w:hint="eastAsia" w:ascii="仿宋" w:hAnsi="仿宋" w:eastAsia="仿宋" w:cs="仿宋"/>
        </w:rPr>
        <w:t>★</w:t>
      </w:r>
      <w:r>
        <w:rPr>
          <w:rFonts w:hint="eastAsia" w:ascii="仿宋" w:hAnsi="仿宋" w:eastAsia="仿宋"/>
          <w:bCs/>
        </w:rPr>
        <w:t>3.2</w:t>
      </w:r>
      <w:r>
        <w:rPr>
          <w:rFonts w:hint="eastAsia" w:ascii="仿宋" w:hAnsi="仿宋" w:eastAsia="仿宋"/>
          <w:bCs/>
          <w:color w:val="FF0000"/>
          <w:highlight w:val="yellow"/>
        </w:rPr>
        <w:t>安装施工要求：</w:t>
      </w:r>
    </w:p>
    <w:p>
      <w:pPr>
        <w:spacing w:line="480" w:lineRule="exact"/>
        <w:ind w:firstLine="420" w:firstLineChars="200"/>
        <w:rPr>
          <w:rFonts w:hint="eastAsia" w:ascii="仿宋" w:hAnsi="仿宋" w:eastAsia="仿宋"/>
          <w:bCs/>
          <w:color w:val="FF0000"/>
          <w:highlight w:val="yellow"/>
        </w:rPr>
      </w:pPr>
      <w:r>
        <w:rPr>
          <w:rFonts w:hint="eastAsia" w:ascii="仿宋" w:hAnsi="仿宋" w:eastAsia="仿宋"/>
          <w:bCs/>
          <w:color w:val="FF0000"/>
          <w:highlight w:val="yellow"/>
        </w:rPr>
        <w:t>投标方提供甲方3.1三块大屏的指定安装地点安装、调试服务。具体施工参数如下：</w:t>
      </w:r>
    </w:p>
    <w:p>
      <w:pPr>
        <w:ind w:firstLine="420" w:firstLineChars="200"/>
        <w:rPr>
          <w:rFonts w:hint="eastAsia" w:ascii="仿宋" w:hAnsi="仿宋" w:eastAsia="仿宋"/>
          <w:bCs/>
          <w:highlight w:val="yellow"/>
        </w:rPr>
      </w:pPr>
    </w:p>
    <w:tbl>
      <w:tblPr>
        <w:tblStyle w:val="35"/>
        <w:tblW w:w="9447" w:type="dxa"/>
        <w:jc w:val="center"/>
        <w:tblLayout w:type="fixed"/>
        <w:tblCellMar>
          <w:top w:w="0" w:type="dxa"/>
          <w:left w:w="108" w:type="dxa"/>
          <w:bottom w:w="0" w:type="dxa"/>
          <w:right w:w="108" w:type="dxa"/>
        </w:tblCellMar>
      </w:tblPr>
      <w:tblGrid>
        <w:gridCol w:w="621"/>
        <w:gridCol w:w="2979"/>
        <w:gridCol w:w="3859"/>
        <w:gridCol w:w="1160"/>
        <w:gridCol w:w="828"/>
      </w:tblGrid>
      <w:tr>
        <w:tblPrEx>
          <w:tblCellMar>
            <w:top w:w="0" w:type="dxa"/>
            <w:left w:w="108" w:type="dxa"/>
            <w:bottom w:w="0" w:type="dxa"/>
            <w:right w:w="108" w:type="dxa"/>
          </w:tblCellMar>
        </w:tblPrEx>
        <w:trPr>
          <w:trHeight w:val="260" w:hRule="atLeast"/>
          <w:jc w:val="center"/>
        </w:trPr>
        <w:tc>
          <w:tcPr>
            <w:tcW w:w="621" w:type="dxa"/>
            <w:tcBorders>
              <w:top w:val="single" w:color="000000" w:sz="8" w:space="0"/>
              <w:left w:val="single" w:color="000000" w:sz="8" w:space="0"/>
              <w:bottom w:val="single" w:color="000000" w:sz="8" w:space="0"/>
              <w:right w:val="single" w:color="000000" w:sz="4" w:space="0"/>
            </w:tcBorders>
            <w:noWrap/>
            <w:vAlign w:val="center"/>
          </w:tcPr>
          <w:p>
            <w:pPr>
              <w:widowControl/>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序号</w:t>
            </w:r>
          </w:p>
        </w:tc>
        <w:tc>
          <w:tcPr>
            <w:tcW w:w="2979" w:type="dxa"/>
            <w:tcBorders>
              <w:top w:val="single" w:color="000000" w:sz="8" w:space="0"/>
              <w:left w:val="single" w:color="000000" w:sz="4" w:space="0"/>
              <w:bottom w:val="single" w:color="000000" w:sz="8" w:space="0"/>
              <w:right w:val="single" w:color="000000" w:sz="4" w:space="0"/>
            </w:tcBorders>
            <w:noWrap/>
            <w:vAlign w:val="center"/>
          </w:tcPr>
          <w:p>
            <w:pPr>
              <w:widowControl/>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货物名称</w:t>
            </w:r>
          </w:p>
        </w:tc>
        <w:tc>
          <w:tcPr>
            <w:tcW w:w="3859" w:type="dxa"/>
            <w:tcBorders>
              <w:top w:val="single" w:color="000000" w:sz="8" w:space="0"/>
              <w:left w:val="single" w:color="000000" w:sz="4" w:space="0"/>
              <w:bottom w:val="single" w:color="000000" w:sz="8" w:space="0"/>
              <w:right w:val="single" w:color="000000" w:sz="4" w:space="0"/>
            </w:tcBorders>
            <w:noWrap/>
            <w:vAlign w:val="center"/>
          </w:tcPr>
          <w:p>
            <w:pPr>
              <w:widowControl/>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型号规格</w:t>
            </w:r>
          </w:p>
        </w:tc>
        <w:tc>
          <w:tcPr>
            <w:tcW w:w="1160" w:type="dxa"/>
            <w:tcBorders>
              <w:top w:val="single" w:color="000000" w:sz="8" w:space="0"/>
              <w:left w:val="single" w:color="000000" w:sz="4" w:space="0"/>
              <w:bottom w:val="single" w:color="000000" w:sz="8" w:space="0"/>
              <w:right w:val="single" w:color="000000" w:sz="4" w:space="0"/>
            </w:tcBorders>
            <w:noWrap/>
            <w:vAlign w:val="center"/>
          </w:tcPr>
          <w:p>
            <w:pPr>
              <w:widowControl/>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单位</w:t>
            </w:r>
          </w:p>
        </w:tc>
        <w:tc>
          <w:tcPr>
            <w:tcW w:w="828" w:type="dxa"/>
            <w:tcBorders>
              <w:top w:val="single" w:color="000000" w:sz="8" w:space="0"/>
              <w:left w:val="single" w:color="000000" w:sz="4" w:space="0"/>
              <w:bottom w:val="single" w:color="000000" w:sz="8" w:space="0"/>
              <w:right w:val="single" w:color="000000" w:sz="8" w:space="0"/>
            </w:tcBorders>
            <w:noWrap/>
            <w:vAlign w:val="center"/>
          </w:tcPr>
          <w:p>
            <w:pPr>
              <w:widowControl/>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数量</w:t>
            </w:r>
          </w:p>
        </w:tc>
      </w:tr>
      <w:tr>
        <w:tblPrEx>
          <w:tblCellMar>
            <w:top w:w="0" w:type="dxa"/>
            <w:left w:w="108" w:type="dxa"/>
            <w:bottom w:w="0" w:type="dxa"/>
            <w:right w:w="108" w:type="dxa"/>
          </w:tblCellMar>
        </w:tblPrEx>
        <w:trPr>
          <w:trHeight w:val="260" w:hRule="atLeast"/>
          <w:jc w:val="center"/>
        </w:trPr>
        <w:tc>
          <w:tcPr>
            <w:tcW w:w="621" w:type="dxa"/>
            <w:tcBorders>
              <w:top w:val="nil"/>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c>
          <w:tcPr>
            <w:tcW w:w="2979" w:type="dxa"/>
            <w:tcBorders>
              <w:top w:val="nil"/>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网线</w:t>
            </w:r>
          </w:p>
        </w:tc>
        <w:tc>
          <w:tcPr>
            <w:tcW w:w="3859" w:type="dxa"/>
            <w:tcBorders>
              <w:top w:val="nil"/>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六类</w:t>
            </w:r>
          </w:p>
        </w:tc>
        <w:tc>
          <w:tcPr>
            <w:tcW w:w="1160" w:type="dxa"/>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m</w:t>
            </w:r>
          </w:p>
        </w:tc>
        <w:tc>
          <w:tcPr>
            <w:tcW w:w="828" w:type="dxa"/>
            <w:tcBorders>
              <w:top w:val="nil"/>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1000</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2</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电源线</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RVV3*2.5（三线/2.5mm</w:t>
            </w:r>
            <w:r>
              <w:rPr>
                <w:rFonts w:hint="eastAsia" w:ascii="宋体" w:hAnsi="宋体" w:eastAsia="宋体" w:cs="宋体"/>
                <w:color w:val="000000"/>
                <w:kern w:val="0"/>
                <w:sz w:val="20"/>
                <w:szCs w:val="20"/>
                <w:lang w:bidi="ar"/>
              </w:rPr>
              <w:t>²</w:t>
            </w:r>
            <w:r>
              <w:rPr>
                <w:rStyle w:val="137"/>
                <w:rFonts w:hint="default"/>
                <w:lang w:bidi="ar"/>
              </w:rPr>
              <w:t>）</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m</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550</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3</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桥架</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50mm*100mm</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m</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250</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4</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高清线</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5m/条</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条</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8</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5</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登高车</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登高高度≥15m</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元/2台/天</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9</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6-1</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总装线大屏框架：框架钢结构尺寸（长*高*厚）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3940mm*2500mm*110mm</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6-2</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框架钢结构支架-主龙骨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100mm*50mm*2.5mm方钢</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6-3</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分龙骨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40mm*40mm*2.0mm方钢</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6-4</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吊杆</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50mm*50mm*3.5mm方钢,长度3m-6m可调节</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FF0000"/>
                <w:sz w:val="20"/>
                <w:szCs w:val="20"/>
                <w:highlight w:val="yellow"/>
              </w:rPr>
            </w:pPr>
            <w:r>
              <w:rPr>
                <w:rFonts w:hint="eastAsia" w:ascii="仿宋" w:hAnsi="仿宋" w:eastAsia="仿宋" w:cs="仿宋"/>
                <w:color w:val="FF0000"/>
                <w:sz w:val="20"/>
                <w:szCs w:val="20"/>
                <w:highlight w:val="yellow"/>
              </w:rPr>
              <w:t>6-5</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总装线大屏定制夹持器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2</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FF0000"/>
                <w:sz w:val="20"/>
                <w:szCs w:val="20"/>
                <w:highlight w:val="yellow"/>
              </w:rPr>
            </w:pPr>
            <w:r>
              <w:rPr>
                <w:rFonts w:hint="eastAsia" w:ascii="仿宋" w:hAnsi="仿宋" w:eastAsia="仿宋" w:cs="仿宋"/>
                <w:color w:val="FF0000"/>
                <w:sz w:val="20"/>
                <w:szCs w:val="20"/>
                <w:highlight w:val="yellow"/>
              </w:rPr>
              <w:t>6-6</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总装线大屏大屏四周包边</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1</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FF0000"/>
                <w:sz w:val="20"/>
                <w:szCs w:val="20"/>
                <w:highlight w:val="yellow"/>
              </w:rPr>
            </w:pPr>
            <w:r>
              <w:rPr>
                <w:rFonts w:hint="eastAsia" w:ascii="仿宋" w:hAnsi="仿宋" w:eastAsia="仿宋" w:cs="仿宋"/>
                <w:color w:val="FF0000"/>
                <w:sz w:val="20"/>
                <w:szCs w:val="20"/>
                <w:highlight w:val="yellow"/>
              </w:rPr>
              <w:t>6-7</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总装线大屏配套螺丝，卡扣，角件等</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1</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7-1</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车身线大屏框架：框架钢结构尺寸（长*高*厚）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3940mm*2500mm*110mm</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7-2</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框架钢结构支架:—主龙骨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100mm*50mm*2.5mm方钢</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7-3</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分龙骨：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40mm*40mm*2.0mm方钢</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7-4</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吊杆:</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50mm*50mm*3.5mm方钢,长度3m-6m可调节</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FF0000"/>
                <w:sz w:val="20"/>
                <w:szCs w:val="20"/>
                <w:highlight w:val="yellow"/>
              </w:rPr>
            </w:pPr>
            <w:r>
              <w:rPr>
                <w:rFonts w:hint="eastAsia" w:ascii="仿宋" w:hAnsi="仿宋" w:eastAsia="仿宋" w:cs="仿宋"/>
                <w:color w:val="FF0000"/>
                <w:sz w:val="20"/>
                <w:szCs w:val="20"/>
                <w:highlight w:val="yellow"/>
              </w:rPr>
              <w:t>7-5</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车身线大屏定制夹持器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2</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FF0000"/>
                <w:sz w:val="20"/>
                <w:szCs w:val="20"/>
                <w:highlight w:val="yellow"/>
              </w:rPr>
            </w:pPr>
            <w:r>
              <w:rPr>
                <w:rFonts w:hint="eastAsia" w:ascii="仿宋" w:hAnsi="仿宋" w:eastAsia="仿宋" w:cs="仿宋"/>
                <w:color w:val="FF0000"/>
                <w:sz w:val="20"/>
                <w:szCs w:val="20"/>
                <w:highlight w:val="yellow"/>
              </w:rPr>
              <w:t>7-6</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车身线大屏大屏四周包边</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1</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FF0000"/>
                <w:sz w:val="20"/>
                <w:szCs w:val="20"/>
                <w:highlight w:val="yellow"/>
              </w:rPr>
            </w:pPr>
            <w:r>
              <w:rPr>
                <w:rFonts w:hint="eastAsia" w:ascii="仿宋" w:hAnsi="仿宋" w:eastAsia="仿宋" w:cs="仿宋"/>
                <w:color w:val="FF0000"/>
                <w:sz w:val="20"/>
                <w:szCs w:val="20"/>
                <w:highlight w:val="yellow"/>
              </w:rPr>
              <w:t>7-7</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车身线大屏配套螺丝，卡扣，角件等</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1</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8-1</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仓库大屏框架:框架钢结构尺寸（长*高*厚）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2020mm*1540mm*110mm</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8-2</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框架钢结构支架:—主龙骨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100mm*50mm*2.5mm方钢</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8-3</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分龙骨：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40mm*40mm*2.0mm方钢</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8-4</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吊杆:</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50mm*50mm*2.0mm方钢,长度3m-6m可调节</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r>
      <w:tr>
        <w:tblPrEx>
          <w:tblCellMar>
            <w:top w:w="0" w:type="dxa"/>
            <w:left w:w="108" w:type="dxa"/>
            <w:bottom w:w="0" w:type="dxa"/>
            <w:right w:w="108" w:type="dxa"/>
          </w:tblCellMar>
        </w:tblPrEx>
        <w:trPr>
          <w:trHeight w:val="9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FF0000"/>
                <w:sz w:val="20"/>
                <w:szCs w:val="20"/>
                <w:highlight w:val="yellow"/>
              </w:rPr>
            </w:pPr>
            <w:r>
              <w:rPr>
                <w:rFonts w:hint="eastAsia" w:ascii="仿宋" w:hAnsi="仿宋" w:eastAsia="仿宋" w:cs="仿宋"/>
                <w:color w:val="FF0000"/>
                <w:sz w:val="20"/>
                <w:szCs w:val="20"/>
                <w:highlight w:val="yellow"/>
              </w:rPr>
              <w:t>8-5</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仓库大屏定制夹持器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2</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FF0000"/>
                <w:sz w:val="20"/>
                <w:szCs w:val="20"/>
                <w:highlight w:val="yellow"/>
              </w:rPr>
            </w:pPr>
            <w:r>
              <w:rPr>
                <w:rFonts w:hint="eastAsia" w:ascii="仿宋" w:hAnsi="仿宋" w:eastAsia="仿宋" w:cs="仿宋"/>
                <w:color w:val="FF0000"/>
                <w:sz w:val="20"/>
                <w:szCs w:val="20"/>
                <w:highlight w:val="yellow"/>
              </w:rPr>
              <w:t>8-6</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仓库大屏大屏四周包边</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1</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FF0000"/>
                <w:sz w:val="20"/>
                <w:szCs w:val="20"/>
                <w:highlight w:val="yellow"/>
              </w:rPr>
            </w:pPr>
            <w:r>
              <w:rPr>
                <w:rFonts w:hint="eastAsia" w:ascii="仿宋" w:hAnsi="仿宋" w:eastAsia="仿宋" w:cs="仿宋"/>
                <w:color w:val="FF0000"/>
                <w:sz w:val="20"/>
                <w:szCs w:val="20"/>
                <w:highlight w:val="yellow"/>
              </w:rPr>
              <w:t>8-7</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仓库大屏配套螺丝，卡扣，角件等</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1</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9</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总装线大屏安装调试费：</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hAnsi="仿宋" w:eastAsia="仿宋" w:cs="仿宋"/>
                <w:color w:val="000000"/>
                <w:sz w:val="20"/>
                <w:szCs w:val="20"/>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元/m</w:t>
            </w:r>
            <w:r>
              <w:rPr>
                <w:rFonts w:hint="eastAsia" w:ascii="宋体" w:hAnsi="宋体" w:eastAsia="宋体" w:cs="宋体"/>
                <w:color w:val="000000"/>
                <w:kern w:val="0"/>
                <w:sz w:val="20"/>
                <w:szCs w:val="20"/>
                <w:lang w:bidi="ar"/>
              </w:rPr>
              <w:t>²</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10</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10</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车身线大屏安装调试费：</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hAnsi="仿宋" w:eastAsia="仿宋" w:cs="仿宋"/>
                <w:color w:val="000000"/>
                <w:sz w:val="20"/>
                <w:szCs w:val="20"/>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元/m</w:t>
            </w:r>
            <w:r>
              <w:rPr>
                <w:rFonts w:hint="eastAsia" w:ascii="宋体" w:hAnsi="宋体" w:eastAsia="宋体" w:cs="宋体"/>
                <w:color w:val="000000"/>
                <w:kern w:val="0"/>
                <w:sz w:val="20"/>
                <w:szCs w:val="20"/>
                <w:lang w:bidi="ar"/>
              </w:rPr>
              <w:t>²</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10</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11</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仓库大屏安装调试费：</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hAnsi="仿宋" w:eastAsia="仿宋" w:cs="仿宋"/>
                <w:color w:val="000000"/>
                <w:sz w:val="20"/>
                <w:szCs w:val="20"/>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元/m</w:t>
            </w:r>
            <w:r>
              <w:rPr>
                <w:rFonts w:hint="eastAsia" w:ascii="宋体" w:hAnsi="宋体" w:eastAsia="宋体" w:cs="宋体"/>
                <w:color w:val="000000"/>
                <w:kern w:val="0"/>
                <w:sz w:val="20"/>
                <w:szCs w:val="20"/>
                <w:lang w:bidi="ar"/>
              </w:rPr>
              <w:t>²</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4</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12</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光纤</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6芯单模</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m</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640</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13-1</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光纤收发器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1光4电</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2</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13-2</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光纤收发器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1发1收</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14</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光纤熔接</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hAnsi="仿宋" w:eastAsia="仿宋" w:cs="仿宋"/>
                <w:color w:val="000000"/>
                <w:sz w:val="20"/>
                <w:szCs w:val="20"/>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r>
      <w:tr>
        <w:tblPrEx>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15</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布线费用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hAnsi="仿宋" w:eastAsia="仿宋" w:cs="仿宋"/>
                <w:color w:val="000000"/>
                <w:sz w:val="20"/>
                <w:szCs w:val="20"/>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r>
      <w:tr>
        <w:tblPrEx>
          <w:tblCellMar>
            <w:top w:w="0" w:type="dxa"/>
            <w:left w:w="108" w:type="dxa"/>
            <w:bottom w:w="0" w:type="dxa"/>
            <w:right w:w="108" w:type="dxa"/>
          </w:tblCellMar>
        </w:tblPrEx>
        <w:trPr>
          <w:trHeight w:val="260" w:hRule="atLeast"/>
          <w:jc w:val="center"/>
        </w:trPr>
        <w:tc>
          <w:tcPr>
            <w:tcW w:w="3600" w:type="dxa"/>
            <w:gridSpan w:val="2"/>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安装地点/ 服务对象</w:t>
            </w:r>
          </w:p>
        </w:tc>
        <w:tc>
          <w:tcPr>
            <w:tcW w:w="5847" w:type="dxa"/>
            <w:gridSpan w:val="3"/>
            <w:tcBorders>
              <w:top w:val="single" w:color="000000" w:sz="4" w:space="0"/>
              <w:left w:val="single" w:color="000000" w:sz="4" w:space="0"/>
              <w:bottom w:val="single" w:color="000000" w:sz="4" w:space="0"/>
              <w:right w:val="single" w:color="000000" w:sz="8" w:space="0"/>
            </w:tcBorders>
            <w:noWrap/>
            <w:vAlign w:val="center"/>
          </w:tcPr>
          <w:p>
            <w:pPr>
              <w:jc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中国重汽集团济南特种车有限公司总装线、车身线、物流仓库</w:t>
            </w:r>
          </w:p>
        </w:tc>
      </w:tr>
      <w:tr>
        <w:tblPrEx>
          <w:tblCellMar>
            <w:top w:w="0" w:type="dxa"/>
            <w:left w:w="108" w:type="dxa"/>
            <w:bottom w:w="0" w:type="dxa"/>
            <w:right w:w="108" w:type="dxa"/>
          </w:tblCellMar>
        </w:tblPrEx>
        <w:trPr>
          <w:trHeight w:val="260" w:hRule="atLeast"/>
          <w:jc w:val="center"/>
        </w:trPr>
        <w:tc>
          <w:tcPr>
            <w:tcW w:w="3600" w:type="dxa"/>
            <w:gridSpan w:val="2"/>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供货方式</w:t>
            </w:r>
          </w:p>
        </w:tc>
        <w:tc>
          <w:tcPr>
            <w:tcW w:w="5847" w:type="dxa"/>
            <w:gridSpan w:val="3"/>
            <w:tcBorders>
              <w:top w:val="single" w:color="000000" w:sz="4" w:space="0"/>
              <w:left w:val="single" w:color="000000" w:sz="4" w:space="0"/>
              <w:bottom w:val="single" w:color="000000" w:sz="4" w:space="0"/>
              <w:right w:val="single" w:color="000000" w:sz="8" w:space="0"/>
            </w:tcBorders>
            <w:noWrap/>
            <w:vAlign w:val="center"/>
          </w:tcPr>
          <w:p>
            <w:pPr>
              <w:jc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交钥匙方式</w:t>
            </w:r>
          </w:p>
        </w:tc>
      </w:tr>
      <w:tr>
        <w:tblPrEx>
          <w:tblCellMar>
            <w:top w:w="0" w:type="dxa"/>
            <w:left w:w="108" w:type="dxa"/>
            <w:bottom w:w="0" w:type="dxa"/>
            <w:right w:w="108" w:type="dxa"/>
          </w:tblCellMar>
        </w:tblPrEx>
        <w:trPr>
          <w:trHeight w:val="260" w:hRule="atLeast"/>
          <w:jc w:val="center"/>
        </w:trPr>
        <w:tc>
          <w:tcPr>
            <w:tcW w:w="3600" w:type="dxa"/>
            <w:gridSpan w:val="2"/>
            <w:tcBorders>
              <w:top w:val="single" w:color="000000" w:sz="4" w:space="0"/>
              <w:left w:val="single" w:color="000000" w:sz="8" w:space="0"/>
              <w:bottom w:val="single" w:color="000000" w:sz="8" w:space="0"/>
              <w:right w:val="single" w:color="000000" w:sz="4" w:space="0"/>
            </w:tcBorders>
            <w:noWrap/>
            <w:vAlign w:val="center"/>
          </w:tcPr>
          <w:p>
            <w:pPr>
              <w:widowControl/>
              <w:jc w:val="center"/>
              <w:textAlignment w:val="center"/>
              <w:rPr>
                <w:rFonts w:hint="eastAsia" w:ascii="仿宋" w:hAnsi="仿宋" w:eastAsia="仿宋" w:cs="仿宋"/>
                <w:b/>
                <w:bCs/>
                <w:color w:val="000000"/>
                <w:kern w:val="0"/>
                <w:sz w:val="20"/>
                <w:szCs w:val="20"/>
                <w:lang w:bidi="ar"/>
              </w:rPr>
            </w:pPr>
            <w:r>
              <w:rPr>
                <w:rFonts w:hint="eastAsia" w:ascii="仿宋" w:hAnsi="仿宋" w:eastAsia="仿宋" w:cs="仿宋"/>
                <w:b/>
                <w:bCs/>
                <w:color w:val="000000"/>
                <w:kern w:val="0"/>
                <w:sz w:val="20"/>
                <w:szCs w:val="20"/>
                <w:lang w:bidi="ar"/>
              </w:rPr>
              <w:t>配套服务要求</w:t>
            </w:r>
          </w:p>
        </w:tc>
        <w:tc>
          <w:tcPr>
            <w:tcW w:w="5847" w:type="dxa"/>
            <w:gridSpan w:val="3"/>
            <w:tcBorders>
              <w:top w:val="single" w:color="000000" w:sz="4" w:space="0"/>
              <w:left w:val="single" w:color="000000" w:sz="4" w:space="0"/>
              <w:bottom w:val="single" w:color="000000" w:sz="8" w:space="0"/>
              <w:right w:val="single" w:color="000000" w:sz="8" w:space="0"/>
            </w:tcBorders>
            <w:noWrap/>
            <w:vAlign w:val="center"/>
          </w:tcPr>
          <w:p>
            <w:pPr>
              <w:jc w:val="left"/>
              <w:rPr>
                <w:rFonts w:hint="eastAsia" w:ascii="仿宋" w:hAnsi="仿宋" w:eastAsia="仿宋" w:cs="仿宋"/>
                <w:b/>
                <w:bCs/>
                <w:color w:val="000000"/>
                <w:kern w:val="0"/>
                <w:sz w:val="20"/>
                <w:szCs w:val="20"/>
                <w:lang w:bidi="ar"/>
              </w:rPr>
            </w:pPr>
            <w:r>
              <w:rPr>
                <w:rFonts w:hint="eastAsia" w:ascii="仿宋" w:hAnsi="仿宋" w:eastAsia="仿宋" w:cs="仿宋"/>
                <w:b/>
                <w:bCs/>
                <w:color w:val="000000"/>
                <w:kern w:val="0"/>
                <w:sz w:val="20"/>
                <w:szCs w:val="20"/>
                <w:lang w:bidi="ar"/>
              </w:rPr>
              <w:t>满足</w:t>
            </w:r>
            <w:r>
              <w:rPr>
                <w:rFonts w:hint="eastAsia" w:ascii="仿宋" w:hAnsi="仿宋" w:eastAsia="仿宋" w:cs="仿宋"/>
                <w:b/>
                <w:bCs/>
                <w:color w:val="FF0000"/>
                <w:kern w:val="0"/>
                <w:sz w:val="20"/>
                <w:szCs w:val="20"/>
                <w:highlight w:val="yellow"/>
                <w:lang w:bidi="ar"/>
              </w:rPr>
              <w:t>招标方</w:t>
            </w:r>
            <w:r>
              <w:rPr>
                <w:rFonts w:hint="eastAsia" w:ascii="仿宋" w:hAnsi="仿宋" w:eastAsia="仿宋" w:cs="仿宋"/>
                <w:b/>
                <w:bCs/>
                <w:color w:val="000000"/>
                <w:kern w:val="0"/>
                <w:sz w:val="20"/>
                <w:szCs w:val="20"/>
                <w:lang w:bidi="ar"/>
              </w:rPr>
              <w:t>施工要求；大屏钢结构可靠牢固，采用吊装方式安装于总装线、车身线、仓库上方</w:t>
            </w:r>
            <w:r>
              <w:rPr>
                <w:rFonts w:hint="eastAsia" w:ascii="仿宋" w:hAnsi="仿宋" w:eastAsia="仿宋" w:cs="仿宋"/>
                <w:b/>
                <w:bCs/>
                <w:color w:val="FF0000"/>
                <w:kern w:val="0"/>
                <w:sz w:val="20"/>
                <w:szCs w:val="20"/>
                <w:highlight w:val="yellow"/>
                <w:lang w:bidi="ar"/>
              </w:rPr>
              <w:t>屏体框架下沿</w:t>
            </w:r>
            <w:r>
              <w:rPr>
                <w:rFonts w:hint="eastAsia" w:ascii="仿宋" w:hAnsi="仿宋" w:eastAsia="仿宋" w:cs="仿宋"/>
                <w:b/>
                <w:bCs/>
                <w:color w:val="000000"/>
                <w:kern w:val="0"/>
                <w:sz w:val="20"/>
                <w:szCs w:val="20"/>
                <w:lang w:bidi="ar"/>
              </w:rPr>
              <w:t>距地面5米左右处，上方固定点不得破坏建筑主体，</w:t>
            </w:r>
            <w:r>
              <w:rPr>
                <w:rFonts w:hint="eastAsia" w:ascii="仿宋" w:hAnsi="仿宋" w:eastAsia="仿宋" w:cs="仿宋"/>
                <w:b/>
                <w:bCs/>
                <w:color w:val="FF0000"/>
                <w:kern w:val="0"/>
                <w:sz w:val="20"/>
                <w:szCs w:val="20"/>
                <w:highlight w:val="yellow"/>
                <w:lang w:bidi="ar"/>
              </w:rPr>
              <w:t>固定点采用定制夹持器与房梁固定，避免在房梁钻孔造成结构不稳</w:t>
            </w:r>
            <w:r>
              <w:rPr>
                <w:rFonts w:hint="eastAsia" w:ascii="仿宋" w:hAnsi="仿宋" w:eastAsia="仿宋" w:cs="仿宋"/>
                <w:b/>
                <w:bCs/>
                <w:color w:val="000000"/>
                <w:kern w:val="0"/>
                <w:sz w:val="20"/>
                <w:szCs w:val="20"/>
                <w:lang w:bidi="ar"/>
              </w:rPr>
              <w:t>。取电采用就近取电。总装线、车身线大屏控制线路接至北办公楼一楼制造部会议室内，仓库大屏控制端线路接至载信物流仓库北门办公室内。</w:t>
            </w:r>
            <w:r>
              <w:rPr>
                <w:rFonts w:hint="eastAsia" w:ascii="仿宋" w:hAnsi="仿宋" w:eastAsia="仿宋" w:cs="仿宋"/>
                <w:b/>
                <w:bCs/>
                <w:color w:val="FF0000"/>
                <w:kern w:val="0"/>
                <w:sz w:val="20"/>
                <w:szCs w:val="20"/>
                <w:highlight w:val="yellow"/>
                <w:lang w:bidi="ar"/>
              </w:rPr>
              <w:t>投标方负责所安装大屏的通电调试。</w:t>
            </w:r>
          </w:p>
        </w:tc>
      </w:tr>
    </w:tbl>
    <w:p>
      <w:pPr>
        <w:ind w:firstLine="420" w:firstLineChars="200"/>
        <w:rPr>
          <w:rFonts w:hint="eastAsia" w:ascii="仿宋" w:hAnsi="仿宋" w:eastAsia="仿宋"/>
          <w:bCs/>
        </w:rPr>
      </w:pPr>
      <w:r>
        <w:rPr>
          <w:rFonts w:hint="eastAsia" w:ascii="仿宋" w:hAnsi="仿宋" w:eastAsia="仿宋"/>
          <w:bCs/>
        </w:rPr>
        <w:br w:type="page"/>
      </w:r>
    </w:p>
    <w:p>
      <w:pPr>
        <w:spacing w:line="480" w:lineRule="exact"/>
        <w:ind w:firstLine="420" w:firstLineChars="200"/>
        <w:rPr>
          <w:rFonts w:hint="eastAsia" w:ascii="仿宋" w:hAnsi="仿宋" w:eastAsia="仿宋"/>
          <w:bCs/>
        </w:rPr>
      </w:pPr>
    </w:p>
    <w:p>
      <w:pPr>
        <w:jc w:val="center"/>
        <w:rPr>
          <w:rFonts w:hint="eastAsia" w:ascii="仿宋" w:hAnsi="仿宋" w:eastAsia="仿宋"/>
        </w:rPr>
      </w:pPr>
      <w:bookmarkStart w:id="211" w:name="_Toc8892"/>
      <w:bookmarkStart w:id="212" w:name="_Toc26601"/>
      <w:bookmarkStart w:id="213" w:name="_Toc32382"/>
      <w:bookmarkStart w:id="214" w:name="_Toc22516"/>
      <w:bookmarkStart w:id="215" w:name="_Toc31816"/>
      <w:bookmarkStart w:id="216" w:name="_Toc29006"/>
      <w:bookmarkStart w:id="217" w:name="_Toc19081"/>
      <w:bookmarkStart w:id="218" w:name="_Toc11390"/>
      <w:bookmarkStart w:id="219" w:name="_Toc13526"/>
      <w:bookmarkStart w:id="220" w:name="_Toc28398"/>
      <w:bookmarkStart w:id="221" w:name="_Toc28745"/>
      <w:bookmarkStart w:id="222" w:name="_Toc21086"/>
      <w:bookmarkStart w:id="223" w:name="_Toc133783970"/>
      <w:bookmarkStart w:id="224" w:name="_Toc7258"/>
      <w:bookmarkStart w:id="225" w:name="_Toc17909"/>
      <w:bookmarkStart w:id="226" w:name="_Toc22710"/>
      <w:bookmarkStart w:id="227" w:name="_Toc24173"/>
      <w:bookmarkStart w:id="228" w:name="_Toc20994"/>
      <w:bookmarkStart w:id="229" w:name="_Toc19805"/>
      <w:bookmarkStart w:id="230" w:name="_Toc10828"/>
      <w:bookmarkStart w:id="231" w:name="_Toc30892"/>
      <w:bookmarkStart w:id="232" w:name="_Toc19022"/>
      <w:bookmarkStart w:id="233" w:name="_Toc3808"/>
      <w:bookmarkStart w:id="234" w:name="_Toc22347"/>
      <w:bookmarkStart w:id="235" w:name="_Toc6352"/>
      <w:bookmarkStart w:id="236" w:name="_Toc22156"/>
      <w:bookmarkStart w:id="237" w:name="_Toc22662"/>
      <w:bookmarkStart w:id="238" w:name="_Toc25915"/>
      <w:bookmarkStart w:id="239" w:name="_Toc19812"/>
      <w:bookmarkStart w:id="240" w:name="_Toc16317"/>
      <w:bookmarkStart w:id="241" w:name="_Toc16316"/>
      <w:bookmarkStart w:id="242" w:name="_Toc11725"/>
      <w:bookmarkStart w:id="243" w:name="_Toc27327"/>
      <w:bookmarkStart w:id="244" w:name="_Toc14583"/>
      <w:bookmarkStart w:id="245" w:name="_Toc1171"/>
      <w:bookmarkStart w:id="246" w:name="_Toc20260"/>
      <w:bookmarkStart w:id="247" w:name="_Toc20841"/>
      <w:bookmarkStart w:id="248" w:name="_Toc20329"/>
      <w:bookmarkStart w:id="249" w:name="_Toc26551"/>
      <w:bookmarkStart w:id="250" w:name="_Toc4641"/>
      <w:bookmarkStart w:id="251" w:name="_Toc1909"/>
      <w:bookmarkStart w:id="252" w:name="_Toc16352"/>
      <w:bookmarkStart w:id="253" w:name="_Toc1962"/>
    </w:p>
    <w:p>
      <w:pPr>
        <w:spacing w:line="480" w:lineRule="exact"/>
        <w:ind w:firstLine="422" w:firstLineChars="200"/>
        <w:rPr>
          <w:rFonts w:hint="eastAsia" w:ascii="仿宋" w:hAnsi="仿宋" w:eastAsia="仿宋" w:cs="仿宋"/>
          <w:b/>
          <w:bCs/>
          <w:color w:val="0000FF"/>
          <w:highlight w:val="yellow"/>
        </w:rPr>
      </w:pPr>
    </w:p>
    <w:p>
      <w:pPr>
        <w:adjustRightInd w:val="0"/>
        <w:snapToGrid w:val="0"/>
        <w:spacing w:before="120" w:beforeLines="50" w:after="120" w:afterLines="50" w:line="360" w:lineRule="auto"/>
        <w:jc w:val="center"/>
        <w:outlineLvl w:val="0"/>
        <w:rPr>
          <w:rFonts w:hint="eastAsia" w:ascii="仿宋" w:hAnsi="仿宋" w:eastAsia="仿宋" w:cs="仿宋"/>
          <w:b/>
          <w:bCs/>
        </w:rPr>
      </w:pPr>
      <w:bookmarkStart w:id="254" w:name="_Toc30238"/>
      <w:r>
        <w:rPr>
          <w:rFonts w:hint="eastAsia" w:ascii="仿宋" w:hAnsi="仿宋" w:eastAsia="仿宋" w:cs="仿宋"/>
          <w:b/>
          <w:bCs/>
        </w:rPr>
        <w:t>第三章供货范围及供货方式</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pPr>
        <w:pStyle w:val="4"/>
        <w:snapToGrid w:val="0"/>
        <w:ind w:left="6" w:firstLine="474"/>
        <w:jc w:val="center"/>
        <w:rPr>
          <w:rFonts w:hint="eastAsia" w:ascii="仿宋" w:hAnsi="仿宋" w:eastAsia="仿宋" w:cs="仿宋"/>
          <w:szCs w:val="24"/>
        </w:rPr>
      </w:pPr>
      <w:bookmarkStart w:id="255" w:name="_Toc27567"/>
      <w:bookmarkStart w:id="256" w:name="_Toc680"/>
      <w:bookmarkStart w:id="257" w:name="_Toc2127"/>
      <w:bookmarkStart w:id="258" w:name="_Toc8238"/>
      <w:bookmarkStart w:id="259" w:name="_Toc32286"/>
      <w:bookmarkStart w:id="260" w:name="_Toc18238"/>
      <w:bookmarkStart w:id="261" w:name="_Toc29751"/>
      <w:bookmarkStart w:id="262" w:name="_Toc20721"/>
      <w:bookmarkStart w:id="263" w:name="_Toc32741"/>
      <w:bookmarkStart w:id="264" w:name="_Toc32716"/>
      <w:bookmarkStart w:id="265" w:name="_Toc19155"/>
      <w:bookmarkStart w:id="266" w:name="_Toc32750"/>
      <w:bookmarkStart w:id="267" w:name="_Toc3358"/>
      <w:bookmarkStart w:id="268" w:name="_Toc19111"/>
      <w:bookmarkStart w:id="269" w:name="_Toc8963"/>
      <w:bookmarkStart w:id="270" w:name="_Toc3639"/>
      <w:bookmarkStart w:id="271" w:name="_Toc27831"/>
      <w:bookmarkStart w:id="272" w:name="_Toc25354"/>
      <w:bookmarkStart w:id="273" w:name="_Toc133783971"/>
      <w:bookmarkStart w:id="274" w:name="_Toc9571"/>
      <w:bookmarkStart w:id="275" w:name="_Toc11979"/>
      <w:bookmarkStart w:id="276" w:name="_Toc28344"/>
      <w:bookmarkStart w:id="277" w:name="_Toc10323"/>
      <w:bookmarkStart w:id="278" w:name="_Toc20301"/>
      <w:bookmarkStart w:id="279" w:name="_Toc6864"/>
      <w:bookmarkStart w:id="280" w:name="_Toc5052"/>
      <w:bookmarkStart w:id="281" w:name="_Toc969"/>
      <w:bookmarkStart w:id="282" w:name="_Toc12581"/>
      <w:bookmarkStart w:id="283" w:name="_Toc9994"/>
      <w:bookmarkStart w:id="284" w:name="_Toc19860"/>
      <w:bookmarkStart w:id="285" w:name="_Toc9580"/>
      <w:bookmarkStart w:id="286" w:name="_Toc17404"/>
      <w:bookmarkStart w:id="287" w:name="_Toc20802"/>
      <w:bookmarkStart w:id="288" w:name="_Toc31722"/>
      <w:bookmarkStart w:id="289" w:name="_Toc2288"/>
      <w:bookmarkStart w:id="290" w:name="_Toc16027"/>
      <w:bookmarkStart w:id="291" w:name="_Toc5131"/>
      <w:bookmarkStart w:id="292" w:name="_Toc4032"/>
      <w:bookmarkStart w:id="293" w:name="_Toc5032"/>
      <w:bookmarkStart w:id="294" w:name="_Toc14383"/>
      <w:bookmarkStart w:id="295" w:name="_Toc32542"/>
      <w:bookmarkStart w:id="296" w:name="_Toc11227"/>
      <w:bookmarkStart w:id="297" w:name="_Toc20066"/>
      <w:bookmarkStart w:id="298" w:name="_Toc6219"/>
      <w:bookmarkStart w:id="299" w:name="_Toc19908"/>
      <w:bookmarkStart w:id="300" w:name="_Toc4896"/>
      <w:bookmarkStart w:id="301" w:name="_Toc13578"/>
      <w:r>
        <w:rPr>
          <w:rFonts w:hint="eastAsia" w:ascii="仿宋" w:hAnsi="仿宋" w:eastAsia="仿宋" w:cs="仿宋"/>
          <w:szCs w:val="24"/>
        </w:rPr>
        <w:t>第一节供货范围</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pPr>
        <w:snapToGrid w:val="0"/>
        <w:spacing w:line="360" w:lineRule="auto"/>
        <w:ind w:left="480"/>
        <w:outlineLvl w:val="2"/>
        <w:rPr>
          <w:rFonts w:hint="eastAsia" w:ascii="仿宋" w:hAnsi="仿宋" w:eastAsia="仿宋" w:cs="仿宋"/>
          <w:b/>
          <w:bCs/>
        </w:rPr>
      </w:pPr>
      <w:r>
        <w:rPr>
          <w:rFonts w:hint="eastAsia" w:ascii="仿宋" w:hAnsi="仿宋" w:eastAsia="仿宋" w:cs="仿宋"/>
          <w:b/>
          <w:bCs/>
        </w:rPr>
        <w:t>1供货范围</w:t>
      </w:r>
    </w:p>
    <w:tbl>
      <w:tblPr>
        <w:tblStyle w:val="35"/>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5375"/>
        <w:gridCol w:w="950"/>
        <w:gridCol w:w="1156"/>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pPr>
              <w:jc w:val="center"/>
              <w:textAlignment w:val="center"/>
              <w:rPr>
                <w:rFonts w:hint="eastAsia" w:ascii="仿宋" w:hAnsi="仿宋" w:eastAsia="仿宋" w:cs="仿宋"/>
                <w:szCs w:val="21"/>
              </w:rPr>
            </w:pPr>
            <w:r>
              <w:rPr>
                <w:rFonts w:hint="eastAsia" w:ascii="仿宋" w:hAnsi="仿宋" w:eastAsia="仿宋" w:cs="仿宋"/>
                <w:szCs w:val="21"/>
              </w:rPr>
              <w:t>序号</w:t>
            </w:r>
          </w:p>
        </w:tc>
        <w:tc>
          <w:tcPr>
            <w:tcW w:w="5375" w:type="dxa"/>
            <w:vAlign w:val="center"/>
          </w:tcPr>
          <w:p>
            <w:pPr>
              <w:jc w:val="center"/>
              <w:textAlignment w:val="center"/>
              <w:rPr>
                <w:rFonts w:hint="eastAsia" w:ascii="仿宋" w:hAnsi="仿宋" w:eastAsia="仿宋" w:cs="仿宋"/>
                <w:szCs w:val="21"/>
              </w:rPr>
            </w:pPr>
            <w:r>
              <w:rPr>
                <w:rFonts w:hint="eastAsia" w:ascii="仿宋" w:hAnsi="仿宋" w:eastAsia="仿宋" w:cs="仿宋"/>
                <w:szCs w:val="21"/>
              </w:rPr>
              <w:t>名称</w:t>
            </w:r>
          </w:p>
        </w:tc>
        <w:tc>
          <w:tcPr>
            <w:tcW w:w="950" w:type="dxa"/>
            <w:vAlign w:val="center"/>
          </w:tcPr>
          <w:p>
            <w:pPr>
              <w:jc w:val="center"/>
              <w:textAlignment w:val="center"/>
              <w:rPr>
                <w:rFonts w:hint="eastAsia" w:ascii="仿宋" w:hAnsi="仿宋" w:eastAsia="仿宋" w:cs="仿宋"/>
                <w:szCs w:val="21"/>
              </w:rPr>
            </w:pPr>
            <w:r>
              <w:rPr>
                <w:rFonts w:hint="eastAsia" w:ascii="仿宋" w:hAnsi="仿宋" w:eastAsia="仿宋" w:cs="仿宋"/>
                <w:szCs w:val="21"/>
              </w:rPr>
              <w:t>单位</w:t>
            </w:r>
          </w:p>
        </w:tc>
        <w:tc>
          <w:tcPr>
            <w:tcW w:w="1156" w:type="dxa"/>
            <w:vAlign w:val="center"/>
          </w:tcPr>
          <w:p>
            <w:pPr>
              <w:jc w:val="center"/>
              <w:textAlignment w:val="center"/>
              <w:rPr>
                <w:rFonts w:hint="eastAsia" w:ascii="仿宋" w:hAnsi="仿宋" w:eastAsia="仿宋" w:cs="仿宋"/>
                <w:szCs w:val="21"/>
              </w:rPr>
            </w:pPr>
            <w:r>
              <w:rPr>
                <w:rFonts w:hint="eastAsia" w:ascii="仿宋" w:hAnsi="仿宋" w:eastAsia="仿宋" w:cs="仿宋"/>
                <w:szCs w:val="21"/>
              </w:rPr>
              <w:t>数量</w:t>
            </w:r>
          </w:p>
        </w:tc>
        <w:tc>
          <w:tcPr>
            <w:tcW w:w="827" w:type="dxa"/>
            <w:vAlign w:val="center"/>
          </w:tcPr>
          <w:p>
            <w:pPr>
              <w:jc w:val="center"/>
              <w:textAlignment w:val="center"/>
              <w:rPr>
                <w:rFonts w:hint="eastAsia" w:ascii="仿宋" w:hAnsi="仿宋" w:eastAsia="仿宋" w:cs="仿宋"/>
                <w:szCs w:val="21"/>
              </w:rPr>
            </w:pPr>
            <w:r>
              <w:rPr>
                <w:rFonts w:hint="eastAsia" w:ascii="仿宋" w:hAnsi="仿宋" w:eastAsia="仿宋" w:cs="仿宋"/>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59" w:type="dxa"/>
            <w:vAlign w:val="center"/>
          </w:tcPr>
          <w:p>
            <w:pPr>
              <w:pStyle w:val="124"/>
              <w:spacing w:before="60" w:after="60"/>
              <w:jc w:val="center"/>
              <w:rPr>
                <w:rFonts w:hint="eastAsia" w:ascii="仿宋" w:hAnsi="仿宋" w:eastAsia="仿宋" w:cs="仿宋"/>
                <w:color w:val="FF0000"/>
                <w:szCs w:val="21"/>
                <w:highlight w:val="yellow"/>
              </w:rPr>
            </w:pPr>
            <w:r>
              <w:rPr>
                <w:rFonts w:hint="eastAsia" w:ascii="仿宋" w:hAnsi="仿宋" w:eastAsia="仿宋" w:cs="仿宋"/>
                <w:color w:val="FF0000"/>
                <w:szCs w:val="21"/>
                <w:highlight w:val="yellow"/>
              </w:rPr>
              <w:t>1</w:t>
            </w:r>
          </w:p>
        </w:tc>
        <w:tc>
          <w:tcPr>
            <w:tcW w:w="5375" w:type="dxa"/>
            <w:vAlign w:val="center"/>
          </w:tcPr>
          <w:p>
            <w:pPr>
              <w:pStyle w:val="124"/>
              <w:spacing w:before="60" w:after="60"/>
              <w:jc w:val="left"/>
              <w:rPr>
                <w:rFonts w:hint="eastAsia" w:ascii="仿宋" w:hAnsi="仿宋" w:eastAsia="仿宋" w:cs="仿宋"/>
                <w:color w:val="FF0000"/>
                <w:szCs w:val="21"/>
                <w:highlight w:val="yellow"/>
              </w:rPr>
            </w:pPr>
            <w:r>
              <w:rPr>
                <w:rFonts w:hint="eastAsia" w:ascii="仿宋" w:hAnsi="仿宋" w:eastAsia="仿宋" w:cs="仿宋"/>
                <w:color w:val="FF0000"/>
                <w:kern w:val="0"/>
                <w:szCs w:val="21"/>
                <w:highlight w:val="yellow"/>
              </w:rPr>
              <w:t>总装线大屏安装及辅材</w:t>
            </w:r>
          </w:p>
        </w:tc>
        <w:tc>
          <w:tcPr>
            <w:tcW w:w="950" w:type="dxa"/>
            <w:vAlign w:val="center"/>
          </w:tcPr>
          <w:p>
            <w:pPr>
              <w:spacing w:line="360" w:lineRule="auto"/>
              <w:jc w:val="center"/>
              <w:textAlignment w:val="center"/>
              <w:rPr>
                <w:rFonts w:hint="eastAsia" w:ascii="仿宋" w:hAnsi="仿宋" w:eastAsia="仿宋" w:cs="仿宋"/>
                <w:color w:val="FF0000"/>
                <w:szCs w:val="21"/>
                <w:highlight w:val="yellow"/>
              </w:rPr>
            </w:pPr>
            <w:r>
              <w:rPr>
                <w:rFonts w:hint="eastAsia" w:ascii="仿宋" w:hAnsi="仿宋" w:eastAsia="仿宋" w:cs="仿宋"/>
                <w:color w:val="FF0000"/>
                <w:szCs w:val="21"/>
                <w:highlight w:val="yellow"/>
              </w:rPr>
              <w:t>套</w:t>
            </w:r>
          </w:p>
        </w:tc>
        <w:tc>
          <w:tcPr>
            <w:tcW w:w="1156" w:type="dxa"/>
            <w:vAlign w:val="center"/>
          </w:tcPr>
          <w:p>
            <w:pPr>
              <w:spacing w:line="360" w:lineRule="auto"/>
              <w:jc w:val="center"/>
              <w:textAlignment w:val="center"/>
              <w:rPr>
                <w:rFonts w:hint="eastAsia" w:ascii="仿宋" w:hAnsi="仿宋" w:eastAsia="仿宋" w:cs="仿宋"/>
                <w:color w:val="FF0000"/>
                <w:szCs w:val="21"/>
                <w:highlight w:val="yellow"/>
              </w:rPr>
            </w:pPr>
            <w:r>
              <w:rPr>
                <w:rFonts w:hint="eastAsia" w:ascii="仿宋" w:hAnsi="仿宋" w:eastAsia="仿宋" w:cs="仿宋"/>
                <w:color w:val="FF0000"/>
                <w:szCs w:val="21"/>
                <w:highlight w:val="yellow"/>
              </w:rPr>
              <w:t>1</w:t>
            </w:r>
          </w:p>
        </w:tc>
        <w:tc>
          <w:tcPr>
            <w:tcW w:w="827" w:type="dxa"/>
            <w:vAlign w:val="center"/>
          </w:tcPr>
          <w:p>
            <w:pPr>
              <w:spacing w:line="360" w:lineRule="auto"/>
              <w:jc w:val="center"/>
              <w:textAlignment w:val="center"/>
              <w:rPr>
                <w:rFonts w:hint="eastAsia" w:ascii="仿宋" w:hAnsi="仿宋" w:eastAsia="仿宋" w:cs="仿宋"/>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59" w:type="dxa"/>
            <w:vAlign w:val="center"/>
          </w:tcPr>
          <w:p>
            <w:pPr>
              <w:pStyle w:val="124"/>
              <w:spacing w:before="60" w:after="60"/>
              <w:jc w:val="center"/>
              <w:rPr>
                <w:rFonts w:hint="eastAsia" w:ascii="仿宋" w:hAnsi="仿宋" w:eastAsia="仿宋" w:cs="仿宋"/>
                <w:color w:val="FF0000"/>
                <w:szCs w:val="21"/>
                <w:highlight w:val="yellow"/>
              </w:rPr>
            </w:pPr>
            <w:r>
              <w:rPr>
                <w:rFonts w:hint="eastAsia" w:ascii="仿宋" w:hAnsi="仿宋" w:eastAsia="仿宋" w:cs="仿宋"/>
                <w:color w:val="FF0000"/>
                <w:szCs w:val="21"/>
                <w:highlight w:val="yellow"/>
              </w:rPr>
              <w:t>2</w:t>
            </w:r>
          </w:p>
        </w:tc>
        <w:tc>
          <w:tcPr>
            <w:tcW w:w="5375" w:type="dxa"/>
            <w:vAlign w:val="center"/>
          </w:tcPr>
          <w:p>
            <w:pPr>
              <w:pStyle w:val="124"/>
              <w:spacing w:before="60" w:after="60"/>
              <w:jc w:val="left"/>
              <w:rPr>
                <w:rFonts w:hint="eastAsia" w:ascii="仿宋" w:hAnsi="仿宋" w:eastAsia="仿宋" w:cs="仿宋"/>
                <w:color w:val="FF0000"/>
                <w:szCs w:val="21"/>
                <w:highlight w:val="yellow"/>
              </w:rPr>
            </w:pPr>
            <w:r>
              <w:rPr>
                <w:rFonts w:hint="eastAsia" w:ascii="仿宋" w:hAnsi="仿宋" w:eastAsia="仿宋" w:cs="仿宋"/>
                <w:color w:val="FF0000"/>
                <w:kern w:val="0"/>
                <w:szCs w:val="21"/>
                <w:highlight w:val="yellow"/>
              </w:rPr>
              <w:t>车身线大屏安装及辅材</w:t>
            </w:r>
          </w:p>
        </w:tc>
        <w:tc>
          <w:tcPr>
            <w:tcW w:w="950" w:type="dxa"/>
            <w:vAlign w:val="center"/>
          </w:tcPr>
          <w:p>
            <w:pPr>
              <w:spacing w:line="360" w:lineRule="auto"/>
              <w:jc w:val="center"/>
              <w:textAlignment w:val="center"/>
              <w:rPr>
                <w:rFonts w:hint="eastAsia" w:ascii="仿宋" w:hAnsi="仿宋" w:eastAsia="仿宋" w:cs="仿宋"/>
                <w:color w:val="FF0000"/>
                <w:szCs w:val="21"/>
                <w:highlight w:val="yellow"/>
              </w:rPr>
            </w:pPr>
            <w:r>
              <w:rPr>
                <w:rFonts w:hint="eastAsia" w:ascii="仿宋" w:hAnsi="仿宋" w:eastAsia="仿宋" w:cs="仿宋"/>
                <w:color w:val="FF0000"/>
                <w:szCs w:val="21"/>
                <w:highlight w:val="yellow"/>
              </w:rPr>
              <w:t>套</w:t>
            </w:r>
          </w:p>
        </w:tc>
        <w:tc>
          <w:tcPr>
            <w:tcW w:w="1156" w:type="dxa"/>
            <w:vAlign w:val="center"/>
          </w:tcPr>
          <w:p>
            <w:pPr>
              <w:spacing w:line="360" w:lineRule="auto"/>
              <w:jc w:val="center"/>
              <w:textAlignment w:val="center"/>
              <w:rPr>
                <w:rFonts w:hint="eastAsia" w:ascii="仿宋" w:hAnsi="仿宋" w:eastAsia="仿宋" w:cs="仿宋"/>
                <w:color w:val="FF0000"/>
                <w:szCs w:val="21"/>
                <w:highlight w:val="yellow"/>
              </w:rPr>
            </w:pPr>
            <w:r>
              <w:rPr>
                <w:rFonts w:hint="eastAsia" w:ascii="仿宋" w:hAnsi="仿宋" w:eastAsia="仿宋" w:cs="仿宋"/>
                <w:color w:val="FF0000"/>
                <w:szCs w:val="21"/>
                <w:highlight w:val="yellow"/>
              </w:rPr>
              <w:t>1</w:t>
            </w:r>
          </w:p>
        </w:tc>
        <w:tc>
          <w:tcPr>
            <w:tcW w:w="827" w:type="dxa"/>
            <w:vAlign w:val="center"/>
          </w:tcPr>
          <w:p>
            <w:pPr>
              <w:spacing w:line="360" w:lineRule="auto"/>
              <w:jc w:val="center"/>
              <w:textAlignment w:val="center"/>
              <w:rPr>
                <w:rFonts w:hint="eastAsia" w:ascii="仿宋" w:hAnsi="仿宋" w:eastAsia="仿宋" w:cs="仿宋"/>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59" w:type="dxa"/>
            <w:vAlign w:val="center"/>
          </w:tcPr>
          <w:p>
            <w:pPr>
              <w:pStyle w:val="124"/>
              <w:spacing w:before="60" w:after="60"/>
              <w:jc w:val="center"/>
              <w:rPr>
                <w:rFonts w:hint="eastAsia" w:ascii="仿宋" w:hAnsi="仿宋" w:eastAsia="仿宋" w:cs="仿宋"/>
                <w:color w:val="FF0000"/>
                <w:szCs w:val="21"/>
                <w:highlight w:val="yellow"/>
              </w:rPr>
            </w:pPr>
            <w:r>
              <w:rPr>
                <w:rFonts w:hint="eastAsia" w:ascii="仿宋" w:hAnsi="仿宋" w:eastAsia="仿宋" w:cs="仿宋"/>
                <w:color w:val="FF0000"/>
                <w:szCs w:val="21"/>
                <w:highlight w:val="yellow"/>
              </w:rPr>
              <w:t>3</w:t>
            </w:r>
          </w:p>
        </w:tc>
        <w:tc>
          <w:tcPr>
            <w:tcW w:w="5375" w:type="dxa"/>
            <w:vAlign w:val="center"/>
          </w:tcPr>
          <w:p>
            <w:pPr>
              <w:pStyle w:val="124"/>
              <w:spacing w:before="60" w:after="60"/>
              <w:jc w:val="left"/>
              <w:rPr>
                <w:rFonts w:hint="eastAsia" w:ascii="仿宋" w:hAnsi="仿宋" w:eastAsia="仿宋" w:cs="仿宋"/>
                <w:color w:val="FF0000"/>
                <w:szCs w:val="21"/>
                <w:highlight w:val="yellow"/>
              </w:rPr>
            </w:pPr>
            <w:r>
              <w:rPr>
                <w:rFonts w:hint="eastAsia" w:ascii="仿宋" w:hAnsi="仿宋" w:eastAsia="仿宋" w:cs="仿宋"/>
                <w:color w:val="FF0000"/>
                <w:kern w:val="0"/>
                <w:szCs w:val="21"/>
                <w:highlight w:val="yellow"/>
              </w:rPr>
              <w:t>仓库大屏安装及辅材</w:t>
            </w:r>
          </w:p>
        </w:tc>
        <w:tc>
          <w:tcPr>
            <w:tcW w:w="950" w:type="dxa"/>
            <w:vAlign w:val="center"/>
          </w:tcPr>
          <w:p>
            <w:pPr>
              <w:spacing w:line="360" w:lineRule="auto"/>
              <w:jc w:val="center"/>
              <w:textAlignment w:val="center"/>
              <w:rPr>
                <w:rFonts w:hint="eastAsia" w:ascii="仿宋" w:hAnsi="仿宋" w:eastAsia="仿宋" w:cs="仿宋"/>
                <w:color w:val="FF0000"/>
                <w:szCs w:val="21"/>
                <w:highlight w:val="yellow"/>
              </w:rPr>
            </w:pPr>
            <w:r>
              <w:rPr>
                <w:rFonts w:hint="eastAsia" w:ascii="仿宋" w:hAnsi="仿宋" w:eastAsia="仿宋" w:cs="仿宋"/>
                <w:color w:val="FF0000"/>
                <w:szCs w:val="21"/>
                <w:highlight w:val="yellow"/>
              </w:rPr>
              <w:t>套</w:t>
            </w:r>
          </w:p>
        </w:tc>
        <w:tc>
          <w:tcPr>
            <w:tcW w:w="1156" w:type="dxa"/>
            <w:vAlign w:val="center"/>
          </w:tcPr>
          <w:p>
            <w:pPr>
              <w:spacing w:line="360" w:lineRule="auto"/>
              <w:jc w:val="center"/>
              <w:textAlignment w:val="center"/>
              <w:rPr>
                <w:rFonts w:hint="eastAsia" w:ascii="仿宋" w:hAnsi="仿宋" w:eastAsia="仿宋" w:cs="仿宋"/>
                <w:color w:val="FF0000"/>
                <w:szCs w:val="21"/>
                <w:highlight w:val="yellow"/>
              </w:rPr>
            </w:pPr>
            <w:r>
              <w:rPr>
                <w:rFonts w:hint="eastAsia" w:ascii="仿宋" w:hAnsi="仿宋" w:eastAsia="仿宋" w:cs="仿宋"/>
                <w:color w:val="FF0000"/>
                <w:szCs w:val="21"/>
                <w:highlight w:val="yellow"/>
              </w:rPr>
              <w:t>1</w:t>
            </w:r>
          </w:p>
        </w:tc>
        <w:tc>
          <w:tcPr>
            <w:tcW w:w="827" w:type="dxa"/>
            <w:vAlign w:val="center"/>
          </w:tcPr>
          <w:p>
            <w:pPr>
              <w:spacing w:line="360" w:lineRule="auto"/>
              <w:jc w:val="center"/>
              <w:textAlignment w:val="center"/>
              <w:rPr>
                <w:rFonts w:hint="eastAsia" w:ascii="仿宋" w:hAnsi="仿宋" w:eastAsia="仿宋" w:cs="仿宋"/>
                <w:color w:val="FF0000"/>
                <w:szCs w:val="21"/>
              </w:rPr>
            </w:pPr>
          </w:p>
        </w:tc>
      </w:tr>
    </w:tbl>
    <w:p>
      <w:pPr>
        <w:rPr>
          <w:rFonts w:hint="eastAsia"/>
        </w:rPr>
      </w:pPr>
    </w:p>
    <w:p>
      <w:pPr>
        <w:snapToGrid w:val="0"/>
        <w:spacing w:line="360" w:lineRule="auto"/>
        <w:ind w:left="480"/>
        <w:outlineLvl w:val="2"/>
        <w:rPr>
          <w:rFonts w:hint="eastAsia" w:ascii="仿宋" w:hAnsi="仿宋" w:eastAsia="仿宋" w:cs="仿宋"/>
          <w:b/>
          <w:bCs/>
        </w:rPr>
      </w:pPr>
      <w:bookmarkStart w:id="302" w:name="_Toc29389"/>
      <w:bookmarkStart w:id="303" w:name="_Toc31074"/>
      <w:bookmarkStart w:id="304" w:name="_Toc24079"/>
      <w:bookmarkStart w:id="305" w:name="_Toc3726"/>
      <w:bookmarkStart w:id="306" w:name="_Toc434"/>
      <w:bookmarkStart w:id="307" w:name="_Toc30087"/>
      <w:bookmarkStart w:id="308" w:name="_Toc8330"/>
      <w:bookmarkStart w:id="309" w:name="_Toc73112406"/>
      <w:bookmarkStart w:id="310" w:name="_Toc20059"/>
      <w:bookmarkStart w:id="311" w:name="_Toc6916"/>
      <w:bookmarkStart w:id="312" w:name="_Toc5521"/>
      <w:bookmarkStart w:id="313" w:name="_Toc31685"/>
      <w:bookmarkStart w:id="314" w:name="_Toc2744"/>
      <w:bookmarkStart w:id="315" w:name="_Toc10211"/>
      <w:bookmarkStart w:id="316" w:name="_Toc25570"/>
      <w:bookmarkStart w:id="317" w:name="_Toc11531"/>
      <w:bookmarkStart w:id="318" w:name="_Toc31723"/>
      <w:bookmarkStart w:id="319" w:name="_Toc19187"/>
      <w:bookmarkStart w:id="320" w:name="_Toc18018"/>
      <w:bookmarkStart w:id="321" w:name="_Toc10027"/>
      <w:bookmarkStart w:id="322" w:name="_Toc30004"/>
      <w:r>
        <w:rPr>
          <w:rFonts w:hint="eastAsia" w:ascii="仿宋" w:hAnsi="仿宋" w:eastAsia="仿宋" w:cs="仿宋"/>
          <w:b/>
          <w:bCs/>
        </w:rPr>
        <w:t>2备品备件、易损件和专用耗材供货范围</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pPr>
        <w:pStyle w:val="19"/>
        <w:snapToGrid w:val="0"/>
        <w:spacing w:line="360" w:lineRule="auto"/>
        <w:ind w:firstLine="474"/>
        <w:rPr>
          <w:rFonts w:hint="eastAsia" w:ascii="仿宋" w:hAnsi="仿宋" w:eastAsia="仿宋" w:cs="仿宋"/>
        </w:rPr>
      </w:pPr>
      <w:r>
        <w:rPr>
          <w:rFonts w:hint="eastAsia" w:ascii="仿宋" w:hAnsi="仿宋" w:eastAsia="仿宋" w:cs="仿宋"/>
        </w:rPr>
        <w:t>2.1招标方招标文件所指备品备件、易损件是招标方为保证货物质保期之后正常运行</w:t>
      </w:r>
      <w:r>
        <w:rPr>
          <w:rFonts w:hint="eastAsia" w:ascii="仿宋" w:hAnsi="仿宋" w:eastAsia="仿宋" w:cs="仿宋"/>
          <w:highlight w:val="yellow"/>
        </w:rPr>
        <w:t>一年</w:t>
      </w:r>
      <w:r>
        <w:rPr>
          <w:rFonts w:hint="eastAsia" w:ascii="仿宋" w:hAnsi="仿宋" w:eastAsia="仿宋" w:cs="仿宋"/>
        </w:rPr>
        <w:t>所自备自用的备品备件、易损件。</w:t>
      </w:r>
    </w:p>
    <w:p>
      <w:pPr>
        <w:pStyle w:val="19"/>
        <w:snapToGrid w:val="0"/>
        <w:spacing w:line="360" w:lineRule="auto"/>
        <w:ind w:firstLine="474"/>
        <w:rPr>
          <w:rFonts w:hint="eastAsia" w:ascii="仿宋" w:hAnsi="仿宋" w:eastAsia="仿宋" w:cs="仿宋"/>
        </w:rPr>
      </w:pPr>
      <w:r>
        <w:rPr>
          <w:rFonts w:hint="eastAsia" w:ascii="仿宋" w:hAnsi="仿宋" w:eastAsia="仿宋" w:cs="仿宋"/>
        </w:rPr>
        <w:t>2.2投标方按照招标文件要求提供、或投标方认为招标方应当储备的备品备件、易损件，投标方应当在投标报价部分分别说明所列备品备件、易损件的使用时间。</w:t>
      </w:r>
    </w:p>
    <w:p>
      <w:pPr>
        <w:pStyle w:val="19"/>
        <w:snapToGrid w:val="0"/>
        <w:spacing w:line="360" w:lineRule="auto"/>
        <w:ind w:firstLine="474"/>
        <w:rPr>
          <w:rFonts w:hint="eastAsia" w:ascii="仿宋" w:hAnsi="仿宋" w:eastAsia="仿宋" w:cs="仿宋"/>
        </w:rPr>
      </w:pPr>
      <w:r>
        <w:rPr>
          <w:rFonts w:hint="eastAsia" w:ascii="仿宋" w:hAnsi="仿宋" w:eastAsia="仿宋" w:cs="仿宋"/>
        </w:rPr>
        <w:t>2.3投标文件中，应当有备品备件、易损件的详细清单（内容包括名称、型号、规格、单位、数量、生产厂家、单价、总价等）。</w:t>
      </w:r>
    </w:p>
    <w:p>
      <w:pPr>
        <w:pStyle w:val="19"/>
        <w:snapToGrid w:val="0"/>
        <w:spacing w:line="360" w:lineRule="auto"/>
        <w:ind w:firstLine="474"/>
        <w:rPr>
          <w:rFonts w:hint="eastAsia" w:ascii="仿宋" w:hAnsi="仿宋" w:eastAsia="仿宋" w:cs="仿宋"/>
        </w:rPr>
      </w:pPr>
      <w:r>
        <w:rPr>
          <w:rFonts w:hint="eastAsia" w:ascii="仿宋" w:hAnsi="仿宋" w:eastAsia="仿宋" w:cs="仿宋"/>
        </w:rPr>
        <w:t>2.4备品备件、易损件的费用应分类单列，并计入投标总报价之内。</w:t>
      </w:r>
    </w:p>
    <w:p>
      <w:pPr>
        <w:adjustRightInd w:val="0"/>
        <w:snapToGrid w:val="0"/>
        <w:spacing w:before="120" w:beforeLines="50" w:after="120" w:afterLines="50" w:line="360" w:lineRule="auto"/>
        <w:jc w:val="center"/>
        <w:outlineLvl w:val="1"/>
        <w:rPr>
          <w:rFonts w:hint="eastAsia" w:ascii="仿宋" w:hAnsi="仿宋" w:eastAsia="仿宋" w:cs="仿宋"/>
          <w:b/>
          <w:bCs/>
        </w:rPr>
      </w:pPr>
      <w:bookmarkStart w:id="323" w:name="_Toc4381"/>
      <w:bookmarkStart w:id="324" w:name="_Toc27636"/>
      <w:bookmarkStart w:id="325" w:name="_Toc23025"/>
      <w:bookmarkStart w:id="326" w:name="_Toc11851"/>
      <w:bookmarkStart w:id="327" w:name="_Toc19194"/>
      <w:bookmarkStart w:id="328" w:name="_Toc18118"/>
      <w:bookmarkStart w:id="329" w:name="_Toc24898"/>
      <w:bookmarkStart w:id="330" w:name="_Toc18492"/>
      <w:bookmarkStart w:id="331" w:name="_Toc5634"/>
      <w:bookmarkStart w:id="332" w:name="_Toc603"/>
      <w:bookmarkStart w:id="333" w:name="_Toc1998"/>
      <w:bookmarkStart w:id="334" w:name="_Toc18839"/>
      <w:bookmarkStart w:id="335" w:name="_Toc17572"/>
      <w:bookmarkStart w:id="336" w:name="_Toc8309"/>
      <w:bookmarkStart w:id="337" w:name="_Toc25983"/>
      <w:bookmarkStart w:id="338" w:name="_Toc6313"/>
      <w:bookmarkStart w:id="339" w:name="_Toc30635"/>
      <w:bookmarkStart w:id="340" w:name="_Toc10692"/>
      <w:bookmarkStart w:id="341" w:name="_Toc133783972"/>
      <w:bookmarkStart w:id="342" w:name="_Toc4601"/>
      <w:bookmarkStart w:id="343" w:name="_Toc4183"/>
      <w:bookmarkStart w:id="344" w:name="_Toc11837"/>
      <w:bookmarkStart w:id="345" w:name="_Toc3580"/>
      <w:bookmarkStart w:id="346" w:name="_Toc22358"/>
      <w:bookmarkStart w:id="347" w:name="_Toc17660"/>
      <w:bookmarkStart w:id="348" w:name="_Toc16163"/>
      <w:bookmarkStart w:id="349" w:name="_Toc3548"/>
      <w:bookmarkStart w:id="350" w:name="_Toc81"/>
      <w:bookmarkStart w:id="351" w:name="_Toc29792"/>
      <w:bookmarkStart w:id="352" w:name="_Toc13201"/>
      <w:bookmarkStart w:id="353" w:name="_Toc27960"/>
      <w:bookmarkStart w:id="354" w:name="_Toc4676"/>
      <w:bookmarkStart w:id="355" w:name="_Toc17613"/>
      <w:bookmarkStart w:id="356" w:name="_Toc1897"/>
      <w:bookmarkStart w:id="357" w:name="_Toc12288"/>
      <w:bookmarkStart w:id="358" w:name="_Toc16689"/>
      <w:bookmarkStart w:id="359" w:name="_Toc21360"/>
      <w:bookmarkStart w:id="360" w:name="_Toc4268"/>
      <w:bookmarkStart w:id="361" w:name="_Toc20754"/>
      <w:bookmarkStart w:id="362" w:name="_Toc29107"/>
      <w:bookmarkStart w:id="363" w:name="_Toc15620"/>
      <w:bookmarkStart w:id="364" w:name="_Toc15671"/>
      <w:bookmarkStart w:id="365" w:name="_Toc23856"/>
      <w:r>
        <w:rPr>
          <w:rFonts w:hint="eastAsia" w:ascii="仿宋" w:hAnsi="仿宋" w:eastAsia="仿宋" w:cs="仿宋"/>
          <w:b/>
          <w:bCs/>
        </w:rPr>
        <w:t>第二节供货方式</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pPr>
        <w:snapToGrid w:val="0"/>
        <w:spacing w:line="360" w:lineRule="auto"/>
        <w:ind w:left="480"/>
        <w:outlineLvl w:val="2"/>
        <w:rPr>
          <w:rFonts w:hint="eastAsia" w:ascii="仿宋" w:hAnsi="仿宋" w:eastAsia="仿宋" w:cs="仿宋"/>
          <w:b/>
          <w:bCs/>
        </w:rPr>
      </w:pPr>
      <w:bookmarkStart w:id="366" w:name="_Toc3032"/>
      <w:bookmarkStart w:id="367" w:name="_Toc19237"/>
      <w:bookmarkStart w:id="368" w:name="_Toc28534"/>
      <w:bookmarkStart w:id="369" w:name="_Toc1116"/>
      <w:bookmarkStart w:id="370" w:name="_Toc10286"/>
      <w:bookmarkStart w:id="371" w:name="_Toc28360"/>
      <w:bookmarkStart w:id="372" w:name="_Toc14135"/>
      <w:bookmarkStart w:id="373" w:name="_Toc18282"/>
      <w:bookmarkStart w:id="374" w:name="_Toc28759"/>
      <w:bookmarkStart w:id="375" w:name="_Toc4791"/>
      <w:bookmarkStart w:id="376" w:name="_Toc11533"/>
      <w:bookmarkStart w:id="377" w:name="_Toc4344"/>
      <w:bookmarkStart w:id="378" w:name="_Toc1474"/>
      <w:bookmarkStart w:id="379" w:name="_Toc20263"/>
      <w:bookmarkStart w:id="380" w:name="_Toc27005"/>
      <w:bookmarkStart w:id="381" w:name="_Toc22679"/>
      <w:bookmarkStart w:id="382" w:name="_Toc28222"/>
      <w:bookmarkStart w:id="383" w:name="_Toc73112409"/>
      <w:bookmarkStart w:id="384" w:name="_Toc28962"/>
      <w:bookmarkStart w:id="385" w:name="_Toc32491"/>
      <w:bookmarkStart w:id="386" w:name="_Toc24179"/>
      <w:r>
        <w:rPr>
          <w:rFonts w:hint="eastAsia" w:ascii="仿宋" w:hAnsi="仿宋" w:eastAsia="仿宋" w:cs="仿宋"/>
          <w:b/>
          <w:bCs/>
        </w:rPr>
        <w:t>1供货地点</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pPr>
        <w:snapToGrid w:val="0"/>
        <w:spacing w:line="360" w:lineRule="auto"/>
        <w:ind w:left="480"/>
        <w:outlineLvl w:val="2"/>
        <w:rPr>
          <w:rFonts w:hint="eastAsia" w:ascii="仿宋" w:hAnsi="仿宋" w:eastAsia="仿宋" w:cs="仿宋"/>
          <w:highlight w:val="yellow"/>
        </w:rPr>
      </w:pPr>
      <w:bookmarkStart w:id="387" w:name="_Toc9856"/>
      <w:bookmarkStart w:id="388" w:name="_Toc6707"/>
      <w:bookmarkStart w:id="389" w:name="_Toc22977"/>
      <w:bookmarkStart w:id="390" w:name="_Toc27724"/>
      <w:bookmarkStart w:id="391" w:name="_Toc20257"/>
      <w:bookmarkStart w:id="392" w:name="_Toc22044"/>
      <w:bookmarkStart w:id="393" w:name="_Toc30858"/>
      <w:bookmarkStart w:id="394" w:name="_Toc27558"/>
      <w:bookmarkStart w:id="395" w:name="_Toc8043"/>
      <w:bookmarkStart w:id="396" w:name="_Toc26611"/>
      <w:bookmarkStart w:id="397" w:name="_Toc31657"/>
      <w:bookmarkStart w:id="398" w:name="_Toc5862"/>
      <w:bookmarkStart w:id="399" w:name="_Toc26178"/>
      <w:bookmarkStart w:id="400" w:name="_Toc2280"/>
      <w:bookmarkStart w:id="401" w:name="_Toc531"/>
      <w:bookmarkStart w:id="402" w:name="_Toc21521"/>
      <w:bookmarkStart w:id="403" w:name="_Toc11086"/>
      <w:bookmarkStart w:id="404" w:name="_Toc4215"/>
      <w:bookmarkStart w:id="405" w:name="_Toc73112410"/>
      <w:bookmarkStart w:id="406" w:name="_Toc6963"/>
      <w:bookmarkStart w:id="407" w:name="_Toc11152"/>
      <w:r>
        <w:rPr>
          <w:rFonts w:hint="eastAsia" w:ascii="仿宋" w:hAnsi="仿宋" w:eastAsia="仿宋" w:cs="仿宋"/>
          <w:highlight w:val="yellow"/>
        </w:rPr>
        <w:t>中国重汽集团济南特种车有限公司</w:t>
      </w:r>
    </w:p>
    <w:p>
      <w:pPr>
        <w:snapToGrid w:val="0"/>
        <w:spacing w:line="360" w:lineRule="auto"/>
        <w:ind w:left="480"/>
        <w:outlineLvl w:val="2"/>
        <w:rPr>
          <w:rFonts w:hint="eastAsia" w:ascii="仿宋" w:hAnsi="仿宋" w:eastAsia="仿宋" w:cs="仿宋"/>
          <w:b/>
          <w:bCs/>
        </w:rPr>
      </w:pPr>
      <w:r>
        <w:rPr>
          <w:rFonts w:hint="eastAsia" w:ascii="仿宋" w:hAnsi="仿宋" w:eastAsia="仿宋" w:cs="仿宋"/>
          <w:b/>
          <w:bCs/>
        </w:rPr>
        <w:t>2供货时间</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pPr>
        <w:snapToGrid w:val="0"/>
        <w:spacing w:line="360" w:lineRule="auto"/>
        <w:ind w:firstLine="420" w:firstLineChars="200"/>
        <w:jc w:val="left"/>
        <w:rPr>
          <w:rFonts w:hint="eastAsia" w:ascii="仿宋" w:hAnsi="仿宋" w:eastAsia="仿宋" w:cs="仿宋"/>
          <w:strike/>
          <w:highlight w:val="yellow"/>
        </w:rPr>
      </w:pPr>
      <w:r>
        <w:rPr>
          <w:rFonts w:hint="eastAsia" w:ascii="仿宋" w:hAnsi="仿宋" w:eastAsia="仿宋" w:cs="仿宋"/>
          <w:highlight w:val="yellow"/>
        </w:rPr>
        <w:t>2.1自合同签字生效之日起，</w:t>
      </w:r>
      <w:r>
        <w:rPr>
          <w:rFonts w:ascii="仿宋" w:hAnsi="仿宋" w:eastAsia="仿宋" w:cs="仿宋"/>
          <w:highlight w:val="yellow"/>
          <w:u w:val="single"/>
          <w:shd w:val="pct10" w:color="auto" w:fill="FFFFFF"/>
        </w:rPr>
        <w:t>10</w:t>
      </w:r>
      <w:r>
        <w:rPr>
          <w:rFonts w:hint="eastAsia" w:ascii="仿宋" w:hAnsi="仿宋" w:eastAsia="仿宋" w:cs="仿宋"/>
          <w:highlight w:val="yellow"/>
        </w:rPr>
        <w:t>日历日之内交货至供货地点。</w:t>
      </w:r>
    </w:p>
    <w:p>
      <w:pPr>
        <w:snapToGrid w:val="0"/>
        <w:spacing w:line="360" w:lineRule="auto"/>
        <w:ind w:firstLine="420" w:firstLineChars="200"/>
        <w:jc w:val="left"/>
        <w:rPr>
          <w:rFonts w:hint="eastAsia" w:ascii="仿宋" w:hAnsi="仿宋" w:eastAsia="仿宋" w:cs="仿宋"/>
          <w:highlight w:val="yellow"/>
        </w:rPr>
      </w:pPr>
      <w:r>
        <w:rPr>
          <w:rFonts w:hint="eastAsia" w:ascii="仿宋" w:hAnsi="仿宋" w:eastAsia="仿宋" w:cs="仿宋"/>
          <w:highlight w:val="yellow"/>
        </w:rPr>
        <w:t>2.2连续</w:t>
      </w:r>
      <w:r>
        <w:rPr>
          <w:rFonts w:ascii="仿宋" w:hAnsi="仿宋" w:eastAsia="仿宋" w:cs="仿宋"/>
          <w:highlight w:val="yellow"/>
          <w:u w:val="single"/>
        </w:rPr>
        <w:t>15</w:t>
      </w:r>
      <w:r>
        <w:rPr>
          <w:rFonts w:hint="eastAsia" w:ascii="仿宋" w:hAnsi="仿宋" w:eastAsia="仿宋" w:cs="仿宋"/>
          <w:highlight w:val="yellow"/>
        </w:rPr>
        <w:t>个日历日之内安装调试完毕；</w:t>
      </w:r>
    </w:p>
    <w:p>
      <w:pPr>
        <w:snapToGrid w:val="0"/>
        <w:spacing w:line="360" w:lineRule="auto"/>
        <w:ind w:firstLine="420" w:firstLineChars="200"/>
        <w:jc w:val="left"/>
        <w:rPr>
          <w:rFonts w:hint="eastAsia" w:ascii="仿宋" w:hAnsi="仿宋" w:eastAsia="仿宋" w:cs="仿宋"/>
          <w:highlight w:val="yellow"/>
        </w:rPr>
      </w:pPr>
      <w:r>
        <w:rPr>
          <w:rFonts w:hint="eastAsia" w:ascii="仿宋" w:hAnsi="仿宋" w:eastAsia="仿宋" w:cs="仿宋"/>
          <w:highlight w:val="yellow"/>
        </w:rPr>
        <w:t>2.</w:t>
      </w:r>
      <w:r>
        <w:rPr>
          <w:rFonts w:ascii="仿宋" w:hAnsi="仿宋" w:eastAsia="仿宋" w:cs="仿宋"/>
          <w:highlight w:val="yellow"/>
        </w:rPr>
        <w:t>3</w:t>
      </w:r>
      <w:r>
        <w:rPr>
          <w:rFonts w:hint="eastAsia" w:ascii="仿宋" w:hAnsi="仿宋" w:eastAsia="仿宋" w:cs="仿宋"/>
          <w:highlight w:val="yellow"/>
        </w:rPr>
        <w:t>必要时，投标方应当提供详细的工期计划。</w:t>
      </w:r>
    </w:p>
    <w:p>
      <w:pPr>
        <w:snapToGrid w:val="0"/>
        <w:spacing w:line="360" w:lineRule="auto"/>
        <w:ind w:left="480"/>
        <w:outlineLvl w:val="2"/>
        <w:rPr>
          <w:rFonts w:hint="eastAsia" w:ascii="仿宋" w:hAnsi="仿宋" w:eastAsia="仿宋" w:cs="仿宋"/>
          <w:b/>
          <w:bCs/>
        </w:rPr>
      </w:pPr>
      <w:bookmarkStart w:id="408" w:name="_Toc30983"/>
      <w:bookmarkStart w:id="409" w:name="_Toc73112411"/>
      <w:bookmarkStart w:id="410" w:name="_Toc17351"/>
      <w:bookmarkStart w:id="411" w:name="_Toc18845"/>
      <w:bookmarkStart w:id="412" w:name="_Toc8419"/>
      <w:bookmarkStart w:id="413" w:name="_Toc31485"/>
      <w:bookmarkStart w:id="414" w:name="_Toc23122"/>
      <w:bookmarkStart w:id="415" w:name="_Toc24587"/>
      <w:bookmarkStart w:id="416" w:name="_Toc4612"/>
      <w:bookmarkStart w:id="417" w:name="_Toc4431"/>
      <w:bookmarkStart w:id="418" w:name="_Toc8193"/>
      <w:bookmarkStart w:id="419" w:name="_Toc17489"/>
      <w:bookmarkStart w:id="420" w:name="_Toc22394"/>
      <w:bookmarkStart w:id="421" w:name="_Toc22968"/>
      <w:bookmarkStart w:id="422" w:name="_Toc18153"/>
      <w:bookmarkStart w:id="423" w:name="_Toc29786"/>
      <w:bookmarkStart w:id="424" w:name="_Toc5288"/>
      <w:bookmarkStart w:id="425" w:name="_Toc22617"/>
      <w:bookmarkStart w:id="426" w:name="_Toc11749"/>
      <w:bookmarkStart w:id="427" w:name="_Toc9507"/>
      <w:bookmarkStart w:id="428" w:name="_Toc16960"/>
      <w:r>
        <w:rPr>
          <w:rFonts w:hint="eastAsia" w:ascii="仿宋" w:hAnsi="仿宋" w:eastAsia="仿宋" w:cs="仿宋"/>
          <w:b/>
          <w:bCs/>
        </w:rPr>
        <w:t>3质保期</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pPr>
        <w:snapToGrid w:val="0"/>
        <w:spacing w:line="360" w:lineRule="auto"/>
        <w:ind w:firstLine="420" w:firstLineChars="200"/>
        <w:rPr>
          <w:rFonts w:hint="eastAsia" w:ascii="仿宋" w:hAnsi="仿宋" w:eastAsia="仿宋" w:cs="仿宋"/>
          <w:highlight w:val="yellow"/>
        </w:rPr>
      </w:pPr>
      <w:r>
        <w:rPr>
          <w:rFonts w:hint="eastAsia" w:ascii="仿宋" w:hAnsi="仿宋" w:eastAsia="仿宋" w:cs="仿宋"/>
          <w:highlight w:val="yellow"/>
        </w:rPr>
        <w:t>3.1投标方所提供货物涉及的全部供货范围内的设备、材料、零配件和工器具等，除合同特别约定外，其质保期均自终验收签字生效之日起</w:t>
      </w:r>
      <w:r>
        <w:rPr>
          <w:rFonts w:ascii="仿宋" w:hAnsi="仿宋" w:eastAsia="仿宋" w:cs="仿宋"/>
          <w:highlight w:val="yellow"/>
          <w:u w:val="single"/>
        </w:rPr>
        <w:t>12</w:t>
      </w:r>
      <w:r>
        <w:rPr>
          <w:rFonts w:hint="eastAsia" w:ascii="仿宋" w:hAnsi="仿宋" w:eastAsia="仿宋" w:cs="仿宋"/>
          <w:highlight w:val="yellow"/>
          <w:u w:val="single"/>
        </w:rPr>
        <w:t xml:space="preserve"> </w:t>
      </w:r>
      <w:r>
        <w:rPr>
          <w:rFonts w:hint="eastAsia" w:ascii="仿宋" w:hAnsi="仿宋" w:eastAsia="仿宋" w:cs="仿宋"/>
          <w:highlight w:val="yellow"/>
        </w:rPr>
        <w:t>个月。</w:t>
      </w:r>
    </w:p>
    <w:p>
      <w:pPr>
        <w:snapToGrid w:val="0"/>
        <w:spacing w:line="360" w:lineRule="auto"/>
        <w:ind w:firstLine="420" w:firstLineChars="200"/>
        <w:jc w:val="left"/>
        <w:rPr>
          <w:rFonts w:hint="eastAsia" w:ascii="仿宋" w:hAnsi="仿宋" w:eastAsia="仿宋" w:cs="仿宋"/>
          <w:highlight w:val="yellow"/>
        </w:rPr>
      </w:pPr>
      <w:r>
        <w:rPr>
          <w:rFonts w:hint="eastAsia" w:ascii="仿宋" w:hAnsi="仿宋" w:eastAsia="仿宋" w:cs="仿宋"/>
          <w:highlight w:val="yellow"/>
        </w:rPr>
        <w:t>3.2质保期之内，如果货物出现关键设备、总成、零部件或者多处一般设备、总成、零部件的更换或维修行为，则质保期自更换或维修行为结束、货物能够正常运行使用之日起重新计算。</w:t>
      </w:r>
    </w:p>
    <w:p>
      <w:pPr>
        <w:snapToGrid w:val="0"/>
        <w:spacing w:line="360" w:lineRule="auto"/>
        <w:ind w:left="480"/>
        <w:outlineLvl w:val="2"/>
        <w:rPr>
          <w:rFonts w:hint="eastAsia" w:ascii="仿宋" w:hAnsi="仿宋" w:eastAsia="仿宋" w:cs="仿宋"/>
          <w:b/>
          <w:bCs/>
        </w:rPr>
      </w:pPr>
      <w:bookmarkStart w:id="429" w:name="_Toc22951"/>
      <w:bookmarkStart w:id="430" w:name="_Toc73112412"/>
      <w:bookmarkStart w:id="431" w:name="_Toc28907"/>
      <w:bookmarkStart w:id="432" w:name="_Toc27729"/>
      <w:bookmarkStart w:id="433" w:name="_Toc27080"/>
      <w:bookmarkStart w:id="434" w:name="_Toc21555"/>
      <w:bookmarkStart w:id="435" w:name="_Toc19011"/>
      <w:bookmarkStart w:id="436" w:name="_Toc20400"/>
      <w:bookmarkStart w:id="437" w:name="_Toc21924"/>
      <w:bookmarkStart w:id="438" w:name="_Toc29090"/>
      <w:bookmarkStart w:id="439" w:name="_Toc5126"/>
      <w:bookmarkStart w:id="440" w:name="_Toc16381"/>
      <w:bookmarkStart w:id="441" w:name="_Toc20248"/>
      <w:bookmarkStart w:id="442" w:name="_Toc27377"/>
      <w:bookmarkStart w:id="443" w:name="_Toc12791"/>
      <w:bookmarkStart w:id="444" w:name="_Toc26040"/>
      <w:bookmarkStart w:id="445" w:name="_Toc16664"/>
      <w:bookmarkStart w:id="446" w:name="_Toc426"/>
      <w:bookmarkStart w:id="447" w:name="_Toc17320"/>
      <w:bookmarkStart w:id="448" w:name="_Toc14622"/>
      <w:bookmarkStart w:id="449" w:name="_Toc10272"/>
      <w:r>
        <w:rPr>
          <w:rFonts w:hint="eastAsia" w:ascii="仿宋" w:hAnsi="仿宋" w:eastAsia="仿宋" w:cs="仿宋"/>
          <w:b/>
          <w:bCs/>
        </w:rPr>
        <w:t>4包装</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4.1投标方所提供货物（或设备）的包装，应遵照国家标准和有关包装、包皮的技术条件，或按照最好的商业惯例进行包装。</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4.2包装应能满足所需要采取的运输方式应能防止雨淋、受潮、生锈、腐蚀、受振、受磁以及机械和化学因素等引起的损坏。</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4.3投标方所提供货物（或设备）的包装，应能防止其一般性被窃或受外力破坏。</w:t>
      </w:r>
      <w:r>
        <w:rPr>
          <w:rFonts w:ascii="仿宋" w:hAnsi="仿宋" w:eastAsia="仿宋" w:cs="仿宋"/>
        </w:rPr>
        <w:t xml:space="preserve"> </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4.4投标方应对包装件做必要的加固和固定等防护措施，以防止运输可能造成的损坏。</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4.5每个包装件应有装箱单，并至少标明名称、型号规格、数量、净重和毛重、投标方（或供货商）名称和制造日期等相关内容。</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4.6每个包装箱应有明显标志，并具有中文书写的合同号、装运标志、发货和到货地点名称、发货人和收货人名称、货物名称和项目号、箱号和外型尺寸等内容。</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4.7投标方还应按照不同的装运要求在包装箱上标明“小心轻放”、“箭头向上”、“防潮”、“防磁”、“不准平放”等标志，以及其它适用的国标通用标志。</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4.8包装箱应连续编号，不应出现重复编号。</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4.9在不受到外界破坏情况下，包装应保证自交货日起一年内货物（或设备）完好无损。</w:t>
      </w:r>
    </w:p>
    <w:p>
      <w:pPr>
        <w:snapToGrid w:val="0"/>
        <w:spacing w:line="360" w:lineRule="auto"/>
        <w:ind w:left="480"/>
        <w:outlineLvl w:val="2"/>
        <w:rPr>
          <w:rFonts w:hint="eastAsia" w:ascii="仿宋" w:hAnsi="仿宋" w:eastAsia="仿宋" w:cs="仿宋"/>
          <w:b/>
          <w:bCs/>
        </w:rPr>
      </w:pPr>
      <w:bookmarkStart w:id="450" w:name="_Toc7046"/>
      <w:bookmarkStart w:id="451" w:name="_Toc20536"/>
      <w:bookmarkStart w:id="452" w:name="_Toc32266"/>
      <w:bookmarkStart w:id="453" w:name="_Toc8"/>
      <w:bookmarkStart w:id="454" w:name="_Toc21308"/>
      <w:bookmarkStart w:id="455" w:name="_Toc17881"/>
      <w:bookmarkStart w:id="456" w:name="_Toc26302"/>
      <w:bookmarkStart w:id="457" w:name="_Toc21886"/>
      <w:bookmarkStart w:id="458" w:name="_Toc4346"/>
      <w:bookmarkStart w:id="459" w:name="_Toc17990"/>
      <w:bookmarkStart w:id="460" w:name="_Toc25305"/>
      <w:bookmarkStart w:id="461" w:name="_Toc22992"/>
      <w:bookmarkStart w:id="462" w:name="_Toc31538"/>
      <w:bookmarkStart w:id="463" w:name="_Toc7889"/>
      <w:bookmarkStart w:id="464" w:name="_Toc5373"/>
      <w:bookmarkStart w:id="465" w:name="_Toc73112413"/>
      <w:bookmarkStart w:id="466" w:name="_Toc22949"/>
      <w:bookmarkStart w:id="467" w:name="_Toc24996"/>
      <w:bookmarkStart w:id="468" w:name="_Toc22792"/>
      <w:bookmarkStart w:id="469" w:name="_Toc23221"/>
      <w:bookmarkStart w:id="470" w:name="_Toc1857"/>
      <w:r>
        <w:rPr>
          <w:rFonts w:hint="eastAsia" w:ascii="仿宋" w:hAnsi="仿宋" w:eastAsia="仿宋" w:cs="仿宋"/>
          <w:b/>
          <w:bCs/>
        </w:rPr>
        <w:t>5运输</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5.1投标方应负责将货物（或设备）运到目的地，并必须做到货物（或设备）在任何运输过程中不受损坏和遗失</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5.2同批货物（或设备）应统一包装、编号运输。</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5.3一般情况下，经由铁路、公路运输的包装件尺寸和重量不应超过国家所规定的尺寸限制。特殊情况应予以说明。</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5.4在每批货物（或设备）发出后，投标方应立即通知招标方；通知中应指明：合同号、货运单号、件数、重量和货物（或设备）发出日期等相关内容。</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5.5货物（或设备）运抵招标方现场后，投标方应负责货物（或设备）的卸货、搬运、保管等事宜；或按照合同约定。</w:t>
      </w:r>
      <w:bookmarkStart w:id="471" w:name="_Toc133783973"/>
    </w:p>
    <w:p>
      <w:pPr>
        <w:adjustRightInd w:val="0"/>
        <w:snapToGrid w:val="0"/>
        <w:spacing w:before="120" w:beforeLines="50" w:after="120" w:afterLines="50" w:line="360" w:lineRule="auto"/>
        <w:jc w:val="center"/>
        <w:outlineLvl w:val="0"/>
        <w:rPr>
          <w:rFonts w:hint="eastAsia" w:ascii="仿宋" w:hAnsi="仿宋" w:eastAsia="仿宋" w:cs="仿宋"/>
          <w:b/>
          <w:bCs/>
        </w:rPr>
      </w:pPr>
      <w:bookmarkStart w:id="472" w:name="_Toc14862"/>
      <w:bookmarkStart w:id="473" w:name="_Toc7672"/>
      <w:bookmarkStart w:id="474" w:name="_Toc3739"/>
      <w:bookmarkStart w:id="475" w:name="_Toc24978"/>
      <w:bookmarkStart w:id="476" w:name="_Toc16036"/>
      <w:bookmarkStart w:id="477" w:name="_Toc23663"/>
      <w:bookmarkStart w:id="478" w:name="_Toc10894"/>
      <w:bookmarkStart w:id="479" w:name="_Toc31301"/>
      <w:bookmarkStart w:id="480" w:name="_Toc25292"/>
      <w:bookmarkStart w:id="481" w:name="_Toc29063"/>
      <w:bookmarkStart w:id="482" w:name="_Toc7501"/>
      <w:bookmarkStart w:id="483" w:name="_Toc14414"/>
      <w:bookmarkStart w:id="484" w:name="_Toc13927"/>
      <w:bookmarkStart w:id="485" w:name="_Toc23255"/>
      <w:bookmarkStart w:id="486" w:name="_Toc28211"/>
      <w:bookmarkStart w:id="487" w:name="_Toc19986"/>
      <w:bookmarkStart w:id="488" w:name="_Toc12021"/>
      <w:bookmarkStart w:id="489" w:name="_Toc25780"/>
      <w:bookmarkStart w:id="490" w:name="_Toc11027"/>
      <w:bookmarkStart w:id="491" w:name="_Toc19133"/>
      <w:bookmarkStart w:id="492" w:name="_Toc12478"/>
      <w:bookmarkStart w:id="493" w:name="_Toc24415"/>
      <w:bookmarkStart w:id="494" w:name="_Toc14916"/>
      <w:bookmarkStart w:id="495" w:name="_Toc27169"/>
      <w:bookmarkStart w:id="496" w:name="_Toc14023"/>
      <w:bookmarkStart w:id="497" w:name="_Toc2668"/>
      <w:bookmarkStart w:id="498" w:name="_Toc22680"/>
      <w:bookmarkStart w:id="499" w:name="_Toc9059"/>
      <w:bookmarkStart w:id="500" w:name="_Toc26671"/>
      <w:bookmarkStart w:id="501" w:name="_Toc15153"/>
      <w:bookmarkStart w:id="502" w:name="_Toc27085"/>
      <w:bookmarkStart w:id="503" w:name="_Toc10676"/>
      <w:bookmarkStart w:id="504" w:name="_Toc18423"/>
      <w:bookmarkStart w:id="505" w:name="_Toc8515"/>
      <w:bookmarkStart w:id="506" w:name="_Toc1740"/>
      <w:bookmarkStart w:id="507" w:name="_Toc25044"/>
      <w:bookmarkStart w:id="508" w:name="_Toc14171"/>
      <w:bookmarkStart w:id="509" w:name="_Toc28164"/>
      <w:bookmarkStart w:id="510" w:name="_Toc32280"/>
      <w:bookmarkStart w:id="511" w:name="_Toc24397"/>
      <w:bookmarkStart w:id="512" w:name="_Toc14229"/>
      <w:bookmarkStart w:id="513" w:name="_Toc10275"/>
      <w:bookmarkStart w:id="514" w:name="_Toc26651"/>
      <w:r>
        <w:rPr>
          <w:rFonts w:hint="eastAsia" w:ascii="仿宋" w:hAnsi="仿宋" w:eastAsia="仿宋" w:cs="仿宋"/>
          <w:b/>
          <w:bCs/>
        </w:rPr>
        <w:t>第四章售中售后服务</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pPr>
        <w:snapToGrid w:val="0"/>
        <w:spacing w:line="360" w:lineRule="auto"/>
        <w:ind w:left="480"/>
        <w:outlineLvl w:val="1"/>
        <w:rPr>
          <w:rFonts w:hint="eastAsia" w:ascii="仿宋" w:hAnsi="仿宋" w:eastAsia="仿宋" w:cs="仿宋"/>
          <w:b/>
          <w:bCs/>
          <w:highlight w:val="yellow"/>
        </w:rPr>
      </w:pPr>
      <w:bookmarkStart w:id="515" w:name="_Toc24654"/>
      <w:bookmarkStart w:id="516" w:name="_Toc18522"/>
      <w:bookmarkStart w:id="517" w:name="_Toc344"/>
      <w:bookmarkStart w:id="518" w:name="_Toc14199"/>
      <w:bookmarkStart w:id="519" w:name="_Toc29321"/>
      <w:bookmarkStart w:id="520" w:name="_Toc28487"/>
      <w:bookmarkStart w:id="521" w:name="_Toc9079"/>
      <w:bookmarkStart w:id="522" w:name="_Toc19576"/>
      <w:bookmarkStart w:id="523" w:name="_Toc27811"/>
      <w:bookmarkStart w:id="524" w:name="_Toc19735"/>
      <w:bookmarkStart w:id="525" w:name="_Toc12793"/>
      <w:bookmarkStart w:id="526" w:name="_Toc2564"/>
      <w:bookmarkStart w:id="527" w:name="_Toc13786"/>
      <w:bookmarkStart w:id="528" w:name="_Toc20514"/>
      <w:bookmarkStart w:id="529" w:name="_Toc4180"/>
      <w:bookmarkStart w:id="530" w:name="_Toc9919"/>
      <w:bookmarkStart w:id="531" w:name="_Toc17645"/>
      <w:bookmarkStart w:id="532" w:name="_Toc414"/>
      <w:bookmarkStart w:id="533" w:name="_Toc29262"/>
      <w:bookmarkStart w:id="534" w:name="_Toc10787"/>
      <w:bookmarkStart w:id="535" w:name="_Toc3722"/>
      <w:bookmarkStart w:id="536" w:name="_Toc25505"/>
      <w:bookmarkStart w:id="537" w:name="_Toc25979"/>
      <w:bookmarkStart w:id="538" w:name="_Toc16066"/>
      <w:bookmarkStart w:id="539" w:name="_Toc4952"/>
      <w:bookmarkStart w:id="540" w:name="_Toc4682"/>
      <w:bookmarkStart w:id="541" w:name="_Toc23541"/>
      <w:bookmarkStart w:id="542" w:name="_Toc17832"/>
      <w:bookmarkStart w:id="543" w:name="_Toc2661"/>
      <w:bookmarkStart w:id="544" w:name="_Toc24344"/>
      <w:bookmarkStart w:id="545" w:name="_Toc217"/>
      <w:bookmarkStart w:id="546" w:name="_Toc10791"/>
      <w:bookmarkStart w:id="547" w:name="_Toc23493"/>
      <w:bookmarkStart w:id="548" w:name="_Toc3697"/>
      <w:bookmarkStart w:id="549" w:name="_Toc13551"/>
      <w:bookmarkStart w:id="550" w:name="_Toc23892"/>
      <w:bookmarkStart w:id="551" w:name="_Toc8910"/>
      <w:bookmarkStart w:id="552" w:name="_Toc20772"/>
      <w:bookmarkStart w:id="553" w:name="_Toc7036"/>
      <w:bookmarkStart w:id="554" w:name="_Toc8465"/>
      <w:bookmarkStart w:id="555" w:name="_Toc7723"/>
      <w:bookmarkStart w:id="556" w:name="_Toc788"/>
      <w:r>
        <w:rPr>
          <w:rFonts w:hint="eastAsia" w:ascii="仿宋" w:hAnsi="仿宋" w:eastAsia="仿宋" w:cs="仿宋"/>
          <w:b/>
          <w:bCs/>
          <w:highlight w:val="yellow"/>
        </w:rPr>
        <w:t>1技术及培训服务</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1.1投标方应负责对招标方</w:t>
      </w:r>
      <w:r>
        <w:rPr>
          <w:rFonts w:hint="eastAsia" w:ascii="仿宋" w:hAnsi="仿宋" w:eastAsia="仿宋" w:cs="仿宋"/>
          <w:u w:val="single"/>
        </w:rPr>
        <w:t>1</w:t>
      </w:r>
      <w:r>
        <w:rPr>
          <w:rFonts w:hint="eastAsia" w:ascii="仿宋" w:hAnsi="仿宋" w:eastAsia="仿宋" w:cs="仿宋"/>
        </w:rPr>
        <w:t>名工程技术人员、维修人员和操作人员提供不少于3个日历日的免费的、生产制造现场的理论、技术和操作、维修、安全等方面的指导和培训。</w:t>
      </w:r>
      <w:r>
        <w:rPr>
          <w:rFonts w:ascii="仿宋" w:hAnsi="仿宋" w:eastAsia="仿宋" w:cs="仿宋"/>
        </w:rPr>
        <w:t xml:space="preserve"> </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1.2投标方应负责在招标方货物使用现场，进行</w:t>
      </w:r>
      <w:r>
        <w:rPr>
          <w:rFonts w:hint="eastAsia" w:ascii="仿宋" w:hAnsi="仿宋" w:eastAsia="仿宋" w:cs="仿宋"/>
          <w:shd w:val="pct10" w:color="auto" w:fill="FFFFFF"/>
        </w:rPr>
        <w:t>2～3</w:t>
      </w:r>
      <w:r>
        <w:rPr>
          <w:rFonts w:hint="eastAsia" w:ascii="仿宋" w:hAnsi="仿宋" w:eastAsia="仿宋" w:cs="仿宋"/>
        </w:rPr>
        <w:t>次免费的技术指导和培训，并接受招标方有关人员的技术咨询。</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1.3投标方应免费提供全套培训资料。所有设备均需要配备产品说明书，包括设备的内部结构、组成及保养、维护、调试等相关内容，便于生产人员及维修人员查阅。</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1.4投标方应按要求，免费积极协助和提供招标方以及招标方所委托的工程设计单位有关人员所需要的、与货物有关的设计资料、技术咨询等。</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1.5若投标方提供的货物涉及到外购外协货物、而且该货物的技术质量等较为关键、功能实现或操作较为困难，凡招标方提出需求的，投标方应能得到配套厂家的技术支持，并免费为招标方提供技术服务及培训。</w:t>
      </w:r>
    </w:p>
    <w:p>
      <w:pPr>
        <w:snapToGrid w:val="0"/>
        <w:spacing w:line="360" w:lineRule="auto"/>
        <w:ind w:left="480"/>
        <w:outlineLvl w:val="1"/>
        <w:rPr>
          <w:rFonts w:hint="eastAsia" w:ascii="仿宋" w:hAnsi="仿宋" w:eastAsia="仿宋" w:cs="仿宋"/>
          <w:b/>
          <w:bCs/>
        </w:rPr>
      </w:pPr>
      <w:bookmarkStart w:id="557" w:name="_Toc22693"/>
      <w:bookmarkStart w:id="558" w:name="_Toc2300"/>
      <w:bookmarkStart w:id="559" w:name="_Toc19800"/>
      <w:bookmarkStart w:id="560" w:name="_Toc9824"/>
      <w:bookmarkStart w:id="561" w:name="_Toc16493"/>
      <w:bookmarkStart w:id="562" w:name="_Toc10782"/>
      <w:bookmarkStart w:id="563" w:name="_Toc15460"/>
      <w:bookmarkStart w:id="564" w:name="_Toc3042"/>
      <w:bookmarkStart w:id="565" w:name="_Toc1176"/>
      <w:bookmarkStart w:id="566" w:name="_Toc21693"/>
      <w:bookmarkStart w:id="567" w:name="_Toc25347"/>
      <w:bookmarkStart w:id="568" w:name="_Toc16259"/>
      <w:bookmarkStart w:id="569" w:name="_Toc19866"/>
      <w:bookmarkStart w:id="570" w:name="_Toc29981"/>
      <w:bookmarkStart w:id="571" w:name="_Toc22719"/>
      <w:bookmarkStart w:id="572" w:name="_Toc16207"/>
      <w:bookmarkStart w:id="573" w:name="_Toc13864"/>
      <w:bookmarkStart w:id="574" w:name="_Toc3976"/>
      <w:bookmarkStart w:id="575" w:name="_Toc1420"/>
      <w:bookmarkStart w:id="576" w:name="_Toc5703"/>
      <w:bookmarkStart w:id="577" w:name="_Toc22880"/>
      <w:bookmarkStart w:id="578" w:name="_Toc17516"/>
      <w:bookmarkStart w:id="579" w:name="_Toc26430"/>
      <w:bookmarkStart w:id="580" w:name="_Toc15028"/>
      <w:bookmarkStart w:id="581" w:name="_Toc31039"/>
      <w:bookmarkStart w:id="582" w:name="_Toc11060"/>
      <w:bookmarkStart w:id="583" w:name="_Toc13235"/>
      <w:bookmarkStart w:id="584" w:name="_Toc26880"/>
      <w:bookmarkStart w:id="585" w:name="_Toc11516"/>
      <w:bookmarkStart w:id="586" w:name="_Toc6394"/>
      <w:bookmarkStart w:id="587" w:name="_Toc25721"/>
      <w:bookmarkStart w:id="588" w:name="_Toc17865"/>
      <w:bookmarkStart w:id="589" w:name="_Toc30271"/>
      <w:bookmarkStart w:id="590" w:name="_Toc14504"/>
      <w:bookmarkStart w:id="591" w:name="_Toc16867"/>
      <w:bookmarkStart w:id="592" w:name="_Toc32690"/>
      <w:bookmarkStart w:id="593" w:name="_Toc29413"/>
      <w:bookmarkStart w:id="594" w:name="_Toc3892"/>
      <w:bookmarkStart w:id="595" w:name="_Toc17849"/>
      <w:bookmarkStart w:id="596" w:name="_Toc13970"/>
      <w:bookmarkStart w:id="597" w:name="_Toc3907"/>
      <w:r>
        <w:rPr>
          <w:rFonts w:hint="eastAsia" w:ascii="仿宋" w:hAnsi="仿宋" w:eastAsia="仿宋" w:cs="仿宋"/>
          <w:b/>
          <w:bCs/>
        </w:rPr>
        <w:t>2安装调试服务</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2.1根据货物的要求，调试阶段招标方将予以积极配合，协助投标方达到货物的各项技术指标和性能要求。</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2.2安装调试与验收期间，若投标方提供的货物涉及到外购外协货物、而且该货物的技术质量等较为关键、功能实现或操作较为困难时，凡招标方提出需求的，投标方应能得到配套厂家的技术支持，并免费为招标方提供安装使用现场的指导与协调。</w:t>
      </w:r>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2.3投标方提供收费的或免费的、指导安装调试或负责安装调试，至少应在投标文件的报价章节中，予以明确说明。</w:t>
      </w:r>
    </w:p>
    <w:p>
      <w:pPr>
        <w:snapToGrid w:val="0"/>
        <w:spacing w:line="360" w:lineRule="auto"/>
        <w:ind w:left="480"/>
        <w:outlineLvl w:val="1"/>
        <w:rPr>
          <w:rFonts w:hint="eastAsia" w:ascii="仿宋" w:hAnsi="仿宋" w:eastAsia="仿宋" w:cs="仿宋"/>
          <w:b/>
          <w:bCs/>
        </w:rPr>
      </w:pPr>
      <w:bookmarkStart w:id="598" w:name="_Toc17284"/>
      <w:bookmarkStart w:id="599" w:name="_Toc2097"/>
      <w:bookmarkStart w:id="600" w:name="_Toc11229"/>
      <w:bookmarkStart w:id="601" w:name="_Toc1585"/>
      <w:bookmarkStart w:id="602" w:name="_Toc13443"/>
      <w:bookmarkStart w:id="603" w:name="_Toc7956"/>
      <w:bookmarkStart w:id="604" w:name="_Toc22871"/>
      <w:bookmarkStart w:id="605" w:name="_Toc32488"/>
      <w:bookmarkStart w:id="606" w:name="_Toc13921"/>
      <w:bookmarkStart w:id="607" w:name="_Toc32442"/>
      <w:bookmarkStart w:id="608" w:name="_Toc3170"/>
      <w:bookmarkStart w:id="609" w:name="_Toc19810"/>
      <w:bookmarkStart w:id="610" w:name="_Toc628"/>
      <w:bookmarkStart w:id="611" w:name="_Toc218"/>
      <w:bookmarkStart w:id="612" w:name="_Toc9878"/>
      <w:bookmarkStart w:id="613" w:name="_Toc16706"/>
      <w:bookmarkStart w:id="614" w:name="_Toc16373"/>
      <w:bookmarkStart w:id="615" w:name="_Toc9269"/>
      <w:bookmarkStart w:id="616" w:name="_Toc10635"/>
      <w:bookmarkStart w:id="617" w:name="_Toc8975"/>
      <w:bookmarkStart w:id="618" w:name="_Toc4751"/>
      <w:bookmarkStart w:id="619" w:name="_Toc29125"/>
      <w:bookmarkStart w:id="620" w:name="_Toc30193"/>
      <w:bookmarkStart w:id="621" w:name="_Toc4076"/>
      <w:bookmarkStart w:id="622" w:name="_Toc18269"/>
      <w:bookmarkStart w:id="623" w:name="_Toc2657"/>
      <w:bookmarkStart w:id="624" w:name="_Toc9329"/>
      <w:bookmarkStart w:id="625" w:name="_Toc25079"/>
      <w:bookmarkStart w:id="626" w:name="_Toc16916"/>
      <w:bookmarkStart w:id="627" w:name="_Toc8632"/>
      <w:bookmarkStart w:id="628" w:name="_Toc24615"/>
      <w:bookmarkStart w:id="629" w:name="_Toc29126"/>
      <w:bookmarkStart w:id="630" w:name="_Toc16435"/>
      <w:bookmarkStart w:id="631" w:name="_Toc19674"/>
      <w:bookmarkStart w:id="632" w:name="_Toc30398"/>
      <w:bookmarkStart w:id="633" w:name="_Toc12739"/>
      <w:bookmarkStart w:id="634" w:name="_Toc7783"/>
      <w:bookmarkStart w:id="635" w:name="_Toc16337"/>
      <w:bookmarkStart w:id="636" w:name="_Toc2510"/>
      <w:bookmarkStart w:id="637" w:name="_Toc17427"/>
      <w:bookmarkStart w:id="638" w:name="_Toc29245"/>
      <w:bookmarkStart w:id="639" w:name="_Toc1565"/>
      <w:r>
        <w:rPr>
          <w:rFonts w:hint="eastAsia" w:ascii="仿宋" w:hAnsi="仿宋" w:eastAsia="仿宋" w:cs="仿宋"/>
          <w:b/>
          <w:bCs/>
        </w:rPr>
        <w:t>3验收服务</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3.1投标方在招标方现场进行的货物的预验收和终验收配合或指导，应当是免费的。</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3.2货物验收时，若投标方提供的货物涉及到外购外协货物、而且该货物的技术质量等较为关键、功能实现或操作较为困难时，凡招标方提出需求的，投标方应能得到配套厂家的技术支持，并免费为招标方提供使用现场验收的配合或指导。</w:t>
      </w:r>
    </w:p>
    <w:p>
      <w:pPr>
        <w:snapToGrid w:val="0"/>
        <w:spacing w:line="360" w:lineRule="auto"/>
        <w:ind w:firstLine="420" w:firstLineChars="200"/>
        <w:rPr>
          <w:rFonts w:hint="eastAsia" w:ascii="仿宋" w:hAnsi="仿宋" w:eastAsia="仿宋" w:cs="仿宋"/>
        </w:rPr>
      </w:pPr>
      <w:r>
        <w:rPr>
          <w:rFonts w:hint="eastAsia" w:ascii="仿宋" w:hAnsi="仿宋" w:eastAsia="仿宋" w:cs="仿宋"/>
        </w:rPr>
        <w:t>3.3合格验收时，投标方提供资质合格证书，招标方根据实际情况进行相关复检，复检合格视为合格。</w:t>
      </w:r>
    </w:p>
    <w:p>
      <w:pPr>
        <w:snapToGrid w:val="0"/>
        <w:spacing w:line="360" w:lineRule="auto"/>
        <w:ind w:left="480"/>
        <w:outlineLvl w:val="1"/>
        <w:rPr>
          <w:rFonts w:hint="eastAsia" w:ascii="仿宋" w:hAnsi="仿宋" w:eastAsia="仿宋" w:cs="仿宋"/>
          <w:b/>
          <w:bCs/>
        </w:rPr>
      </w:pPr>
      <w:bookmarkStart w:id="640" w:name="_Toc11213"/>
      <w:bookmarkStart w:id="641" w:name="_Toc26554"/>
      <w:bookmarkStart w:id="642" w:name="_Toc4417"/>
      <w:bookmarkStart w:id="643" w:name="_Toc20538"/>
      <w:bookmarkStart w:id="644" w:name="_Toc11699"/>
      <w:bookmarkStart w:id="645" w:name="_Toc17056"/>
      <w:bookmarkStart w:id="646" w:name="_Toc1454"/>
      <w:bookmarkStart w:id="647" w:name="_Toc14739"/>
      <w:bookmarkStart w:id="648" w:name="_Toc18968"/>
      <w:bookmarkStart w:id="649" w:name="_Toc542"/>
      <w:bookmarkStart w:id="650" w:name="_Toc22392"/>
      <w:bookmarkStart w:id="651" w:name="_Toc27224"/>
      <w:bookmarkStart w:id="652" w:name="_Toc7478"/>
      <w:bookmarkStart w:id="653" w:name="_Toc26773"/>
      <w:bookmarkStart w:id="654" w:name="_Toc8078"/>
      <w:bookmarkStart w:id="655" w:name="_Toc32682"/>
      <w:bookmarkStart w:id="656" w:name="_Toc6099"/>
      <w:bookmarkStart w:id="657" w:name="_Toc20426"/>
      <w:bookmarkStart w:id="658" w:name="_Toc2093"/>
      <w:bookmarkStart w:id="659" w:name="_Toc7782"/>
      <w:bookmarkStart w:id="660" w:name="_Toc18836"/>
      <w:bookmarkStart w:id="661" w:name="_Toc10014"/>
      <w:bookmarkStart w:id="662" w:name="_Toc1199"/>
      <w:bookmarkStart w:id="663" w:name="_Toc9592"/>
      <w:bookmarkStart w:id="664" w:name="_Toc1311"/>
      <w:bookmarkStart w:id="665" w:name="_Toc29633"/>
      <w:bookmarkStart w:id="666" w:name="_Toc19397"/>
      <w:bookmarkStart w:id="667" w:name="_Toc29778"/>
      <w:bookmarkStart w:id="668" w:name="_Toc3798"/>
      <w:bookmarkStart w:id="669" w:name="_Toc30412"/>
      <w:bookmarkStart w:id="670" w:name="_Toc20916"/>
      <w:bookmarkStart w:id="671" w:name="_Toc10808"/>
      <w:bookmarkStart w:id="672" w:name="_Toc19441"/>
      <w:bookmarkStart w:id="673" w:name="_Toc29300"/>
      <w:bookmarkStart w:id="674" w:name="_Toc28635"/>
      <w:bookmarkStart w:id="675" w:name="_Toc22965"/>
      <w:bookmarkStart w:id="676" w:name="_Toc20717"/>
      <w:bookmarkStart w:id="677" w:name="_Toc32079"/>
      <w:bookmarkStart w:id="678" w:name="_Toc6232"/>
      <w:bookmarkStart w:id="679" w:name="_Toc20081"/>
      <w:bookmarkStart w:id="680" w:name="_Toc17895"/>
      <w:bookmarkStart w:id="681" w:name="_Toc21987"/>
      <w:r>
        <w:rPr>
          <w:rFonts w:hint="eastAsia" w:ascii="仿宋" w:hAnsi="仿宋" w:eastAsia="仿宋" w:cs="仿宋"/>
          <w:b/>
          <w:bCs/>
        </w:rPr>
        <w:t>4售后服务</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4.1所有的售后服务均由投标方受理。如果发生问题并且收到报告，投标方应当在2小时内予以答复。</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 xml:space="preserve">4.2如发现所提供的货物存在问题，需要投标方解决或配合解决时：在质保期之内，应在接到通知后 </w:t>
      </w:r>
      <w:r>
        <w:rPr>
          <w:rFonts w:hint="eastAsia" w:ascii="仿宋" w:hAnsi="仿宋" w:eastAsia="仿宋" w:cs="仿宋"/>
          <w:u w:val="single"/>
        </w:rPr>
        <w:t xml:space="preserve"> 1</w:t>
      </w:r>
      <w:r>
        <w:rPr>
          <w:rFonts w:hint="eastAsia" w:ascii="仿宋" w:hAnsi="仿宋" w:eastAsia="仿宋" w:cs="仿宋"/>
        </w:rPr>
        <w:t>小时内派有关人员到达现场；在质保期之外，应在接到通知后</w:t>
      </w:r>
      <w:r>
        <w:rPr>
          <w:rFonts w:hint="eastAsia" w:ascii="仿宋" w:hAnsi="仿宋" w:eastAsia="仿宋" w:cs="仿宋"/>
          <w:u w:val="single"/>
          <w:shd w:val="pct10" w:color="auto" w:fill="FFFFFF"/>
        </w:rPr>
        <w:t xml:space="preserve"> 3</w:t>
      </w:r>
      <w:r>
        <w:rPr>
          <w:rFonts w:hint="eastAsia" w:ascii="仿宋" w:hAnsi="仿宋" w:eastAsia="仿宋" w:cs="仿宋"/>
          <w:u w:val="single"/>
        </w:rPr>
        <w:t xml:space="preserve"> </w:t>
      </w:r>
      <w:r>
        <w:rPr>
          <w:rFonts w:hint="eastAsia" w:ascii="仿宋" w:hAnsi="仿宋" w:eastAsia="仿宋" w:cs="仿宋"/>
        </w:rPr>
        <w:t>小时内派有关人员到达现场。</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4.3投标方派往招标方使用现场的人员，应具有较高的业务素质；现场解决问题时，不得无故拖延或推迟，应为招标方提供最佳的服务。</w:t>
      </w:r>
    </w:p>
    <w:p>
      <w:pPr>
        <w:snapToGrid w:val="0"/>
        <w:spacing w:line="360" w:lineRule="auto"/>
        <w:ind w:left="480"/>
        <w:outlineLvl w:val="1"/>
        <w:rPr>
          <w:rFonts w:hint="eastAsia" w:ascii="仿宋" w:hAnsi="仿宋" w:eastAsia="仿宋" w:cs="仿宋"/>
          <w:b/>
          <w:bCs/>
        </w:rPr>
      </w:pPr>
      <w:bookmarkStart w:id="682" w:name="_Toc28927"/>
      <w:bookmarkStart w:id="683" w:name="_Toc27505"/>
      <w:bookmarkStart w:id="684" w:name="_Toc32366"/>
      <w:bookmarkStart w:id="685" w:name="_Toc17891"/>
      <w:bookmarkStart w:id="686" w:name="_Toc1573"/>
      <w:bookmarkStart w:id="687" w:name="_Toc20936"/>
      <w:bookmarkStart w:id="688" w:name="_Toc32502"/>
      <w:bookmarkStart w:id="689" w:name="_Toc4793"/>
      <w:bookmarkStart w:id="690" w:name="_Toc3819"/>
      <w:bookmarkStart w:id="691" w:name="_Toc19301"/>
      <w:bookmarkStart w:id="692" w:name="_Toc9982"/>
      <w:bookmarkStart w:id="693" w:name="_Toc21895"/>
      <w:bookmarkStart w:id="694" w:name="_Toc22593"/>
      <w:bookmarkStart w:id="695" w:name="_Toc26976"/>
      <w:bookmarkStart w:id="696" w:name="_Toc14349"/>
      <w:bookmarkStart w:id="697" w:name="_Toc1118"/>
      <w:bookmarkStart w:id="698" w:name="_Toc7130"/>
      <w:bookmarkStart w:id="699" w:name="_Toc4928"/>
      <w:bookmarkStart w:id="700" w:name="_Toc16849"/>
      <w:bookmarkStart w:id="701" w:name="_Toc18148"/>
      <w:bookmarkStart w:id="702" w:name="_Toc20327"/>
      <w:bookmarkStart w:id="703" w:name="_Toc27733"/>
      <w:bookmarkStart w:id="704" w:name="_Toc6107"/>
      <w:bookmarkStart w:id="705" w:name="_Toc6984"/>
      <w:bookmarkStart w:id="706" w:name="_Toc22732"/>
      <w:bookmarkStart w:id="707" w:name="_Toc26623"/>
      <w:bookmarkStart w:id="708" w:name="_Toc115"/>
      <w:bookmarkStart w:id="709" w:name="_Toc6354"/>
      <w:bookmarkStart w:id="710" w:name="_Toc12294"/>
      <w:bookmarkStart w:id="711" w:name="_Toc25994"/>
      <w:bookmarkStart w:id="712" w:name="_Toc30999"/>
      <w:bookmarkStart w:id="713" w:name="_Toc9688"/>
      <w:bookmarkStart w:id="714" w:name="_Toc913"/>
      <w:bookmarkStart w:id="715" w:name="_Toc10752"/>
      <w:bookmarkStart w:id="716" w:name="_Toc26287"/>
      <w:bookmarkStart w:id="717" w:name="_Toc30887"/>
      <w:bookmarkStart w:id="718" w:name="_Toc6730"/>
      <w:bookmarkStart w:id="719" w:name="_Toc25693"/>
      <w:bookmarkStart w:id="720" w:name="_Toc25242"/>
      <w:bookmarkStart w:id="721" w:name="_Toc27285"/>
      <w:bookmarkStart w:id="722" w:name="_Toc13974"/>
      <w:bookmarkStart w:id="723" w:name="_Toc31498"/>
      <w:r>
        <w:rPr>
          <w:rFonts w:hint="eastAsia" w:ascii="仿宋" w:hAnsi="仿宋" w:eastAsia="仿宋" w:cs="仿宋"/>
          <w:b/>
          <w:bCs/>
        </w:rPr>
        <w:t>5其它服务</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5.1若投标方所提供货物有需要进口的，投标方一般应自行、自费办理；必要时，招标方和投标方共同办理。</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5.2除招标文件、投标文件、答疑文件、技术协议、合同等约定之外，投标方应免费负责必要的或强制性的货物的检验、试验、化验等直接费用。</w:t>
      </w:r>
      <w:bookmarkStart w:id="724" w:name="_Toc133783974"/>
    </w:p>
    <w:p>
      <w:pPr>
        <w:adjustRightInd w:val="0"/>
        <w:snapToGrid w:val="0"/>
        <w:spacing w:line="360" w:lineRule="auto"/>
        <w:ind w:firstLine="420" w:firstLineChars="200"/>
        <w:rPr>
          <w:rFonts w:hint="eastAsia" w:ascii="仿宋" w:hAnsi="仿宋" w:eastAsia="仿宋" w:cs="仿宋"/>
          <w:lang w:val="en-GB"/>
        </w:rPr>
      </w:pPr>
      <w:bookmarkStart w:id="725" w:name="_Toc499550430"/>
      <w:r>
        <w:rPr>
          <w:rFonts w:hint="eastAsia" w:ascii="仿宋" w:hAnsi="仿宋" w:eastAsia="仿宋" w:cs="仿宋"/>
        </w:rPr>
        <w:t>5</w:t>
      </w:r>
      <w:r>
        <w:rPr>
          <w:rFonts w:hint="eastAsia" w:ascii="仿宋" w:hAnsi="仿宋" w:eastAsia="仿宋" w:cs="仿宋"/>
          <w:lang w:val="en-GB"/>
        </w:rPr>
        <w:t>.</w:t>
      </w:r>
      <w:r>
        <w:rPr>
          <w:rFonts w:hint="eastAsia" w:ascii="仿宋" w:hAnsi="仿宋" w:eastAsia="仿宋" w:cs="仿宋"/>
        </w:rPr>
        <w:t>3</w:t>
      </w:r>
      <w:r>
        <w:rPr>
          <w:rFonts w:hint="eastAsia" w:ascii="仿宋" w:hAnsi="仿宋" w:eastAsia="仿宋" w:cs="仿宋"/>
          <w:lang w:val="en-GB"/>
        </w:rPr>
        <w:t xml:space="preserve"> 保障服务目标</w:t>
      </w:r>
      <w:bookmarkEnd w:id="725"/>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lang w:val="en-GB"/>
        </w:rPr>
        <w:t>（1）</w:t>
      </w:r>
      <w:r>
        <w:rPr>
          <w:rFonts w:hint="eastAsia" w:ascii="仿宋" w:hAnsi="仿宋" w:eastAsia="仿宋" w:cs="仿宋"/>
        </w:rPr>
        <w:t>乙方保证其提供的合同设备是经生产厂家正式授权销售且经合法销售渠道获得的产品，是全新的、未使用的、未经改装的、包装完好的、原厂正品，采用最佳材料和一流工艺的，并在各个方面符合本合同规定的质量、规格和性能要求。乙方保证其合同设备经过正确安装、合理操作和维护保养，在合同设备寿命期内运转良好。</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（2）乙方承诺其提供的设备不存在任何产品缺陷，否则因乙方提供的设备存在产品缺陷而给甲方造成的一切后果和损失由乙方承担。</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3）乙方承诺因其提供的设备存在瑕疵或产品缺陷而导致第三方向甲方主张权利或提起诉讼的，乙方应积极配合甲方进行解决或应诉，因此而发生的一切费用（包括但不限于诉讼费、仲裁费、律师费、交通费、通讯费、住宿费、餐饮费、调查取证费等）由乙方承担。</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4）设备所安装的操作系统及软件均为正版，已获知识产权所有权人或合法使用权人的正式授权，且对该系统软件拥有合法的知识产权或具有合法的来源，在有关知识产权中不存在任何侵犯第三方的权益，否则由乙方承担一切责任。</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5）合同约定的设备在质量保证期届满前，如有质量问题，乙方应在收到甲方或设备使用单位通知后6小时内做出回复，如需到现场解决问题，乙方应派工作人员在2小时内到达设备使用现场，1个工作日内排除故障，并按甲方要求的时间免费修复、更换相关部件，将设备修复完成。</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（6）乙方负责在甲方指定的地点免费为甲方培训操作及维修人员，培训内容包括：基本原理、操作使用和维修保养等。</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（7）质量保证期满后，乙方保证向甲方提供及时的、质优的、价格优惠的技术服务和备品备件供应。</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（8）质量保证期满后，如出现质量问题，乙方也应及时修复和更换，且只收取成本费，费用由甲方承担，乙方对设备质量问题所负的责任直到设备使用寿命周期结束。</w:t>
      </w:r>
    </w:p>
    <w:p>
      <w:pPr>
        <w:adjustRightInd w:val="0"/>
        <w:snapToGrid w:val="0"/>
        <w:spacing w:line="360" w:lineRule="auto"/>
        <w:ind w:firstLine="420" w:firstLineChars="200"/>
        <w:rPr>
          <w:rFonts w:hint="eastAsia" w:ascii="仿宋" w:hAnsi="仿宋" w:eastAsia="仿宋" w:cs="仿宋"/>
          <w:lang w:val="en-GB"/>
        </w:rPr>
      </w:pPr>
      <w:r>
        <w:rPr>
          <w:rFonts w:hint="eastAsia" w:ascii="仿宋" w:hAnsi="仿宋" w:eastAsia="仿宋" w:cs="仿宋"/>
        </w:rPr>
        <w:t>5.4</w:t>
      </w:r>
      <w:r>
        <w:rPr>
          <w:rFonts w:hint="eastAsia" w:ascii="仿宋" w:hAnsi="仿宋" w:eastAsia="仿宋" w:cs="仿宋"/>
          <w:lang w:val="en-GB"/>
        </w:rPr>
        <w:t>增值服务目标</w:t>
      </w:r>
    </w:p>
    <w:p>
      <w:pPr>
        <w:adjustRightInd w:val="0"/>
        <w:snapToGrid w:val="0"/>
        <w:spacing w:line="360" w:lineRule="auto"/>
        <w:ind w:firstLine="420" w:firstLineChars="200"/>
        <w:rPr>
          <w:rFonts w:hint="eastAsia"/>
        </w:rPr>
      </w:pPr>
      <w:r>
        <w:rPr>
          <w:rFonts w:hint="eastAsia" w:ascii="仿宋" w:hAnsi="仿宋" w:eastAsia="仿宋" w:cs="仿宋"/>
          <w:lang w:val="en-GB"/>
        </w:rPr>
        <w:t>（1）提供一年的系统7×24维护</w:t>
      </w:r>
    </w:p>
    <w:p>
      <w:pPr>
        <w:adjustRightInd w:val="0"/>
        <w:snapToGrid w:val="0"/>
        <w:spacing w:before="120" w:beforeLines="50" w:after="120" w:afterLines="50" w:line="360" w:lineRule="auto"/>
        <w:jc w:val="center"/>
        <w:outlineLvl w:val="0"/>
        <w:rPr>
          <w:rFonts w:hint="eastAsia" w:ascii="仿宋" w:hAnsi="仿宋" w:eastAsia="仿宋" w:cs="仿宋"/>
          <w:b/>
          <w:bCs/>
        </w:rPr>
      </w:pPr>
      <w:bookmarkStart w:id="726" w:name="_Toc2800"/>
      <w:bookmarkStart w:id="727" w:name="_Toc27484"/>
      <w:bookmarkStart w:id="728" w:name="_Toc12013"/>
      <w:bookmarkStart w:id="729" w:name="_Toc13895"/>
      <w:bookmarkStart w:id="730" w:name="_Toc25825"/>
      <w:bookmarkStart w:id="731" w:name="_Toc29777"/>
      <w:bookmarkStart w:id="732" w:name="_Toc5013"/>
      <w:bookmarkStart w:id="733" w:name="_Toc5996"/>
      <w:bookmarkStart w:id="734" w:name="_Toc8547"/>
      <w:bookmarkStart w:id="735" w:name="_Toc13250"/>
      <w:bookmarkStart w:id="736" w:name="_Toc24752"/>
      <w:bookmarkStart w:id="737" w:name="_Toc9498"/>
      <w:bookmarkStart w:id="738" w:name="_Toc30293"/>
      <w:bookmarkStart w:id="739" w:name="_Toc26489"/>
      <w:bookmarkStart w:id="740" w:name="_Toc22725"/>
      <w:bookmarkStart w:id="741" w:name="_Toc21122"/>
      <w:bookmarkStart w:id="742" w:name="_Toc32483"/>
      <w:bookmarkStart w:id="743" w:name="_Toc19017"/>
      <w:bookmarkStart w:id="744" w:name="_Toc16355"/>
      <w:bookmarkStart w:id="745" w:name="_Toc19942"/>
      <w:bookmarkStart w:id="746" w:name="_Toc10438"/>
      <w:bookmarkStart w:id="747" w:name="_Toc19208"/>
      <w:bookmarkStart w:id="748" w:name="_Toc14411"/>
      <w:bookmarkStart w:id="749" w:name="_Toc9121"/>
      <w:bookmarkStart w:id="750" w:name="_Toc25057"/>
      <w:bookmarkStart w:id="751" w:name="_Toc9482"/>
      <w:bookmarkStart w:id="752" w:name="_Toc4011"/>
      <w:bookmarkStart w:id="753" w:name="_Toc11150"/>
      <w:bookmarkStart w:id="754" w:name="_Toc18621"/>
      <w:bookmarkStart w:id="755" w:name="_Toc18030"/>
      <w:bookmarkStart w:id="756" w:name="_Toc2140"/>
      <w:bookmarkStart w:id="757" w:name="_Toc16312"/>
      <w:bookmarkStart w:id="758" w:name="_Toc15356"/>
      <w:bookmarkStart w:id="759" w:name="_Toc12454"/>
      <w:bookmarkStart w:id="760" w:name="_Toc29817"/>
      <w:bookmarkStart w:id="761" w:name="_Toc23730"/>
      <w:bookmarkStart w:id="762" w:name="_Toc29269"/>
      <w:bookmarkStart w:id="763" w:name="_Toc10873"/>
      <w:bookmarkStart w:id="764" w:name="_Toc10492"/>
      <w:bookmarkStart w:id="765" w:name="_Toc32409"/>
      <w:bookmarkStart w:id="766" w:name="_Toc7461"/>
      <w:bookmarkStart w:id="767" w:name="_Toc8076"/>
      <w:bookmarkStart w:id="768" w:name="_Toc6228"/>
      <w:r>
        <w:rPr>
          <w:rFonts w:hint="eastAsia" w:ascii="仿宋" w:hAnsi="仿宋" w:eastAsia="仿宋" w:cs="仿宋"/>
          <w:b/>
          <w:bCs/>
        </w:rPr>
        <w:t>第五章预验收和终验收</w:t>
      </w:r>
      <w:bookmarkEnd w:id="724"/>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pPr>
        <w:snapToGrid w:val="0"/>
        <w:spacing w:line="360" w:lineRule="auto"/>
        <w:ind w:left="482"/>
        <w:outlineLvl w:val="1"/>
        <w:rPr>
          <w:rFonts w:hint="eastAsia" w:ascii="仿宋" w:hAnsi="仿宋" w:eastAsia="仿宋" w:cs="仿宋"/>
          <w:b/>
          <w:bCs/>
        </w:rPr>
      </w:pPr>
      <w:bookmarkStart w:id="769" w:name="_Toc1286"/>
      <w:bookmarkStart w:id="770" w:name="_Toc6378"/>
      <w:bookmarkStart w:id="771" w:name="_Toc3676"/>
      <w:bookmarkStart w:id="772" w:name="_Toc29964"/>
      <w:bookmarkStart w:id="773" w:name="_Toc22140"/>
      <w:bookmarkStart w:id="774" w:name="_Toc23191"/>
      <w:bookmarkStart w:id="775" w:name="_Toc23231"/>
      <w:bookmarkStart w:id="776" w:name="_Toc27448"/>
      <w:bookmarkStart w:id="777" w:name="_Toc12239"/>
      <w:bookmarkStart w:id="778" w:name="_Toc4070"/>
      <w:bookmarkStart w:id="779" w:name="_Toc10033"/>
      <w:bookmarkStart w:id="780" w:name="_Toc2326"/>
      <w:bookmarkStart w:id="781" w:name="_Toc13718"/>
      <w:bookmarkStart w:id="782" w:name="_Toc22207"/>
      <w:bookmarkStart w:id="783" w:name="_Toc11331"/>
      <w:bookmarkStart w:id="784" w:name="_Toc12676"/>
      <w:bookmarkStart w:id="785" w:name="_Toc9902"/>
      <w:bookmarkStart w:id="786" w:name="_Toc24809"/>
      <w:bookmarkStart w:id="787" w:name="_Toc27225"/>
      <w:bookmarkStart w:id="788" w:name="_Toc21206"/>
      <w:bookmarkStart w:id="789" w:name="_Toc6924"/>
      <w:bookmarkStart w:id="790" w:name="_Toc29611"/>
      <w:bookmarkStart w:id="791" w:name="_Toc29608"/>
      <w:bookmarkStart w:id="792" w:name="_Toc15025"/>
      <w:bookmarkStart w:id="793" w:name="_Toc20512"/>
      <w:bookmarkStart w:id="794" w:name="_Toc242"/>
      <w:bookmarkStart w:id="795" w:name="_Toc24517"/>
      <w:bookmarkStart w:id="796" w:name="_Toc22981"/>
      <w:bookmarkStart w:id="797" w:name="_Toc17620"/>
      <w:bookmarkStart w:id="798" w:name="_Toc28506"/>
      <w:bookmarkStart w:id="799" w:name="_Toc21557"/>
      <w:bookmarkStart w:id="800" w:name="_Toc31478"/>
      <w:bookmarkStart w:id="801" w:name="_Toc14965"/>
      <w:bookmarkStart w:id="802" w:name="_Toc27951"/>
      <w:bookmarkStart w:id="803" w:name="_Toc5401"/>
      <w:bookmarkStart w:id="804" w:name="_Toc7184"/>
      <w:bookmarkStart w:id="805" w:name="_Toc29287"/>
      <w:bookmarkStart w:id="806" w:name="_Toc7463"/>
      <w:bookmarkStart w:id="807" w:name="_Toc28073"/>
      <w:bookmarkStart w:id="808" w:name="_Toc7191"/>
      <w:bookmarkStart w:id="809" w:name="_Toc14541"/>
      <w:bookmarkStart w:id="810" w:name="_Toc25574"/>
      <w:r>
        <w:rPr>
          <w:rFonts w:hint="eastAsia" w:ascii="仿宋" w:hAnsi="仿宋" w:eastAsia="仿宋" w:cs="仿宋"/>
          <w:b/>
          <w:bCs/>
        </w:rPr>
        <w:t>1验收的一般约定</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1.1验收标准一般以技术协议书和合同规定验收。</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1.2如果验收过程中，发现招标文件、投标文件、答疑文件、技术交流文件等与技术协议书、合同存在差异，原则上以涉及条款中对买方最有利条款为验收依据。</w:t>
      </w:r>
    </w:p>
    <w:p>
      <w:pPr>
        <w:snapToGrid w:val="0"/>
        <w:spacing w:line="360" w:lineRule="auto"/>
        <w:ind w:left="482"/>
        <w:outlineLvl w:val="1"/>
        <w:rPr>
          <w:rFonts w:hint="eastAsia" w:ascii="仿宋" w:hAnsi="仿宋" w:eastAsia="仿宋" w:cs="仿宋"/>
          <w:b/>
          <w:bCs/>
        </w:rPr>
      </w:pPr>
      <w:bookmarkStart w:id="811" w:name="_Toc13173"/>
      <w:bookmarkStart w:id="812" w:name="_Toc22558"/>
      <w:bookmarkStart w:id="813" w:name="_Toc21722"/>
      <w:bookmarkStart w:id="814" w:name="_Toc7863"/>
      <w:bookmarkStart w:id="815" w:name="_Toc23919"/>
      <w:bookmarkStart w:id="816" w:name="_Toc10568"/>
      <w:bookmarkStart w:id="817" w:name="_Toc8742"/>
      <w:bookmarkStart w:id="818" w:name="_Toc21568"/>
      <w:bookmarkStart w:id="819" w:name="_Toc19505"/>
      <w:bookmarkStart w:id="820" w:name="_Toc27467"/>
      <w:bookmarkStart w:id="821" w:name="_Toc20876"/>
      <w:bookmarkStart w:id="822" w:name="_Toc27120"/>
      <w:bookmarkStart w:id="823" w:name="_Toc28925"/>
      <w:bookmarkStart w:id="824" w:name="_Toc7457"/>
      <w:bookmarkStart w:id="825" w:name="_Toc25951"/>
      <w:bookmarkStart w:id="826" w:name="_Toc18517"/>
      <w:bookmarkStart w:id="827" w:name="_Toc17720"/>
      <w:bookmarkStart w:id="828" w:name="_Toc6206"/>
      <w:bookmarkStart w:id="829" w:name="_Toc11248"/>
      <w:bookmarkStart w:id="830" w:name="_Toc21414"/>
      <w:bookmarkStart w:id="831" w:name="_Toc513"/>
      <w:bookmarkStart w:id="832" w:name="_Toc2310"/>
      <w:bookmarkStart w:id="833" w:name="_Toc15379"/>
      <w:bookmarkStart w:id="834" w:name="_Toc17335"/>
      <w:bookmarkStart w:id="835" w:name="_Toc16943"/>
      <w:bookmarkStart w:id="836" w:name="_Toc31116"/>
      <w:bookmarkStart w:id="837" w:name="_Toc1155"/>
      <w:bookmarkStart w:id="838" w:name="_Toc9729"/>
      <w:bookmarkStart w:id="839" w:name="_Toc28873"/>
      <w:bookmarkStart w:id="840" w:name="_Toc1187"/>
      <w:bookmarkStart w:id="841" w:name="_Toc32581"/>
      <w:bookmarkStart w:id="842" w:name="_Toc30274"/>
      <w:bookmarkStart w:id="843" w:name="_Toc23133"/>
      <w:bookmarkStart w:id="844" w:name="_Toc10200"/>
      <w:bookmarkStart w:id="845" w:name="_Toc29669"/>
      <w:bookmarkStart w:id="846" w:name="_Toc8338"/>
      <w:bookmarkStart w:id="847" w:name="_Toc22158"/>
      <w:bookmarkStart w:id="848" w:name="_Toc13736"/>
      <w:bookmarkStart w:id="849" w:name="_Toc8916"/>
      <w:bookmarkStart w:id="850" w:name="_Toc11335"/>
      <w:bookmarkStart w:id="851" w:name="_Toc6471"/>
      <w:bookmarkStart w:id="852" w:name="_Toc8093"/>
      <w:r>
        <w:rPr>
          <w:rFonts w:hint="eastAsia" w:ascii="仿宋" w:hAnsi="仿宋" w:eastAsia="仿宋" w:cs="仿宋"/>
          <w:b/>
          <w:bCs/>
        </w:rPr>
        <w:t>2检验</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2.1国产货物的检验由卖买双方按照合同要求或在制造现场进行。</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2.2进口货物的检验按照下述要求进行：</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2.1.1进口货物发货前，卖方应对货物的质量、型号、规格、性能和数量/重量作精密、全面的检验，并出具证明书，证明所供货物符合合同规定。</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2.1.2卖方应依据合同规定的要求，提供买卖双方达成一致的货物的验收标准和装箱单，作为买方检验的依据。</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2.1.3进口货物到达目的地后，买方有权申请中国商品检验检疫局进行检验，如发现货物的品质及规格与合同或发票不符，除买方的责任外，买方有权在货物到达卸货目的地后</w:t>
      </w:r>
      <w:r>
        <w:rPr>
          <w:rFonts w:hint="eastAsia" w:ascii="仿宋" w:hAnsi="仿宋" w:eastAsia="仿宋" w:cs="仿宋"/>
          <w:shd w:val="pct10" w:color="auto" w:fill="FFFFFF"/>
        </w:rPr>
        <w:t>180</w:t>
      </w:r>
      <w:r>
        <w:rPr>
          <w:rFonts w:hint="eastAsia" w:ascii="仿宋" w:hAnsi="仿宋" w:eastAsia="仿宋" w:cs="仿宋"/>
        </w:rPr>
        <w:t>个日历日内，根据中国商品检验检疫局出具的证明书向卖方提出索赔，因索赔所发生的一切费用(包括检验检疫费等)均由卖方承担。</w:t>
      </w:r>
    </w:p>
    <w:p>
      <w:pPr>
        <w:snapToGrid w:val="0"/>
        <w:spacing w:line="360" w:lineRule="auto"/>
        <w:ind w:left="482"/>
        <w:outlineLvl w:val="1"/>
        <w:rPr>
          <w:rFonts w:hint="eastAsia" w:ascii="仿宋" w:hAnsi="仿宋" w:eastAsia="仿宋" w:cs="仿宋"/>
          <w:b/>
          <w:bCs/>
        </w:rPr>
      </w:pPr>
      <w:bookmarkStart w:id="853" w:name="_Toc21487"/>
      <w:bookmarkStart w:id="854" w:name="_Toc31780"/>
      <w:bookmarkStart w:id="855" w:name="_Toc18595"/>
      <w:bookmarkStart w:id="856" w:name="_Toc27310"/>
      <w:bookmarkStart w:id="857" w:name="_Toc16665"/>
      <w:bookmarkStart w:id="858" w:name="_Toc1461"/>
      <w:bookmarkStart w:id="859" w:name="_Toc8664"/>
      <w:bookmarkStart w:id="860" w:name="_Toc8214"/>
      <w:bookmarkStart w:id="861" w:name="_Toc99"/>
      <w:bookmarkStart w:id="862" w:name="_Toc18036"/>
      <w:bookmarkStart w:id="863" w:name="_Toc28225"/>
      <w:bookmarkStart w:id="864" w:name="_Toc27145"/>
      <w:bookmarkStart w:id="865" w:name="_Toc8128"/>
      <w:bookmarkStart w:id="866" w:name="_Toc32111"/>
      <w:bookmarkStart w:id="867" w:name="_Toc27594"/>
      <w:bookmarkStart w:id="868" w:name="_Toc17499"/>
      <w:bookmarkStart w:id="869" w:name="_Toc30797"/>
      <w:bookmarkStart w:id="870" w:name="_Toc11846"/>
      <w:bookmarkStart w:id="871" w:name="_Toc10879"/>
      <w:bookmarkStart w:id="872" w:name="_Toc14904"/>
      <w:bookmarkStart w:id="873" w:name="_Toc8477"/>
      <w:bookmarkStart w:id="874" w:name="_Toc23252"/>
      <w:bookmarkStart w:id="875" w:name="_Toc11780"/>
      <w:bookmarkStart w:id="876" w:name="_Toc228"/>
      <w:bookmarkStart w:id="877" w:name="_Toc5653"/>
      <w:bookmarkStart w:id="878" w:name="_Toc1969"/>
      <w:bookmarkStart w:id="879" w:name="_Toc22379"/>
      <w:bookmarkStart w:id="880" w:name="_Toc15488"/>
      <w:bookmarkStart w:id="881" w:name="_Toc27629"/>
      <w:bookmarkStart w:id="882" w:name="_Toc25654"/>
      <w:bookmarkStart w:id="883" w:name="_Toc14587"/>
      <w:bookmarkStart w:id="884" w:name="_Toc29497"/>
      <w:bookmarkStart w:id="885" w:name="_Toc16878"/>
      <w:bookmarkStart w:id="886" w:name="_Toc6506"/>
      <w:bookmarkStart w:id="887" w:name="_Toc14844"/>
      <w:bookmarkStart w:id="888" w:name="_Toc23250"/>
      <w:bookmarkStart w:id="889" w:name="_Toc5604"/>
      <w:bookmarkStart w:id="890" w:name="_Toc27538"/>
      <w:bookmarkStart w:id="891" w:name="_Toc14993"/>
      <w:bookmarkStart w:id="892" w:name="_Toc1041"/>
      <w:bookmarkStart w:id="893" w:name="_Toc21757"/>
      <w:bookmarkStart w:id="894" w:name="_Toc19311"/>
      <w:r>
        <w:rPr>
          <w:rFonts w:hint="eastAsia" w:ascii="仿宋" w:hAnsi="仿宋" w:eastAsia="仿宋" w:cs="仿宋"/>
          <w:b/>
          <w:bCs/>
        </w:rPr>
        <w:t>3验收条件</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买卖双方按照合同约定执行了合同，同时货物完成了试运行并经检验合格，则具备验收条件。</w:t>
      </w:r>
    </w:p>
    <w:p>
      <w:pPr>
        <w:adjustRightInd w:val="0"/>
        <w:snapToGrid w:val="0"/>
        <w:spacing w:line="360" w:lineRule="auto"/>
        <w:ind w:firstLine="420" w:firstLineChars="200"/>
        <w:rPr>
          <w:rFonts w:hint="eastAsia" w:ascii="仿宋" w:hAnsi="仿宋" w:eastAsia="仿宋" w:cs="仿宋"/>
        </w:rPr>
      </w:pPr>
      <w:bookmarkStart w:id="895" w:name="_Toc4157"/>
      <w:bookmarkStart w:id="896" w:name="_Toc16622"/>
      <w:bookmarkStart w:id="897" w:name="_Toc30563"/>
      <w:bookmarkStart w:id="898" w:name="_Toc31328"/>
      <w:bookmarkStart w:id="899" w:name="_Toc18487"/>
      <w:bookmarkStart w:id="900" w:name="_Toc27848"/>
      <w:bookmarkStart w:id="901" w:name="_Toc18963"/>
      <w:bookmarkStart w:id="902" w:name="_Toc10389"/>
      <w:bookmarkStart w:id="903" w:name="_Toc4741"/>
      <w:bookmarkStart w:id="904" w:name="_Toc18903"/>
      <w:bookmarkStart w:id="905" w:name="_Toc6731"/>
      <w:bookmarkStart w:id="906" w:name="_Toc362"/>
      <w:bookmarkStart w:id="907" w:name="_Toc11902"/>
      <w:bookmarkStart w:id="908" w:name="_Toc24814"/>
      <w:bookmarkStart w:id="909" w:name="_Toc27856"/>
      <w:bookmarkStart w:id="910" w:name="_Toc23170"/>
      <w:bookmarkStart w:id="911" w:name="_Toc5952"/>
      <w:bookmarkStart w:id="912" w:name="_Toc19344"/>
      <w:bookmarkStart w:id="913" w:name="_Toc25547"/>
      <w:bookmarkStart w:id="914" w:name="_Toc17709"/>
      <w:bookmarkStart w:id="915" w:name="_Toc31639"/>
      <w:bookmarkStart w:id="916" w:name="_Toc9015"/>
      <w:bookmarkStart w:id="917" w:name="_Toc22247"/>
      <w:bookmarkStart w:id="918" w:name="_Toc771"/>
      <w:bookmarkStart w:id="919" w:name="_Toc21811"/>
      <w:bookmarkStart w:id="920" w:name="_Toc5473"/>
      <w:bookmarkStart w:id="921" w:name="_Toc10052"/>
      <w:bookmarkStart w:id="922" w:name="_Toc6977"/>
      <w:bookmarkStart w:id="923" w:name="_Toc24921"/>
      <w:bookmarkStart w:id="924" w:name="_Toc7303"/>
      <w:bookmarkStart w:id="925" w:name="_Toc10586"/>
      <w:bookmarkStart w:id="926" w:name="_Toc11234"/>
      <w:bookmarkStart w:id="927" w:name="_Toc23548"/>
      <w:bookmarkStart w:id="928" w:name="_Toc11412"/>
      <w:bookmarkStart w:id="929" w:name="_Toc20087"/>
      <w:bookmarkStart w:id="930" w:name="_Toc3034"/>
      <w:bookmarkStart w:id="931" w:name="_Toc1849"/>
      <w:bookmarkStart w:id="932" w:name="_Toc20504"/>
      <w:bookmarkStart w:id="933" w:name="_Toc32498"/>
      <w:bookmarkStart w:id="934" w:name="_Toc16974"/>
      <w:bookmarkStart w:id="935" w:name="_Toc24377"/>
      <w:r>
        <w:rPr>
          <w:rFonts w:hint="eastAsia" w:ascii="仿宋" w:hAnsi="仿宋" w:eastAsia="仿宋" w:cs="仿宋"/>
        </w:rPr>
        <w:t>3.1预验收一般条件</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3.1.1卖方已经按照“供货范围”要求提供了预验收资料，并且资料齐全、完整和有效。</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3.1.2货物应运行稳定、可靠、安全，无非正常变形，非正常振动，无异常声音。</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3.1.3货物应完整且所有的零部件应该安装安全、牢固，外观无损伤。</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3.1.</w:t>
      </w:r>
      <w:r>
        <w:rPr>
          <w:rFonts w:ascii="仿宋" w:hAnsi="仿宋" w:eastAsia="仿宋" w:cs="仿宋"/>
        </w:rPr>
        <w:t>4</w:t>
      </w:r>
      <w:r>
        <w:rPr>
          <w:rFonts w:hint="eastAsia" w:ascii="仿宋" w:hAnsi="仿宋" w:eastAsia="仿宋" w:cs="仿宋"/>
        </w:rPr>
        <w:t>货物标牌完整、清晰、明确。</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3.1.</w:t>
      </w:r>
      <w:r>
        <w:rPr>
          <w:rFonts w:ascii="仿宋" w:hAnsi="仿宋" w:eastAsia="仿宋" w:cs="仿宋"/>
        </w:rPr>
        <w:t>5</w:t>
      </w:r>
      <w:r>
        <w:rPr>
          <w:rFonts w:hint="eastAsia" w:ascii="仿宋" w:hAnsi="仿宋" w:eastAsia="仿宋" w:cs="仿宋"/>
        </w:rPr>
        <w:t>货物的安全要求符合中国最新的相关法律、法规、标准和规范以及合同要求。</w:t>
      </w:r>
    </w:p>
    <w:p>
      <w:pPr>
        <w:adjustRightInd w:val="0"/>
        <w:snapToGrid w:val="0"/>
        <w:spacing w:line="360" w:lineRule="auto"/>
        <w:ind w:firstLine="420" w:firstLineChars="200"/>
        <w:rPr>
          <w:rFonts w:hint="eastAsia" w:ascii="仿宋" w:hAnsi="仿宋" w:eastAsia="仿宋" w:cs="仿宋"/>
        </w:rPr>
      </w:pPr>
      <w:bookmarkStart w:id="936" w:name="_Toc29661"/>
      <w:bookmarkStart w:id="937" w:name="_Toc2362"/>
      <w:bookmarkStart w:id="938" w:name="_Toc30498"/>
      <w:bookmarkStart w:id="939" w:name="_Toc20374"/>
      <w:bookmarkStart w:id="940" w:name="_Toc12439"/>
      <w:bookmarkStart w:id="941" w:name="_Toc17523"/>
      <w:bookmarkStart w:id="942" w:name="_Toc24874"/>
      <w:bookmarkStart w:id="943" w:name="_Toc3329"/>
      <w:bookmarkStart w:id="944" w:name="_Toc15751"/>
      <w:bookmarkStart w:id="945" w:name="_Toc23596"/>
      <w:bookmarkStart w:id="946" w:name="_Toc4643"/>
      <w:bookmarkStart w:id="947" w:name="_Toc12987"/>
      <w:bookmarkStart w:id="948" w:name="_Toc4066"/>
      <w:bookmarkStart w:id="949" w:name="_Toc26496"/>
      <w:bookmarkStart w:id="950" w:name="_Toc22891"/>
      <w:bookmarkStart w:id="951" w:name="_Toc24950"/>
      <w:bookmarkStart w:id="952" w:name="_Toc8938"/>
      <w:bookmarkStart w:id="953" w:name="_Toc16821"/>
      <w:bookmarkStart w:id="954" w:name="_Toc931"/>
      <w:bookmarkStart w:id="955" w:name="_Toc2134"/>
      <w:bookmarkStart w:id="956" w:name="_Toc21671"/>
      <w:bookmarkStart w:id="957" w:name="_Toc9105"/>
      <w:bookmarkStart w:id="958" w:name="_Toc21953"/>
      <w:bookmarkStart w:id="959" w:name="_Toc28390"/>
      <w:bookmarkStart w:id="960" w:name="_Toc19728"/>
      <w:bookmarkStart w:id="961" w:name="_Toc8879"/>
      <w:bookmarkStart w:id="962" w:name="_Toc18823"/>
      <w:bookmarkStart w:id="963" w:name="_Toc17491"/>
      <w:bookmarkStart w:id="964" w:name="_Toc6062"/>
      <w:bookmarkStart w:id="965" w:name="_Toc4108"/>
      <w:bookmarkStart w:id="966" w:name="_Toc17924"/>
      <w:bookmarkStart w:id="967" w:name="_Toc21629"/>
      <w:bookmarkStart w:id="968" w:name="_Toc7060"/>
      <w:bookmarkStart w:id="969" w:name="_Toc11537"/>
      <w:bookmarkStart w:id="970" w:name="_Toc19887"/>
      <w:bookmarkStart w:id="971" w:name="_Toc5422"/>
      <w:bookmarkStart w:id="972" w:name="_Toc27491"/>
      <w:bookmarkStart w:id="973" w:name="_Toc1293"/>
      <w:bookmarkStart w:id="974" w:name="_Toc8320"/>
      <w:bookmarkStart w:id="975" w:name="_Toc14552"/>
      <w:bookmarkStart w:id="976" w:name="_Toc29327"/>
      <w:r>
        <w:rPr>
          <w:rFonts w:hint="eastAsia" w:ascii="仿宋" w:hAnsi="仿宋" w:eastAsia="仿宋" w:cs="仿宋"/>
        </w:rPr>
        <w:t>3.2终验收一般条件</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3.2.1经过预验收而且没有出现新的质量问题，或者满足预验收条款。</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3.2.2货物安装调试完毕，并至少经过了验收要求的试运行。</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3.2.3试运行期间或之后无维修、调整等行为（特殊情况除外）。</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3.2.4货物质量、技术性能等，达到签定的技术协议书和合同规定的终验收标准。</w:t>
      </w:r>
    </w:p>
    <w:p>
      <w:pPr>
        <w:snapToGrid w:val="0"/>
        <w:spacing w:line="360" w:lineRule="auto"/>
        <w:ind w:left="482"/>
        <w:outlineLvl w:val="1"/>
        <w:rPr>
          <w:rFonts w:hint="eastAsia" w:ascii="仿宋" w:hAnsi="仿宋" w:eastAsia="仿宋" w:cs="仿宋"/>
          <w:b/>
          <w:bCs/>
        </w:rPr>
      </w:pPr>
      <w:bookmarkStart w:id="977" w:name="_Toc25411"/>
      <w:bookmarkStart w:id="978" w:name="_Toc11114"/>
      <w:bookmarkStart w:id="979" w:name="_Toc193"/>
      <w:bookmarkStart w:id="980" w:name="_Toc1761"/>
      <w:bookmarkStart w:id="981" w:name="_Toc22500"/>
      <w:bookmarkStart w:id="982" w:name="_Toc21291"/>
      <w:bookmarkStart w:id="983" w:name="_Toc17549"/>
      <w:bookmarkStart w:id="984" w:name="_Toc6573"/>
      <w:bookmarkStart w:id="985" w:name="_Toc17223"/>
      <w:bookmarkStart w:id="986" w:name="_Toc1885"/>
      <w:bookmarkStart w:id="987" w:name="_Toc26083"/>
      <w:bookmarkStart w:id="988" w:name="_Toc20983"/>
      <w:bookmarkStart w:id="989" w:name="_Toc7243"/>
      <w:bookmarkStart w:id="990" w:name="_Toc12859"/>
      <w:bookmarkStart w:id="991" w:name="_Toc1961"/>
      <w:bookmarkStart w:id="992" w:name="_Toc1804"/>
      <w:bookmarkStart w:id="993" w:name="_Toc10673"/>
      <w:bookmarkStart w:id="994" w:name="_Toc32661"/>
      <w:bookmarkStart w:id="995" w:name="_Toc1469"/>
      <w:bookmarkStart w:id="996" w:name="_Toc9027"/>
      <w:bookmarkStart w:id="997" w:name="_Toc21504"/>
      <w:r>
        <w:rPr>
          <w:rFonts w:hint="eastAsia" w:ascii="仿宋" w:hAnsi="仿宋" w:eastAsia="仿宋" w:cs="仿宋"/>
          <w:b/>
          <w:bCs/>
        </w:rPr>
        <w:t>4终验收基本要求</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pPr>
        <w:adjustRightInd w:val="0"/>
        <w:snapToGrid w:val="0"/>
        <w:spacing w:line="360" w:lineRule="auto"/>
        <w:ind w:firstLine="420" w:firstLineChars="200"/>
        <w:rPr>
          <w:rFonts w:hint="eastAsia" w:ascii="仿宋" w:hAnsi="仿宋" w:eastAsia="仿宋" w:cs="仿宋"/>
          <w:highlight w:val="yellow"/>
        </w:rPr>
      </w:pPr>
      <w:r>
        <w:rPr>
          <w:rFonts w:hint="eastAsia" w:ascii="仿宋" w:hAnsi="仿宋" w:eastAsia="仿宋" w:cs="仿宋"/>
          <w:highlight w:val="yellow"/>
        </w:rPr>
        <w:t>4.1负荷运行时，货物应连续运行</w:t>
      </w:r>
      <w:r>
        <w:rPr>
          <w:rFonts w:hint="eastAsia" w:ascii="仿宋" w:hAnsi="仿宋" w:eastAsia="仿宋" w:cs="仿宋"/>
          <w:highlight w:val="yellow"/>
          <w:u w:val="single"/>
        </w:rPr>
        <w:t xml:space="preserve"> 60</w:t>
      </w:r>
      <w:r>
        <w:rPr>
          <w:rFonts w:hint="eastAsia" w:ascii="仿宋" w:hAnsi="仿宋" w:eastAsia="仿宋" w:cs="仿宋"/>
          <w:highlight w:val="yellow"/>
          <w:u w:val="single"/>
          <w:shd w:val="pct10" w:color="auto" w:fill="FFFFFF"/>
        </w:rPr>
        <w:t xml:space="preserve"> </w:t>
      </w:r>
      <w:r>
        <w:rPr>
          <w:rFonts w:hint="eastAsia" w:ascii="仿宋" w:hAnsi="仿宋" w:eastAsia="仿宋" w:cs="仿宋"/>
          <w:highlight w:val="yellow"/>
        </w:rPr>
        <w:t>天，每天连续</w:t>
      </w:r>
      <w:r>
        <w:rPr>
          <w:rFonts w:hint="eastAsia" w:ascii="仿宋" w:hAnsi="仿宋" w:eastAsia="仿宋" w:cs="仿宋"/>
          <w:highlight w:val="yellow"/>
          <w:u w:val="single"/>
        </w:rPr>
        <w:t xml:space="preserve"> </w:t>
      </w:r>
      <w:r>
        <w:rPr>
          <w:rFonts w:hint="eastAsia" w:ascii="仿宋" w:hAnsi="仿宋" w:eastAsia="仿宋" w:cs="仿宋"/>
          <w:highlight w:val="yellow"/>
          <w:u w:val="single"/>
          <w:shd w:val="pct10" w:color="auto" w:fill="FFFFFF"/>
        </w:rPr>
        <w:t>24</w:t>
      </w:r>
      <w:r>
        <w:rPr>
          <w:rFonts w:hint="eastAsia" w:ascii="仿宋" w:hAnsi="仿宋" w:eastAsia="仿宋" w:cs="仿宋"/>
          <w:highlight w:val="yellow"/>
        </w:rPr>
        <w:t>小时，除用户方面因素外，必须达到以下要求：</w:t>
      </w:r>
    </w:p>
    <w:p>
      <w:pPr>
        <w:adjustRightInd w:val="0"/>
        <w:snapToGrid w:val="0"/>
        <w:spacing w:line="360" w:lineRule="auto"/>
        <w:ind w:firstLine="420" w:firstLineChars="200"/>
        <w:rPr>
          <w:rFonts w:hint="eastAsia" w:ascii="仿宋" w:hAnsi="仿宋" w:eastAsia="仿宋" w:cs="仿宋"/>
          <w:highlight w:val="yellow"/>
        </w:rPr>
      </w:pPr>
      <w:r>
        <w:rPr>
          <w:rFonts w:hint="eastAsia" w:ascii="仿宋" w:hAnsi="仿宋" w:eastAsia="仿宋" w:cs="仿宋"/>
          <w:highlight w:val="yellow"/>
        </w:rPr>
        <w:t>4.2.1在整个验收过程中没有维修、更换零部件或元件行为；</w:t>
      </w:r>
    </w:p>
    <w:p>
      <w:pPr>
        <w:adjustRightInd w:val="0"/>
        <w:snapToGrid w:val="0"/>
        <w:spacing w:line="360" w:lineRule="auto"/>
        <w:ind w:firstLine="420" w:firstLineChars="200"/>
        <w:rPr>
          <w:rFonts w:hint="eastAsia" w:ascii="仿宋" w:hAnsi="仿宋" w:eastAsia="仿宋" w:cs="仿宋"/>
          <w:highlight w:val="yellow"/>
        </w:rPr>
      </w:pPr>
      <w:r>
        <w:rPr>
          <w:rFonts w:hint="eastAsia" w:ascii="仿宋" w:hAnsi="仿宋" w:eastAsia="仿宋" w:cs="仿宋"/>
          <w:highlight w:val="yellow"/>
        </w:rPr>
        <w:t>4.2.2所有出现的调整，每次调整时间均不超过</w:t>
      </w:r>
      <w:r>
        <w:rPr>
          <w:rFonts w:hint="eastAsia" w:ascii="仿宋" w:hAnsi="仿宋" w:eastAsia="仿宋" w:cs="仿宋"/>
          <w:highlight w:val="yellow"/>
          <w:u w:val="single"/>
          <w:shd w:val="pct10" w:color="auto" w:fill="FFFFFF"/>
        </w:rPr>
        <w:t>60</w:t>
      </w:r>
      <w:r>
        <w:rPr>
          <w:rFonts w:hint="eastAsia" w:ascii="仿宋" w:hAnsi="仿宋" w:eastAsia="仿宋" w:cs="仿宋"/>
          <w:highlight w:val="yellow"/>
        </w:rPr>
        <w:t>分钟；</w:t>
      </w:r>
    </w:p>
    <w:p>
      <w:pPr>
        <w:adjustRightInd w:val="0"/>
        <w:snapToGrid w:val="0"/>
        <w:spacing w:line="360" w:lineRule="auto"/>
        <w:ind w:firstLine="420" w:firstLineChars="200"/>
        <w:rPr>
          <w:rFonts w:hint="eastAsia" w:ascii="仿宋" w:hAnsi="仿宋" w:eastAsia="仿宋" w:cs="仿宋"/>
          <w:highlight w:val="yellow"/>
        </w:rPr>
      </w:pPr>
      <w:r>
        <w:rPr>
          <w:rFonts w:hint="eastAsia" w:ascii="仿宋" w:hAnsi="仿宋" w:eastAsia="仿宋" w:cs="仿宋"/>
          <w:highlight w:val="yellow"/>
        </w:rPr>
        <w:t>4.2.3所有调整时间的总和不超过总运行时间的</w:t>
      </w:r>
      <w:r>
        <w:rPr>
          <w:rFonts w:hint="eastAsia" w:ascii="仿宋" w:hAnsi="仿宋" w:eastAsia="仿宋" w:cs="仿宋"/>
          <w:highlight w:val="yellow"/>
          <w:u w:val="single"/>
          <w:shd w:val="pct10" w:color="auto" w:fill="FFFFFF"/>
        </w:rPr>
        <w:t>10</w:t>
      </w:r>
      <w:r>
        <w:rPr>
          <w:rFonts w:hint="eastAsia" w:ascii="仿宋" w:hAnsi="仿宋" w:eastAsia="仿宋" w:cs="仿宋"/>
          <w:highlight w:val="yellow"/>
        </w:rPr>
        <w:t>%；</w:t>
      </w:r>
    </w:p>
    <w:p>
      <w:pPr>
        <w:adjustRightInd w:val="0"/>
        <w:snapToGrid w:val="0"/>
        <w:spacing w:line="360" w:lineRule="auto"/>
        <w:ind w:firstLine="420" w:firstLineChars="200"/>
        <w:rPr>
          <w:rFonts w:hint="eastAsia" w:ascii="仿宋" w:hAnsi="仿宋" w:eastAsia="仿宋" w:cs="仿宋"/>
          <w:highlight w:val="yellow"/>
        </w:rPr>
      </w:pPr>
      <w:r>
        <w:rPr>
          <w:rFonts w:hint="eastAsia" w:ascii="仿宋" w:hAnsi="仿宋" w:eastAsia="仿宋" w:cs="仿宋"/>
          <w:highlight w:val="yellow"/>
        </w:rPr>
        <w:t>4.2.4累计运行实际性能（或生产率）达到合同规定；</w:t>
      </w:r>
    </w:p>
    <w:p>
      <w:pPr>
        <w:adjustRightInd w:val="0"/>
        <w:snapToGrid w:val="0"/>
        <w:spacing w:line="360" w:lineRule="auto"/>
        <w:ind w:firstLine="420" w:firstLineChars="200"/>
        <w:rPr>
          <w:rFonts w:hint="eastAsia" w:ascii="仿宋" w:hAnsi="仿宋" w:eastAsia="仿宋" w:cs="仿宋"/>
          <w:highlight w:val="yellow"/>
        </w:rPr>
      </w:pPr>
      <w:r>
        <w:rPr>
          <w:rFonts w:hint="eastAsia" w:ascii="仿宋" w:hAnsi="仿宋" w:eastAsia="仿宋" w:cs="仿宋"/>
          <w:highlight w:val="yellow"/>
        </w:rPr>
        <w:t>4.2.5终验收原则上要求一次完成。若一次验收不成功，最多允许两次；</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4.2.6终验收通过后签署终验收报告（终验收报告以买方提供的签署完毕并盖章的《新增设备安装竣工验收转资单》为准），并移交、核对全部供货范围内物品。</w:t>
      </w:r>
      <w:bookmarkStart w:id="998" w:name="_Toc133783975"/>
    </w:p>
    <w:p>
      <w:pPr>
        <w:snapToGrid w:val="0"/>
        <w:spacing w:line="360" w:lineRule="auto"/>
        <w:ind w:left="482"/>
        <w:outlineLvl w:val="1"/>
        <w:rPr>
          <w:rFonts w:hint="eastAsia" w:ascii="仿宋" w:hAnsi="仿宋" w:eastAsia="仿宋" w:cs="仿宋"/>
          <w:b/>
          <w:bCs/>
        </w:rPr>
      </w:pPr>
      <w:r>
        <w:rPr>
          <w:rFonts w:hint="eastAsia" w:ascii="仿宋" w:hAnsi="仿宋" w:eastAsia="仿宋" w:cs="仿宋"/>
          <w:b/>
          <w:bCs/>
        </w:rPr>
        <w:t>5验收资料</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签订本合同后，乙方应按甲方要求免费提供给甲方包括但不限于：设备总装图、安装尺寸图、设备基础图、操作手册、使用说明、维修指南、服务手册等甲方所需要的、与执行本合同有关的各类资料。如上述资料未按甲方要求交付的，甲方有权拒绝对合同设备验收（包括预验收和最终验收），并且乙方应赔偿因此给甲方造成的一切损失。</w:t>
      </w:r>
    </w:p>
    <w:p>
      <w:pPr>
        <w:pStyle w:val="16"/>
        <w:framePr w:wrap="around"/>
        <w:rPr>
          <w:rFonts w:hint="eastAsia"/>
        </w:rPr>
      </w:pPr>
    </w:p>
    <w:p>
      <w:pPr>
        <w:adjustRightInd w:val="0"/>
        <w:snapToGrid w:val="0"/>
        <w:spacing w:before="120" w:beforeLines="50" w:after="120" w:afterLines="50" w:line="360" w:lineRule="auto"/>
        <w:jc w:val="center"/>
        <w:outlineLvl w:val="0"/>
        <w:rPr>
          <w:rFonts w:hint="eastAsia" w:ascii="仿宋" w:hAnsi="仿宋" w:eastAsia="仿宋" w:cs="仿宋"/>
          <w:b/>
          <w:bCs/>
        </w:rPr>
      </w:pPr>
      <w:bookmarkStart w:id="999" w:name="_Toc25401"/>
      <w:bookmarkStart w:id="1000" w:name="_Toc1195"/>
      <w:bookmarkStart w:id="1001" w:name="_Toc30219"/>
      <w:bookmarkStart w:id="1002" w:name="_Toc8435"/>
      <w:bookmarkStart w:id="1003" w:name="_Toc17110"/>
      <w:bookmarkStart w:id="1004" w:name="_Toc26248"/>
      <w:bookmarkStart w:id="1005" w:name="_Toc32074"/>
      <w:bookmarkStart w:id="1006" w:name="_Toc23397"/>
      <w:bookmarkStart w:id="1007" w:name="_Toc30187"/>
      <w:bookmarkStart w:id="1008" w:name="_Toc23616"/>
      <w:bookmarkStart w:id="1009" w:name="_Toc14133"/>
      <w:bookmarkStart w:id="1010" w:name="_Toc25348"/>
      <w:bookmarkStart w:id="1011" w:name="_Toc27346"/>
      <w:bookmarkStart w:id="1012" w:name="_Toc15914"/>
      <w:bookmarkStart w:id="1013" w:name="_Toc19911"/>
      <w:bookmarkStart w:id="1014" w:name="_Toc2249"/>
      <w:bookmarkStart w:id="1015" w:name="_Toc4953"/>
      <w:bookmarkStart w:id="1016" w:name="_Toc24925"/>
      <w:bookmarkStart w:id="1017" w:name="_Toc27525"/>
      <w:bookmarkStart w:id="1018" w:name="_Toc663"/>
      <w:bookmarkStart w:id="1019" w:name="_Toc6807"/>
      <w:bookmarkStart w:id="1020" w:name="_Toc1705"/>
      <w:bookmarkStart w:id="1021" w:name="_Toc22488"/>
      <w:bookmarkStart w:id="1022" w:name="_Toc20836"/>
      <w:bookmarkStart w:id="1023" w:name="_Toc2612"/>
      <w:bookmarkStart w:id="1024" w:name="_Toc18146"/>
      <w:bookmarkStart w:id="1025" w:name="_Toc29322"/>
      <w:bookmarkStart w:id="1026" w:name="_Toc2957"/>
      <w:bookmarkStart w:id="1027" w:name="_Toc10830"/>
      <w:bookmarkStart w:id="1028" w:name="_Toc22179"/>
      <w:bookmarkStart w:id="1029" w:name="_Toc15351"/>
      <w:bookmarkStart w:id="1030" w:name="_Toc1673"/>
      <w:bookmarkStart w:id="1031" w:name="_Toc28136"/>
      <w:bookmarkStart w:id="1032" w:name="_Toc23268"/>
      <w:bookmarkStart w:id="1033" w:name="_Toc7458"/>
      <w:bookmarkStart w:id="1034" w:name="_Toc14217"/>
      <w:bookmarkStart w:id="1035" w:name="_Toc8015"/>
      <w:bookmarkStart w:id="1036" w:name="_Toc1683"/>
      <w:bookmarkStart w:id="1037" w:name="_Toc12636"/>
      <w:bookmarkStart w:id="1038" w:name="_Toc30125"/>
      <w:bookmarkStart w:id="1039" w:name="_Toc28594"/>
      <w:bookmarkStart w:id="1040" w:name="_Toc18510"/>
      <w:bookmarkStart w:id="1041" w:name="_Toc1228"/>
      <w:r>
        <w:rPr>
          <w:rFonts w:hint="eastAsia" w:ascii="仿宋" w:hAnsi="仿宋" w:eastAsia="仿宋" w:cs="仿宋"/>
          <w:b/>
          <w:bCs/>
        </w:rPr>
        <w:t>第六章投标技术文件一般要求</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1投标方应认真阅读招标文件和本技术标书，并按要求编写投标技术文件。</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2投标技术文件至少应对投标货物的“技术偏离”、“商务偏离”作出有无说明；若有，应予以详细填写和说明。</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3投标技术文件至少应对投标货物的功能用途、技术性能、质量标准、技术参数等作出详细说明。</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4投标技术文件至少应根据投标货物的关键设备、总成、零部件或系统作出优越性说明。</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5投标技术文件至少应根据投标货物的配置，按照备品备件、易损件和专用耗材明细表要求以及投标货物主要配置一览表要求（见下表），认真全面填写。</w:t>
      </w:r>
    </w:p>
    <w:p>
      <w:pPr>
        <w:adjustRightInd w:val="0"/>
        <w:snapToGrid w:val="0"/>
        <w:spacing w:line="360" w:lineRule="auto"/>
        <w:ind w:firstLine="420" w:firstLineChars="200"/>
        <w:jc w:val="center"/>
        <w:rPr>
          <w:rFonts w:hint="eastAsia" w:ascii="仿宋" w:hAnsi="仿宋" w:eastAsia="仿宋" w:cs="仿宋"/>
        </w:rPr>
      </w:pPr>
      <w:r>
        <w:rPr>
          <w:rFonts w:hint="eastAsia" w:ascii="仿宋" w:hAnsi="仿宋" w:eastAsia="仿宋" w:cs="仿宋"/>
        </w:rPr>
        <w:t>投标货物主要配置一览表单位：元</w:t>
      </w:r>
    </w:p>
    <w:tbl>
      <w:tblPr>
        <w:tblStyle w:val="35"/>
        <w:tblW w:w="9447" w:type="dxa"/>
        <w:tblInd w:w="-21" w:type="dxa"/>
        <w:tblLayout w:type="fixed"/>
        <w:tblCellMar>
          <w:top w:w="0" w:type="dxa"/>
          <w:left w:w="108" w:type="dxa"/>
          <w:bottom w:w="0" w:type="dxa"/>
          <w:right w:w="108" w:type="dxa"/>
        </w:tblCellMar>
      </w:tblPr>
      <w:tblGrid>
        <w:gridCol w:w="621"/>
        <w:gridCol w:w="2979"/>
        <w:gridCol w:w="3859"/>
        <w:gridCol w:w="1160"/>
        <w:gridCol w:w="828"/>
      </w:tblGrid>
      <w:tr>
        <w:tblPrEx>
          <w:tblCellMar>
            <w:top w:w="0" w:type="dxa"/>
            <w:left w:w="108" w:type="dxa"/>
            <w:bottom w:w="0" w:type="dxa"/>
            <w:right w:w="108" w:type="dxa"/>
          </w:tblCellMar>
        </w:tblPrEx>
        <w:trPr>
          <w:trHeight w:val="260" w:hRule="atLeast"/>
        </w:trPr>
        <w:tc>
          <w:tcPr>
            <w:tcW w:w="621" w:type="dxa"/>
            <w:tcBorders>
              <w:top w:val="single" w:color="000000" w:sz="8" w:space="0"/>
              <w:left w:val="single" w:color="000000" w:sz="8" w:space="0"/>
              <w:bottom w:val="single" w:color="000000" w:sz="8" w:space="0"/>
              <w:right w:val="single" w:color="000000" w:sz="4" w:space="0"/>
            </w:tcBorders>
            <w:noWrap/>
            <w:vAlign w:val="center"/>
          </w:tcPr>
          <w:p>
            <w:pPr>
              <w:widowControl/>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序号</w:t>
            </w:r>
          </w:p>
        </w:tc>
        <w:tc>
          <w:tcPr>
            <w:tcW w:w="2979" w:type="dxa"/>
            <w:tcBorders>
              <w:top w:val="single" w:color="000000" w:sz="8" w:space="0"/>
              <w:left w:val="single" w:color="000000" w:sz="4" w:space="0"/>
              <w:bottom w:val="single" w:color="000000" w:sz="8" w:space="0"/>
              <w:right w:val="single" w:color="000000" w:sz="4" w:space="0"/>
            </w:tcBorders>
            <w:noWrap/>
            <w:vAlign w:val="center"/>
          </w:tcPr>
          <w:p>
            <w:pPr>
              <w:widowControl/>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货物名称</w:t>
            </w:r>
          </w:p>
        </w:tc>
        <w:tc>
          <w:tcPr>
            <w:tcW w:w="3859" w:type="dxa"/>
            <w:tcBorders>
              <w:top w:val="single" w:color="000000" w:sz="8" w:space="0"/>
              <w:left w:val="single" w:color="000000" w:sz="4" w:space="0"/>
              <w:bottom w:val="single" w:color="000000" w:sz="8" w:space="0"/>
              <w:right w:val="single" w:color="000000" w:sz="4" w:space="0"/>
            </w:tcBorders>
            <w:noWrap/>
            <w:vAlign w:val="center"/>
          </w:tcPr>
          <w:p>
            <w:pPr>
              <w:widowControl/>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型号规格</w:t>
            </w:r>
          </w:p>
        </w:tc>
        <w:tc>
          <w:tcPr>
            <w:tcW w:w="1160" w:type="dxa"/>
            <w:tcBorders>
              <w:top w:val="single" w:color="000000" w:sz="8" w:space="0"/>
              <w:left w:val="single" w:color="000000" w:sz="4" w:space="0"/>
              <w:bottom w:val="single" w:color="000000" w:sz="8" w:space="0"/>
              <w:right w:val="single" w:color="000000" w:sz="4" w:space="0"/>
            </w:tcBorders>
            <w:noWrap/>
            <w:vAlign w:val="center"/>
          </w:tcPr>
          <w:p>
            <w:pPr>
              <w:widowControl/>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单位</w:t>
            </w:r>
          </w:p>
        </w:tc>
        <w:tc>
          <w:tcPr>
            <w:tcW w:w="828" w:type="dxa"/>
            <w:tcBorders>
              <w:top w:val="single" w:color="000000" w:sz="8" w:space="0"/>
              <w:left w:val="single" w:color="000000" w:sz="4" w:space="0"/>
              <w:bottom w:val="single" w:color="000000" w:sz="8" w:space="0"/>
              <w:right w:val="single" w:color="000000" w:sz="8" w:space="0"/>
            </w:tcBorders>
            <w:noWrap/>
            <w:vAlign w:val="center"/>
          </w:tcPr>
          <w:p>
            <w:pPr>
              <w:widowControl/>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数量</w:t>
            </w:r>
          </w:p>
        </w:tc>
      </w:tr>
      <w:tr>
        <w:tblPrEx>
          <w:tblCellMar>
            <w:top w:w="0" w:type="dxa"/>
            <w:left w:w="108" w:type="dxa"/>
            <w:bottom w:w="0" w:type="dxa"/>
            <w:right w:w="108" w:type="dxa"/>
          </w:tblCellMar>
        </w:tblPrEx>
        <w:trPr>
          <w:trHeight w:val="260" w:hRule="atLeast"/>
        </w:trPr>
        <w:tc>
          <w:tcPr>
            <w:tcW w:w="621" w:type="dxa"/>
            <w:tcBorders>
              <w:top w:val="nil"/>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c>
          <w:tcPr>
            <w:tcW w:w="2979" w:type="dxa"/>
            <w:tcBorders>
              <w:top w:val="nil"/>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网线</w:t>
            </w:r>
          </w:p>
        </w:tc>
        <w:tc>
          <w:tcPr>
            <w:tcW w:w="3859" w:type="dxa"/>
            <w:tcBorders>
              <w:top w:val="nil"/>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六类</w:t>
            </w:r>
          </w:p>
        </w:tc>
        <w:tc>
          <w:tcPr>
            <w:tcW w:w="1160" w:type="dxa"/>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m</w:t>
            </w:r>
          </w:p>
        </w:tc>
        <w:tc>
          <w:tcPr>
            <w:tcW w:w="828" w:type="dxa"/>
            <w:tcBorders>
              <w:top w:val="nil"/>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1000</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2</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电源线</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RVV3*2.5（三线/2.5mm</w:t>
            </w:r>
            <w:r>
              <w:rPr>
                <w:rFonts w:hint="eastAsia" w:ascii="宋体" w:hAnsi="宋体" w:eastAsia="宋体" w:cs="宋体"/>
                <w:color w:val="000000"/>
                <w:kern w:val="0"/>
                <w:sz w:val="20"/>
                <w:szCs w:val="20"/>
                <w:lang w:bidi="ar"/>
              </w:rPr>
              <w:t>²</w:t>
            </w:r>
            <w:r>
              <w:rPr>
                <w:rStyle w:val="137"/>
                <w:rFonts w:hint="default"/>
                <w:lang w:bidi="ar"/>
              </w:rPr>
              <w:t>）</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m</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550</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3</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桥架</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50mm*100mm</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m</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250</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4</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高清线</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5m/条</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条</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8</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5</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登高车</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元/2台/天</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9</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6-1</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总装线大屏框架：框架钢结构尺寸（长*高*厚）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3940mm*2500mm*110mm</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6-2</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框架钢结构支架-主龙骨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100mm*50mm*2.5mm方钢</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6-3</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分龙骨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40mm*40mm*2.0mm方钢</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6-4</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吊杆</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50mm*50mm*3.5mm方钢,长度3m-6m可调节</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FF0000"/>
                <w:sz w:val="20"/>
                <w:szCs w:val="20"/>
                <w:highlight w:val="yellow"/>
              </w:rPr>
            </w:pPr>
            <w:r>
              <w:rPr>
                <w:rFonts w:hint="eastAsia" w:ascii="仿宋" w:hAnsi="仿宋" w:eastAsia="仿宋" w:cs="仿宋"/>
                <w:color w:val="FF0000"/>
                <w:sz w:val="20"/>
                <w:szCs w:val="20"/>
                <w:highlight w:val="yellow"/>
              </w:rPr>
              <w:t>6-5</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总装线大屏定制夹持器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2</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FF0000"/>
                <w:sz w:val="20"/>
                <w:szCs w:val="20"/>
                <w:highlight w:val="yellow"/>
              </w:rPr>
            </w:pPr>
            <w:r>
              <w:rPr>
                <w:rFonts w:hint="eastAsia" w:ascii="仿宋" w:hAnsi="仿宋" w:eastAsia="仿宋" w:cs="仿宋"/>
                <w:color w:val="FF0000"/>
                <w:sz w:val="20"/>
                <w:szCs w:val="20"/>
                <w:highlight w:val="yellow"/>
              </w:rPr>
              <w:t>6-6</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总装线大屏大屏四周包边</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1</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FF0000"/>
                <w:sz w:val="20"/>
                <w:szCs w:val="20"/>
                <w:highlight w:val="yellow"/>
              </w:rPr>
            </w:pPr>
            <w:r>
              <w:rPr>
                <w:rFonts w:hint="eastAsia" w:ascii="仿宋" w:hAnsi="仿宋" w:eastAsia="仿宋" w:cs="仿宋"/>
                <w:color w:val="FF0000"/>
                <w:sz w:val="20"/>
                <w:szCs w:val="20"/>
                <w:highlight w:val="yellow"/>
              </w:rPr>
              <w:t>6-7</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总装线大屏配套螺丝，卡扣，角件等</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1</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7-1</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车身线大屏框架：框架钢结构尺寸（长*高*厚）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3940mm*2500mm*110mm</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7-2</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框架钢结构支架:—主龙骨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100mm*50mm*2.5mm方钢</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7-3</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分龙骨：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40mm*40mm*2.0mm方钢</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7-4</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吊杆:</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50mm*50mm*3.5mm方钢,长度3m-6m可调节</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FF0000"/>
                <w:sz w:val="20"/>
                <w:szCs w:val="20"/>
                <w:highlight w:val="yellow"/>
              </w:rPr>
            </w:pPr>
            <w:r>
              <w:rPr>
                <w:rFonts w:hint="eastAsia" w:ascii="仿宋" w:hAnsi="仿宋" w:eastAsia="仿宋" w:cs="仿宋"/>
                <w:color w:val="FF0000"/>
                <w:sz w:val="20"/>
                <w:szCs w:val="20"/>
                <w:highlight w:val="yellow"/>
              </w:rPr>
              <w:t>7-5</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车身线大屏定制夹持器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2</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FF0000"/>
                <w:sz w:val="20"/>
                <w:szCs w:val="20"/>
                <w:highlight w:val="yellow"/>
              </w:rPr>
            </w:pPr>
            <w:r>
              <w:rPr>
                <w:rFonts w:hint="eastAsia" w:ascii="仿宋" w:hAnsi="仿宋" w:eastAsia="仿宋" w:cs="仿宋"/>
                <w:color w:val="FF0000"/>
                <w:sz w:val="20"/>
                <w:szCs w:val="20"/>
                <w:highlight w:val="yellow"/>
              </w:rPr>
              <w:t>7-6</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车身线大屏大屏四周包边</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1</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FF0000"/>
                <w:sz w:val="20"/>
                <w:szCs w:val="20"/>
                <w:highlight w:val="yellow"/>
              </w:rPr>
            </w:pPr>
            <w:r>
              <w:rPr>
                <w:rFonts w:hint="eastAsia" w:ascii="仿宋" w:hAnsi="仿宋" w:eastAsia="仿宋" w:cs="仿宋"/>
                <w:color w:val="FF0000"/>
                <w:sz w:val="20"/>
                <w:szCs w:val="20"/>
                <w:highlight w:val="yellow"/>
              </w:rPr>
              <w:t>7-7</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车身线大屏配套螺丝，卡扣，角件等</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1</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8-1</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仓库大屏框架:框架钢结构尺寸（长*高*厚）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2020mm*1540mm*110mm</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8-2</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框架钢结构支架:—主龙骨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100mm*50mm*2.5mm方钢</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8-3</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分龙骨：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40mm*40mm*2.0mm方钢</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8-4</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吊杆:</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50mm*50mm*2.0mm方钢,长度3m-6m可调节</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FF0000"/>
                <w:sz w:val="20"/>
                <w:szCs w:val="20"/>
                <w:highlight w:val="yellow"/>
              </w:rPr>
            </w:pPr>
            <w:r>
              <w:rPr>
                <w:rFonts w:hint="eastAsia" w:ascii="仿宋" w:hAnsi="仿宋" w:eastAsia="仿宋" w:cs="仿宋"/>
                <w:color w:val="FF0000"/>
                <w:sz w:val="20"/>
                <w:szCs w:val="20"/>
                <w:highlight w:val="yellow"/>
              </w:rPr>
              <w:t>8-5</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仓库大屏定制夹持器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2</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FF0000"/>
                <w:sz w:val="20"/>
                <w:szCs w:val="20"/>
                <w:highlight w:val="yellow"/>
              </w:rPr>
            </w:pPr>
            <w:r>
              <w:rPr>
                <w:rFonts w:hint="eastAsia" w:ascii="仿宋" w:hAnsi="仿宋" w:eastAsia="仿宋" w:cs="仿宋"/>
                <w:color w:val="FF0000"/>
                <w:sz w:val="20"/>
                <w:szCs w:val="20"/>
                <w:highlight w:val="yellow"/>
              </w:rPr>
              <w:t>8-6</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仓库大屏大屏四周包边</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1</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FF0000"/>
                <w:sz w:val="20"/>
                <w:szCs w:val="20"/>
                <w:highlight w:val="yellow"/>
              </w:rPr>
            </w:pPr>
            <w:r>
              <w:rPr>
                <w:rFonts w:hint="eastAsia" w:ascii="仿宋" w:hAnsi="仿宋" w:eastAsia="仿宋" w:cs="仿宋"/>
                <w:color w:val="FF0000"/>
                <w:sz w:val="20"/>
                <w:szCs w:val="20"/>
                <w:highlight w:val="yellow"/>
              </w:rPr>
              <w:t>8-7</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仓库大屏配套螺丝，卡扣，角件等</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FF0000"/>
                <w:kern w:val="0"/>
                <w:sz w:val="20"/>
                <w:szCs w:val="20"/>
                <w:highlight w:val="yellow"/>
                <w:lang w:bidi="ar"/>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FF0000"/>
                <w:kern w:val="0"/>
                <w:sz w:val="20"/>
                <w:szCs w:val="20"/>
                <w:highlight w:val="yellow"/>
                <w:lang w:bidi="ar"/>
              </w:rPr>
            </w:pPr>
            <w:r>
              <w:rPr>
                <w:rFonts w:hint="eastAsia" w:ascii="仿宋" w:hAnsi="仿宋" w:eastAsia="仿宋" w:cs="仿宋"/>
                <w:color w:val="FF0000"/>
                <w:kern w:val="0"/>
                <w:sz w:val="20"/>
                <w:szCs w:val="20"/>
                <w:highlight w:val="yellow"/>
                <w:lang w:bidi="ar"/>
              </w:rPr>
              <w:t>1</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9</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总装线大屏安装调试费：</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hAnsi="仿宋" w:eastAsia="仿宋" w:cs="仿宋"/>
                <w:color w:val="000000"/>
                <w:sz w:val="20"/>
                <w:szCs w:val="20"/>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元/m</w:t>
            </w:r>
            <w:r>
              <w:rPr>
                <w:rFonts w:hint="eastAsia" w:ascii="宋体" w:hAnsi="宋体" w:eastAsia="宋体" w:cs="宋体"/>
                <w:color w:val="000000"/>
                <w:kern w:val="0"/>
                <w:sz w:val="20"/>
                <w:szCs w:val="20"/>
                <w:lang w:bidi="ar"/>
              </w:rPr>
              <w:t>²</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10</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10</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车身线大屏安装调试费：</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hAnsi="仿宋" w:eastAsia="仿宋" w:cs="仿宋"/>
                <w:color w:val="000000"/>
                <w:sz w:val="20"/>
                <w:szCs w:val="20"/>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元/m</w:t>
            </w:r>
            <w:r>
              <w:rPr>
                <w:rFonts w:hint="eastAsia" w:ascii="宋体" w:hAnsi="宋体" w:eastAsia="宋体" w:cs="宋体"/>
                <w:color w:val="000000"/>
                <w:kern w:val="0"/>
                <w:sz w:val="20"/>
                <w:szCs w:val="20"/>
                <w:lang w:bidi="ar"/>
              </w:rPr>
              <w:t>²</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10</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11</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仓库大屏安装调试费：</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hAnsi="仿宋" w:eastAsia="仿宋" w:cs="仿宋"/>
                <w:color w:val="000000"/>
                <w:sz w:val="20"/>
                <w:szCs w:val="20"/>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元/m</w:t>
            </w:r>
            <w:r>
              <w:rPr>
                <w:rFonts w:hint="eastAsia" w:ascii="宋体" w:hAnsi="宋体" w:eastAsia="宋体" w:cs="宋体"/>
                <w:color w:val="000000"/>
                <w:kern w:val="0"/>
                <w:sz w:val="20"/>
                <w:szCs w:val="20"/>
                <w:lang w:bidi="ar"/>
              </w:rPr>
              <w:t>²</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4</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12</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光纤</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6芯单模</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m</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640</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13-1</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光纤收发器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1光4电</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2</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13-2</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光纤收发器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1发1收</w:t>
            </w: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对</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14</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光纤熔接</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hAnsi="仿宋" w:eastAsia="仿宋" w:cs="仿宋"/>
                <w:color w:val="000000"/>
                <w:sz w:val="20"/>
                <w:szCs w:val="20"/>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r>
      <w:tr>
        <w:tblPrEx>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15</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布线费用</w:t>
            </w:r>
          </w:p>
        </w:tc>
        <w:tc>
          <w:tcPr>
            <w:tcW w:w="3859"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hAnsi="仿宋" w:eastAsia="仿宋" w:cs="仿宋"/>
                <w:color w:val="000000"/>
                <w:sz w:val="20"/>
                <w:szCs w:val="20"/>
              </w:rPr>
            </w:pPr>
          </w:p>
        </w:tc>
        <w:tc>
          <w:tcPr>
            <w:tcW w:w="1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宗</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r>
      <w:tr>
        <w:tblPrEx>
          <w:tblCellMar>
            <w:top w:w="0" w:type="dxa"/>
            <w:left w:w="108" w:type="dxa"/>
            <w:bottom w:w="0" w:type="dxa"/>
            <w:right w:w="108" w:type="dxa"/>
          </w:tblCellMar>
        </w:tblPrEx>
        <w:trPr>
          <w:trHeight w:val="260" w:hRule="atLeast"/>
        </w:trPr>
        <w:tc>
          <w:tcPr>
            <w:tcW w:w="3600" w:type="dxa"/>
            <w:gridSpan w:val="2"/>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安装地点/ 服务对象</w:t>
            </w:r>
          </w:p>
        </w:tc>
        <w:tc>
          <w:tcPr>
            <w:tcW w:w="5847" w:type="dxa"/>
            <w:gridSpan w:val="3"/>
            <w:tcBorders>
              <w:top w:val="single" w:color="000000" w:sz="4" w:space="0"/>
              <w:left w:val="single" w:color="000000" w:sz="4" w:space="0"/>
              <w:bottom w:val="single" w:color="000000" w:sz="4" w:space="0"/>
              <w:right w:val="single" w:color="000000" w:sz="8" w:space="0"/>
            </w:tcBorders>
            <w:noWrap/>
            <w:vAlign w:val="center"/>
          </w:tcPr>
          <w:p>
            <w:pPr>
              <w:jc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中国重汽集团济南特种车有限公司总装线、车身线、物流仓库</w:t>
            </w:r>
          </w:p>
        </w:tc>
      </w:tr>
      <w:tr>
        <w:tblPrEx>
          <w:tblCellMar>
            <w:top w:w="0" w:type="dxa"/>
            <w:left w:w="108" w:type="dxa"/>
            <w:bottom w:w="0" w:type="dxa"/>
            <w:right w:w="108" w:type="dxa"/>
          </w:tblCellMar>
        </w:tblPrEx>
        <w:trPr>
          <w:trHeight w:val="260" w:hRule="atLeast"/>
        </w:trPr>
        <w:tc>
          <w:tcPr>
            <w:tcW w:w="3600" w:type="dxa"/>
            <w:gridSpan w:val="2"/>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供货方式</w:t>
            </w:r>
          </w:p>
        </w:tc>
        <w:tc>
          <w:tcPr>
            <w:tcW w:w="5847" w:type="dxa"/>
            <w:gridSpan w:val="3"/>
            <w:tcBorders>
              <w:top w:val="single" w:color="000000" w:sz="4" w:space="0"/>
              <w:left w:val="single" w:color="000000" w:sz="4" w:space="0"/>
              <w:bottom w:val="single" w:color="000000" w:sz="4" w:space="0"/>
              <w:right w:val="single" w:color="000000" w:sz="8" w:space="0"/>
            </w:tcBorders>
            <w:noWrap/>
            <w:vAlign w:val="center"/>
          </w:tcPr>
          <w:p>
            <w:pPr>
              <w:jc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交钥匙方式</w:t>
            </w:r>
          </w:p>
        </w:tc>
      </w:tr>
      <w:tr>
        <w:tblPrEx>
          <w:tblCellMar>
            <w:top w:w="0" w:type="dxa"/>
            <w:left w:w="108" w:type="dxa"/>
            <w:bottom w:w="0" w:type="dxa"/>
            <w:right w:w="108" w:type="dxa"/>
          </w:tblCellMar>
        </w:tblPrEx>
        <w:trPr>
          <w:trHeight w:val="260" w:hRule="atLeast"/>
        </w:trPr>
        <w:tc>
          <w:tcPr>
            <w:tcW w:w="3600" w:type="dxa"/>
            <w:gridSpan w:val="2"/>
            <w:tcBorders>
              <w:top w:val="single" w:color="000000" w:sz="4" w:space="0"/>
              <w:left w:val="single" w:color="000000" w:sz="8" w:space="0"/>
              <w:bottom w:val="single" w:color="000000" w:sz="8" w:space="0"/>
              <w:right w:val="single" w:color="000000" w:sz="4" w:space="0"/>
            </w:tcBorders>
            <w:noWrap/>
            <w:vAlign w:val="center"/>
          </w:tcPr>
          <w:p>
            <w:pPr>
              <w:widowControl/>
              <w:jc w:val="center"/>
              <w:textAlignment w:val="center"/>
              <w:rPr>
                <w:rFonts w:hint="eastAsia" w:ascii="仿宋" w:hAnsi="仿宋" w:eastAsia="仿宋" w:cs="仿宋"/>
                <w:b/>
                <w:bCs/>
                <w:color w:val="000000"/>
                <w:kern w:val="0"/>
                <w:sz w:val="20"/>
                <w:szCs w:val="20"/>
                <w:lang w:bidi="ar"/>
              </w:rPr>
            </w:pPr>
            <w:r>
              <w:rPr>
                <w:rFonts w:hint="eastAsia" w:ascii="仿宋" w:hAnsi="仿宋" w:eastAsia="仿宋" w:cs="仿宋"/>
                <w:b/>
                <w:bCs/>
                <w:color w:val="000000"/>
                <w:kern w:val="0"/>
                <w:sz w:val="20"/>
                <w:szCs w:val="20"/>
                <w:lang w:bidi="ar"/>
              </w:rPr>
              <w:t>配套服务要求</w:t>
            </w:r>
          </w:p>
        </w:tc>
        <w:tc>
          <w:tcPr>
            <w:tcW w:w="5847" w:type="dxa"/>
            <w:gridSpan w:val="3"/>
            <w:tcBorders>
              <w:top w:val="single" w:color="000000" w:sz="4" w:space="0"/>
              <w:left w:val="single" w:color="000000" w:sz="4" w:space="0"/>
              <w:bottom w:val="single" w:color="000000" w:sz="8" w:space="0"/>
              <w:right w:val="single" w:color="000000" w:sz="8" w:space="0"/>
            </w:tcBorders>
            <w:noWrap/>
            <w:vAlign w:val="center"/>
          </w:tcPr>
          <w:p>
            <w:pPr>
              <w:jc w:val="center"/>
              <w:rPr>
                <w:rFonts w:hint="eastAsia" w:ascii="仿宋" w:hAnsi="仿宋" w:eastAsia="仿宋" w:cs="仿宋"/>
                <w:b/>
                <w:bCs/>
                <w:color w:val="000000"/>
                <w:kern w:val="0"/>
                <w:sz w:val="20"/>
                <w:szCs w:val="20"/>
                <w:lang w:bidi="ar"/>
              </w:rPr>
            </w:pPr>
            <w:r>
              <w:rPr>
                <w:rFonts w:hint="eastAsia" w:ascii="仿宋" w:hAnsi="仿宋" w:eastAsia="仿宋" w:cs="仿宋"/>
                <w:b/>
                <w:bCs/>
                <w:color w:val="000000"/>
                <w:kern w:val="0"/>
                <w:sz w:val="20"/>
                <w:szCs w:val="20"/>
                <w:lang w:bidi="ar"/>
              </w:rPr>
              <w:t>满足</w:t>
            </w:r>
            <w:r>
              <w:rPr>
                <w:rFonts w:hint="eastAsia" w:ascii="仿宋" w:hAnsi="仿宋" w:eastAsia="仿宋" w:cs="仿宋"/>
                <w:b/>
                <w:bCs/>
                <w:color w:val="FF0000"/>
                <w:kern w:val="0"/>
                <w:sz w:val="20"/>
                <w:szCs w:val="20"/>
                <w:highlight w:val="yellow"/>
                <w:lang w:bidi="ar"/>
              </w:rPr>
              <w:t>招标方</w:t>
            </w:r>
            <w:r>
              <w:rPr>
                <w:rFonts w:hint="eastAsia" w:ascii="仿宋" w:hAnsi="仿宋" w:eastAsia="仿宋" w:cs="仿宋"/>
                <w:b/>
                <w:bCs/>
                <w:color w:val="000000"/>
                <w:kern w:val="0"/>
                <w:sz w:val="20"/>
                <w:szCs w:val="20"/>
                <w:lang w:bidi="ar"/>
              </w:rPr>
              <w:t>施工要求；大屏钢结构可靠牢固，采用吊装方式安装于总装线、车身线、仓库上方</w:t>
            </w:r>
            <w:r>
              <w:rPr>
                <w:rFonts w:hint="eastAsia" w:ascii="仿宋" w:hAnsi="仿宋" w:eastAsia="仿宋" w:cs="仿宋"/>
                <w:b/>
                <w:bCs/>
                <w:color w:val="FF0000"/>
                <w:kern w:val="0"/>
                <w:sz w:val="20"/>
                <w:szCs w:val="20"/>
                <w:highlight w:val="yellow"/>
                <w:lang w:bidi="ar"/>
              </w:rPr>
              <w:t>屏体框架下沿</w:t>
            </w:r>
            <w:r>
              <w:rPr>
                <w:rFonts w:hint="eastAsia" w:ascii="仿宋" w:hAnsi="仿宋" w:eastAsia="仿宋" w:cs="仿宋"/>
                <w:b/>
                <w:bCs/>
                <w:color w:val="000000"/>
                <w:kern w:val="0"/>
                <w:sz w:val="20"/>
                <w:szCs w:val="20"/>
                <w:lang w:bidi="ar"/>
              </w:rPr>
              <w:t>距地面5米左右处，上方固定点不得破坏建筑主体，</w:t>
            </w:r>
            <w:r>
              <w:rPr>
                <w:rFonts w:hint="eastAsia" w:ascii="仿宋" w:hAnsi="仿宋" w:eastAsia="仿宋" w:cs="仿宋"/>
                <w:b/>
                <w:bCs/>
                <w:color w:val="FF0000"/>
                <w:kern w:val="0"/>
                <w:sz w:val="20"/>
                <w:szCs w:val="20"/>
                <w:highlight w:val="yellow"/>
                <w:lang w:bidi="ar"/>
              </w:rPr>
              <w:t>固定点采用定制夹持器与房梁固定，避免在房梁钻孔造成结构不稳</w:t>
            </w:r>
            <w:r>
              <w:rPr>
                <w:rFonts w:hint="eastAsia" w:ascii="仿宋" w:hAnsi="仿宋" w:eastAsia="仿宋" w:cs="仿宋"/>
                <w:b/>
                <w:bCs/>
                <w:color w:val="000000"/>
                <w:kern w:val="0"/>
                <w:sz w:val="20"/>
                <w:szCs w:val="20"/>
                <w:lang w:bidi="ar"/>
              </w:rPr>
              <w:t>。取电采用就近取电。总装线、车身线大屏控制线路接至北办公楼一楼制造部会议室内，仓库大屏控制端线路接至载信物流仓库北门办公室内。</w:t>
            </w:r>
            <w:r>
              <w:rPr>
                <w:rFonts w:hint="eastAsia" w:ascii="仿宋" w:hAnsi="仿宋" w:eastAsia="仿宋" w:cs="仿宋"/>
                <w:b/>
                <w:bCs/>
                <w:color w:val="FF0000"/>
                <w:kern w:val="0"/>
                <w:sz w:val="20"/>
                <w:szCs w:val="20"/>
                <w:highlight w:val="yellow"/>
                <w:lang w:bidi="ar"/>
              </w:rPr>
              <w:t>投标方负责所安装大屏的通电调试。</w:t>
            </w:r>
          </w:p>
        </w:tc>
      </w:tr>
    </w:tbl>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备注：本表作为投标方编制投标技术文件的一般格式。表中应当尽可能将配置列全、列细，这将有助于投标方胜出。</w:t>
      </w:r>
    </w:p>
    <w:p>
      <w:pPr>
        <w:adjustRightInd w:val="0"/>
        <w:snapToGrid w:val="0"/>
        <w:spacing w:line="420" w:lineRule="exact"/>
        <w:ind w:firstLine="1890" w:firstLineChars="900"/>
        <w:rPr>
          <w:rFonts w:hint="eastAsia" w:ascii="仿宋" w:hAnsi="仿宋" w:eastAsia="仿宋" w:cs="仿宋"/>
        </w:rPr>
      </w:pPr>
      <w:r>
        <w:rPr>
          <w:rFonts w:hint="eastAsia" w:ascii="仿宋" w:hAnsi="仿宋" w:eastAsia="仿宋" w:cs="仿宋"/>
        </w:rPr>
        <w:t>备品备件、易损件和专用耗材明细表            单位：元</w:t>
      </w:r>
    </w:p>
    <w:tbl>
      <w:tblPr>
        <w:tblStyle w:val="35"/>
        <w:tblpPr w:leftFromText="180" w:rightFromText="180" w:vertAnchor="text" w:horzAnchor="page" w:tblpXSpec="center" w:tblpY="423"/>
        <w:tblOverlap w:val="never"/>
        <w:tblW w:w="9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hint="eastAsia" w:ascii="仿宋" w:hAnsi="仿宋" w:eastAsia="仿宋" w:cs="仿宋"/>
              </w:rPr>
            </w:pPr>
            <w:r>
              <w:rPr>
                <w:rFonts w:hint="eastAsia" w:ascii="仿宋" w:hAnsi="仿宋" w:eastAsia="仿宋" w:cs="仿宋"/>
              </w:rPr>
              <w:t>序号</w:t>
            </w:r>
          </w:p>
        </w:tc>
        <w:tc>
          <w:tcPr>
            <w:tcW w:w="1924" w:type="dxa"/>
          </w:tcPr>
          <w:p>
            <w:pPr>
              <w:adjustRightInd w:val="0"/>
              <w:snapToGrid w:val="0"/>
              <w:spacing w:line="360" w:lineRule="exact"/>
              <w:jc w:val="center"/>
              <w:rPr>
                <w:rFonts w:hint="eastAsia" w:ascii="仿宋" w:hAnsi="仿宋" w:eastAsia="仿宋" w:cs="仿宋"/>
              </w:rPr>
            </w:pPr>
            <w:r>
              <w:rPr>
                <w:rFonts w:hint="eastAsia" w:ascii="仿宋" w:hAnsi="仿宋" w:eastAsia="仿宋" w:cs="仿宋"/>
              </w:rPr>
              <w:t>名称</w:t>
            </w:r>
          </w:p>
        </w:tc>
        <w:tc>
          <w:tcPr>
            <w:tcW w:w="1236" w:type="dxa"/>
          </w:tcPr>
          <w:p>
            <w:pPr>
              <w:adjustRightInd w:val="0"/>
              <w:snapToGrid w:val="0"/>
              <w:spacing w:line="360" w:lineRule="exact"/>
              <w:jc w:val="center"/>
              <w:rPr>
                <w:rFonts w:hint="eastAsia" w:ascii="仿宋" w:hAnsi="仿宋" w:eastAsia="仿宋" w:cs="仿宋"/>
              </w:rPr>
            </w:pPr>
            <w:r>
              <w:rPr>
                <w:rFonts w:hint="eastAsia" w:ascii="仿宋" w:hAnsi="仿宋" w:eastAsia="仿宋" w:cs="仿宋"/>
              </w:rPr>
              <w:t>型号规格</w:t>
            </w:r>
          </w:p>
        </w:tc>
        <w:tc>
          <w:tcPr>
            <w:tcW w:w="720" w:type="dxa"/>
          </w:tcPr>
          <w:p>
            <w:pPr>
              <w:adjustRightInd w:val="0"/>
              <w:snapToGrid w:val="0"/>
              <w:spacing w:line="360" w:lineRule="exact"/>
              <w:jc w:val="center"/>
              <w:rPr>
                <w:rFonts w:hint="eastAsia" w:ascii="仿宋" w:hAnsi="仿宋" w:eastAsia="仿宋" w:cs="仿宋"/>
              </w:rPr>
            </w:pPr>
            <w:r>
              <w:rPr>
                <w:rFonts w:hint="eastAsia" w:ascii="仿宋" w:hAnsi="仿宋" w:eastAsia="仿宋" w:cs="仿宋"/>
              </w:rPr>
              <w:t>单位</w:t>
            </w:r>
          </w:p>
        </w:tc>
        <w:tc>
          <w:tcPr>
            <w:tcW w:w="720" w:type="dxa"/>
          </w:tcPr>
          <w:p>
            <w:pPr>
              <w:adjustRightInd w:val="0"/>
              <w:snapToGrid w:val="0"/>
              <w:spacing w:line="360" w:lineRule="exact"/>
              <w:jc w:val="center"/>
              <w:rPr>
                <w:rFonts w:hint="eastAsia" w:ascii="仿宋" w:hAnsi="仿宋" w:eastAsia="仿宋" w:cs="仿宋"/>
              </w:rPr>
            </w:pPr>
            <w:r>
              <w:rPr>
                <w:rFonts w:hint="eastAsia" w:ascii="仿宋" w:hAnsi="仿宋" w:eastAsia="仿宋" w:cs="仿宋"/>
              </w:rPr>
              <w:t>数量</w:t>
            </w:r>
          </w:p>
        </w:tc>
        <w:tc>
          <w:tcPr>
            <w:tcW w:w="720" w:type="dxa"/>
          </w:tcPr>
          <w:p>
            <w:pPr>
              <w:adjustRightInd w:val="0"/>
              <w:snapToGrid w:val="0"/>
              <w:spacing w:line="360" w:lineRule="exact"/>
              <w:jc w:val="center"/>
              <w:rPr>
                <w:rFonts w:hint="eastAsia" w:ascii="仿宋" w:hAnsi="仿宋" w:eastAsia="仿宋" w:cs="仿宋"/>
              </w:rPr>
            </w:pPr>
            <w:r>
              <w:rPr>
                <w:rFonts w:hint="eastAsia" w:ascii="仿宋" w:hAnsi="仿宋" w:eastAsia="仿宋" w:cs="仿宋"/>
              </w:rPr>
              <w:t>单价</w:t>
            </w:r>
          </w:p>
        </w:tc>
        <w:tc>
          <w:tcPr>
            <w:tcW w:w="720" w:type="dxa"/>
          </w:tcPr>
          <w:p>
            <w:pPr>
              <w:adjustRightInd w:val="0"/>
              <w:snapToGrid w:val="0"/>
              <w:spacing w:line="360" w:lineRule="exact"/>
              <w:jc w:val="center"/>
              <w:rPr>
                <w:rFonts w:hint="eastAsia" w:ascii="仿宋" w:hAnsi="仿宋" w:eastAsia="仿宋" w:cs="仿宋"/>
              </w:rPr>
            </w:pPr>
            <w:r>
              <w:rPr>
                <w:rFonts w:hint="eastAsia" w:ascii="仿宋" w:hAnsi="仿宋" w:eastAsia="仿宋" w:cs="仿宋"/>
              </w:rPr>
              <w:t>总价</w:t>
            </w:r>
          </w:p>
        </w:tc>
        <w:tc>
          <w:tcPr>
            <w:tcW w:w="2235" w:type="dxa"/>
          </w:tcPr>
          <w:p>
            <w:pPr>
              <w:adjustRightInd w:val="0"/>
              <w:snapToGrid w:val="0"/>
              <w:spacing w:line="360" w:lineRule="exact"/>
              <w:jc w:val="center"/>
              <w:rPr>
                <w:rFonts w:hint="eastAsia" w:ascii="仿宋" w:hAnsi="仿宋" w:eastAsia="仿宋" w:cs="仿宋"/>
              </w:rPr>
            </w:pPr>
            <w:r>
              <w:rPr>
                <w:rFonts w:hint="eastAsia" w:ascii="仿宋" w:hAnsi="仿宋" w:eastAsia="仿宋" w:cs="仿宋"/>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hint="eastAsia" w:ascii="仿宋" w:hAnsi="仿宋" w:eastAsia="仿宋" w:cs="仿宋"/>
              </w:rPr>
            </w:pPr>
            <w:r>
              <w:rPr>
                <w:rFonts w:hint="eastAsia" w:ascii="仿宋" w:hAnsi="仿宋" w:eastAsia="仿宋" w:cs="仿宋"/>
              </w:rPr>
              <w:t>1</w:t>
            </w:r>
          </w:p>
        </w:tc>
        <w:tc>
          <w:tcPr>
            <w:tcW w:w="1924" w:type="dxa"/>
          </w:tcPr>
          <w:p>
            <w:pPr>
              <w:adjustRightInd w:val="0"/>
              <w:snapToGrid w:val="0"/>
              <w:spacing w:line="360" w:lineRule="exact"/>
              <w:rPr>
                <w:rFonts w:hint="eastAsia" w:ascii="仿宋" w:hAnsi="仿宋" w:eastAsia="仿宋" w:cs="仿宋"/>
              </w:rPr>
            </w:pPr>
          </w:p>
        </w:tc>
        <w:tc>
          <w:tcPr>
            <w:tcW w:w="1236" w:type="dxa"/>
          </w:tcPr>
          <w:p>
            <w:pPr>
              <w:adjustRightInd w:val="0"/>
              <w:snapToGrid w:val="0"/>
              <w:spacing w:line="360" w:lineRule="exact"/>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2235" w:type="dxa"/>
          </w:tcPr>
          <w:p>
            <w:pPr>
              <w:adjustRightInd w:val="0"/>
              <w:snapToGrid w:val="0"/>
              <w:spacing w:line="36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hint="eastAsia" w:ascii="仿宋" w:hAnsi="仿宋" w:eastAsia="仿宋" w:cs="仿宋"/>
              </w:rPr>
            </w:pPr>
            <w:r>
              <w:rPr>
                <w:rFonts w:hint="eastAsia" w:ascii="仿宋" w:hAnsi="仿宋" w:eastAsia="仿宋" w:cs="仿宋"/>
              </w:rPr>
              <w:t>2</w:t>
            </w:r>
          </w:p>
        </w:tc>
        <w:tc>
          <w:tcPr>
            <w:tcW w:w="1924" w:type="dxa"/>
          </w:tcPr>
          <w:p>
            <w:pPr>
              <w:adjustRightInd w:val="0"/>
              <w:snapToGrid w:val="0"/>
              <w:spacing w:line="360" w:lineRule="exact"/>
              <w:rPr>
                <w:rFonts w:hint="eastAsia" w:ascii="仿宋" w:hAnsi="仿宋" w:eastAsia="仿宋" w:cs="仿宋"/>
              </w:rPr>
            </w:pPr>
          </w:p>
        </w:tc>
        <w:tc>
          <w:tcPr>
            <w:tcW w:w="1236" w:type="dxa"/>
          </w:tcPr>
          <w:p>
            <w:pPr>
              <w:adjustRightInd w:val="0"/>
              <w:snapToGrid w:val="0"/>
              <w:spacing w:line="360" w:lineRule="exact"/>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2235" w:type="dxa"/>
          </w:tcPr>
          <w:p>
            <w:pPr>
              <w:adjustRightInd w:val="0"/>
              <w:snapToGrid w:val="0"/>
              <w:spacing w:line="36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hint="eastAsia" w:ascii="仿宋" w:hAnsi="仿宋" w:eastAsia="仿宋" w:cs="仿宋"/>
              </w:rPr>
            </w:pPr>
            <w:r>
              <w:rPr>
                <w:rFonts w:hint="eastAsia" w:ascii="仿宋" w:hAnsi="仿宋" w:eastAsia="仿宋" w:cs="仿宋"/>
              </w:rPr>
              <w:t>3</w:t>
            </w:r>
          </w:p>
        </w:tc>
        <w:tc>
          <w:tcPr>
            <w:tcW w:w="1924" w:type="dxa"/>
          </w:tcPr>
          <w:p>
            <w:pPr>
              <w:adjustRightInd w:val="0"/>
              <w:snapToGrid w:val="0"/>
              <w:spacing w:line="360" w:lineRule="exact"/>
              <w:rPr>
                <w:rFonts w:hint="eastAsia" w:ascii="仿宋" w:hAnsi="仿宋" w:eastAsia="仿宋" w:cs="仿宋"/>
              </w:rPr>
            </w:pPr>
          </w:p>
        </w:tc>
        <w:tc>
          <w:tcPr>
            <w:tcW w:w="1236" w:type="dxa"/>
          </w:tcPr>
          <w:p>
            <w:pPr>
              <w:adjustRightInd w:val="0"/>
              <w:snapToGrid w:val="0"/>
              <w:spacing w:line="360" w:lineRule="exact"/>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2235" w:type="dxa"/>
          </w:tcPr>
          <w:p>
            <w:pPr>
              <w:adjustRightInd w:val="0"/>
              <w:snapToGrid w:val="0"/>
              <w:spacing w:line="36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hint="eastAsia" w:ascii="仿宋" w:hAnsi="仿宋" w:eastAsia="仿宋" w:cs="仿宋"/>
              </w:rPr>
            </w:pPr>
            <w:r>
              <w:rPr>
                <w:rFonts w:hint="eastAsia" w:ascii="仿宋" w:hAnsi="仿宋" w:eastAsia="仿宋" w:cs="仿宋"/>
              </w:rPr>
              <w:t>4</w:t>
            </w:r>
          </w:p>
        </w:tc>
        <w:tc>
          <w:tcPr>
            <w:tcW w:w="1924" w:type="dxa"/>
          </w:tcPr>
          <w:p>
            <w:pPr>
              <w:adjustRightInd w:val="0"/>
              <w:snapToGrid w:val="0"/>
              <w:spacing w:line="360" w:lineRule="exact"/>
              <w:rPr>
                <w:rFonts w:hint="eastAsia" w:ascii="仿宋" w:hAnsi="仿宋" w:eastAsia="仿宋" w:cs="仿宋"/>
              </w:rPr>
            </w:pPr>
          </w:p>
        </w:tc>
        <w:tc>
          <w:tcPr>
            <w:tcW w:w="1236" w:type="dxa"/>
          </w:tcPr>
          <w:p>
            <w:pPr>
              <w:adjustRightInd w:val="0"/>
              <w:snapToGrid w:val="0"/>
              <w:spacing w:line="360" w:lineRule="exact"/>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2235" w:type="dxa"/>
          </w:tcPr>
          <w:p>
            <w:pPr>
              <w:adjustRightInd w:val="0"/>
              <w:snapToGrid w:val="0"/>
              <w:spacing w:line="36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hint="eastAsia" w:ascii="仿宋" w:hAnsi="仿宋" w:eastAsia="仿宋" w:cs="仿宋"/>
              </w:rPr>
            </w:pPr>
            <w:r>
              <w:rPr>
                <w:rFonts w:hint="eastAsia" w:ascii="仿宋" w:hAnsi="仿宋" w:eastAsia="仿宋" w:cs="仿宋"/>
              </w:rPr>
              <w:t>5</w:t>
            </w:r>
          </w:p>
        </w:tc>
        <w:tc>
          <w:tcPr>
            <w:tcW w:w="1924" w:type="dxa"/>
          </w:tcPr>
          <w:p>
            <w:pPr>
              <w:adjustRightInd w:val="0"/>
              <w:snapToGrid w:val="0"/>
              <w:spacing w:line="360" w:lineRule="exact"/>
              <w:rPr>
                <w:rFonts w:hint="eastAsia" w:ascii="仿宋" w:hAnsi="仿宋" w:eastAsia="仿宋" w:cs="仿宋"/>
              </w:rPr>
            </w:pPr>
          </w:p>
        </w:tc>
        <w:tc>
          <w:tcPr>
            <w:tcW w:w="1236" w:type="dxa"/>
          </w:tcPr>
          <w:p>
            <w:pPr>
              <w:adjustRightInd w:val="0"/>
              <w:snapToGrid w:val="0"/>
              <w:spacing w:line="360" w:lineRule="exact"/>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2235" w:type="dxa"/>
          </w:tcPr>
          <w:p>
            <w:pPr>
              <w:adjustRightInd w:val="0"/>
              <w:snapToGrid w:val="0"/>
              <w:spacing w:line="36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hint="eastAsia" w:ascii="仿宋" w:hAnsi="仿宋" w:eastAsia="仿宋" w:cs="仿宋"/>
              </w:rPr>
            </w:pPr>
          </w:p>
        </w:tc>
        <w:tc>
          <w:tcPr>
            <w:tcW w:w="1924" w:type="dxa"/>
          </w:tcPr>
          <w:p>
            <w:pPr>
              <w:adjustRightInd w:val="0"/>
              <w:snapToGrid w:val="0"/>
              <w:spacing w:line="360" w:lineRule="exact"/>
              <w:rPr>
                <w:rFonts w:hint="eastAsia" w:ascii="仿宋" w:hAnsi="仿宋" w:eastAsia="仿宋" w:cs="仿宋"/>
              </w:rPr>
            </w:pPr>
          </w:p>
        </w:tc>
        <w:tc>
          <w:tcPr>
            <w:tcW w:w="1236" w:type="dxa"/>
          </w:tcPr>
          <w:p>
            <w:pPr>
              <w:adjustRightInd w:val="0"/>
              <w:snapToGrid w:val="0"/>
              <w:spacing w:line="360" w:lineRule="exact"/>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2235" w:type="dxa"/>
          </w:tcPr>
          <w:p>
            <w:pPr>
              <w:adjustRightInd w:val="0"/>
              <w:snapToGrid w:val="0"/>
              <w:spacing w:line="360" w:lineRule="exact"/>
              <w:rPr>
                <w:rFonts w:hint="eastAsia" w:ascii="仿宋" w:hAnsi="仿宋" w:eastAsia="仿宋" w:cs="仿宋"/>
              </w:rPr>
            </w:pPr>
          </w:p>
        </w:tc>
      </w:tr>
    </w:tbl>
    <w:p>
      <w:pPr>
        <w:pStyle w:val="16"/>
        <w:framePr w:wrap="around"/>
        <w:rPr>
          <w:rFonts w:hint="eastAsia"/>
        </w:rPr>
      </w:pP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6投标技术文件至少应对招标文件和本技术标书所提出的要求，将投标方认为难以满足的条款和要求，予以明确和详细的说明或澄清。</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7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8供货范围内的物品或服务，应当尽可能详细且分类填入配置表，其费用应当计入投标总报价之内。如果出现不一致的报价，将有可能导致废标。</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9除招标文件明确的验收标准或内容之外，投标方应当在投标文件中提供预验收（必要时）和终验收的标准以及规程，在合同签定之前，经投标方和招标方双方洽谈确认并签署，以作为验收标准执行。</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10带 ★ 号条款为否定项条款。</w:t>
      </w:r>
      <w:bookmarkStart w:id="1042" w:name="_Toc133783976"/>
    </w:p>
    <w:bookmarkEnd w:id="1042"/>
    <w:p>
      <w:pPr>
        <w:adjustRightInd w:val="0"/>
        <w:snapToGrid w:val="0"/>
        <w:spacing w:before="120" w:beforeLines="50" w:after="120" w:afterLines="50" w:line="360" w:lineRule="auto"/>
        <w:jc w:val="center"/>
        <w:outlineLvl w:val="0"/>
        <w:rPr>
          <w:rFonts w:hint="eastAsia" w:ascii="仿宋" w:hAnsi="仿宋" w:eastAsia="仿宋" w:cs="仿宋"/>
          <w:b/>
          <w:bCs/>
        </w:rPr>
      </w:pPr>
      <w:bookmarkStart w:id="1043" w:name="_Toc10484"/>
      <w:bookmarkStart w:id="1044" w:name="_Toc2783"/>
      <w:bookmarkStart w:id="1045" w:name="_Toc19821"/>
      <w:bookmarkStart w:id="1046" w:name="_Toc7541"/>
      <w:bookmarkStart w:id="1047" w:name="_Toc25823"/>
      <w:bookmarkStart w:id="1048" w:name="_Toc10081"/>
      <w:bookmarkStart w:id="1049" w:name="_Toc1126"/>
      <w:bookmarkStart w:id="1050" w:name="_Toc4563"/>
      <w:bookmarkStart w:id="1051" w:name="_Toc17174"/>
      <w:bookmarkStart w:id="1052" w:name="_Toc919"/>
      <w:bookmarkStart w:id="1053" w:name="_Toc26559"/>
      <w:bookmarkStart w:id="1054" w:name="_Toc29369"/>
      <w:bookmarkStart w:id="1055" w:name="_Toc7423"/>
      <w:bookmarkStart w:id="1056" w:name="_Toc23538"/>
      <w:bookmarkStart w:id="1057" w:name="_Toc9954"/>
      <w:bookmarkStart w:id="1058" w:name="_Toc26481"/>
      <w:bookmarkStart w:id="1059" w:name="_Toc29655"/>
      <w:bookmarkStart w:id="1060" w:name="_Toc5380"/>
      <w:bookmarkStart w:id="1061" w:name="_Toc2151"/>
      <w:bookmarkStart w:id="1062" w:name="_Toc2341"/>
      <w:bookmarkStart w:id="1063" w:name="_Toc32403"/>
      <w:bookmarkStart w:id="1064" w:name="_Toc3256"/>
      <w:bookmarkStart w:id="1065" w:name="_Toc13666"/>
      <w:bookmarkStart w:id="1066" w:name="_Toc17045"/>
      <w:bookmarkStart w:id="1067" w:name="_Toc73112426"/>
      <w:bookmarkStart w:id="1068" w:name="_Toc11155"/>
      <w:bookmarkStart w:id="1069" w:name="_Toc15684"/>
      <w:bookmarkStart w:id="1070" w:name="_Toc623"/>
      <w:bookmarkStart w:id="1071" w:name="_Toc11416"/>
      <w:bookmarkStart w:id="1072" w:name="_Toc24651"/>
      <w:bookmarkStart w:id="1073" w:name="_Toc2177"/>
      <w:bookmarkStart w:id="1074" w:name="_Toc16301"/>
      <w:bookmarkStart w:id="1075" w:name="_Toc19119"/>
      <w:bookmarkStart w:id="1076" w:name="_Toc31830"/>
      <w:bookmarkStart w:id="1077" w:name="_Toc19444"/>
      <w:bookmarkStart w:id="1078" w:name="_Toc13350"/>
      <w:bookmarkStart w:id="1079" w:name="_Toc15645"/>
      <w:bookmarkStart w:id="1080" w:name="_Toc22743"/>
      <w:bookmarkStart w:id="1081" w:name="_Toc5153"/>
      <w:bookmarkStart w:id="1082" w:name="_Toc24401"/>
      <w:bookmarkStart w:id="1083" w:name="_Toc3744"/>
      <w:bookmarkStart w:id="1084" w:name="_Toc17463"/>
      <w:bookmarkStart w:id="1085" w:name="_Toc147"/>
      <w:bookmarkStart w:id="1086" w:name="_Toc671"/>
      <w:r>
        <w:rPr>
          <w:rFonts w:hint="eastAsia" w:ascii="仿宋" w:hAnsi="仿宋" w:eastAsia="仿宋" w:cs="仿宋"/>
          <w:b/>
          <w:bCs/>
        </w:rPr>
        <w:t>第七章其它要求</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pPr>
        <w:snapToGrid w:val="0"/>
        <w:spacing w:line="360" w:lineRule="auto"/>
        <w:ind w:left="480"/>
        <w:outlineLvl w:val="1"/>
        <w:rPr>
          <w:rFonts w:hint="eastAsia" w:ascii="仿宋" w:hAnsi="仿宋" w:eastAsia="仿宋" w:cs="仿宋"/>
          <w:b/>
          <w:bCs/>
        </w:rPr>
      </w:pPr>
      <w:bookmarkStart w:id="1087" w:name="_Toc32544"/>
      <w:bookmarkStart w:id="1088" w:name="_Toc21465"/>
      <w:bookmarkStart w:id="1089" w:name="_Toc12542"/>
      <w:bookmarkStart w:id="1090" w:name="_Toc29015"/>
      <w:bookmarkStart w:id="1091" w:name="_Toc16614"/>
      <w:bookmarkStart w:id="1092" w:name="_Toc17702"/>
      <w:bookmarkStart w:id="1093" w:name="_Toc25903"/>
      <w:bookmarkStart w:id="1094" w:name="_Toc16829"/>
      <w:bookmarkStart w:id="1095" w:name="_Toc15541"/>
      <w:bookmarkStart w:id="1096" w:name="_Toc18469"/>
      <w:bookmarkStart w:id="1097" w:name="_Toc24669"/>
      <w:bookmarkStart w:id="1098" w:name="_Toc28364"/>
      <w:bookmarkStart w:id="1099" w:name="_Toc11901"/>
      <w:bookmarkStart w:id="1100" w:name="_Toc14684"/>
      <w:bookmarkStart w:id="1101" w:name="_Toc13820"/>
      <w:bookmarkStart w:id="1102" w:name="_Toc24680"/>
      <w:bookmarkStart w:id="1103" w:name="_Toc15205"/>
      <w:bookmarkStart w:id="1104" w:name="_Toc11058"/>
      <w:bookmarkStart w:id="1105" w:name="_Toc24782"/>
      <w:bookmarkStart w:id="1106" w:name="_Toc14484"/>
      <w:bookmarkStart w:id="1107" w:name="_Toc26831"/>
      <w:bookmarkStart w:id="1108" w:name="_Toc4997"/>
      <w:bookmarkStart w:id="1109" w:name="_Toc31105"/>
      <w:bookmarkStart w:id="1110" w:name="_Toc22010"/>
      <w:bookmarkStart w:id="1111" w:name="_Toc16802"/>
      <w:bookmarkStart w:id="1112" w:name="_Toc27020"/>
      <w:bookmarkStart w:id="1113" w:name="_Toc2497"/>
      <w:bookmarkStart w:id="1114" w:name="_Toc30535"/>
      <w:bookmarkStart w:id="1115" w:name="_Toc27273"/>
      <w:bookmarkStart w:id="1116" w:name="_Toc32012"/>
      <w:bookmarkStart w:id="1117" w:name="_Toc17727"/>
      <w:bookmarkStart w:id="1118" w:name="_Toc20262"/>
      <w:bookmarkStart w:id="1119" w:name="_Toc29679"/>
      <w:bookmarkStart w:id="1120" w:name="_Toc24181"/>
      <w:bookmarkStart w:id="1121" w:name="_Toc32525"/>
      <w:bookmarkStart w:id="1122" w:name="_Toc32470"/>
      <w:bookmarkStart w:id="1123" w:name="_Toc17357"/>
      <w:bookmarkStart w:id="1124" w:name="_Toc12406"/>
      <w:bookmarkStart w:id="1125" w:name="_Toc5514"/>
      <w:bookmarkStart w:id="1126" w:name="_Toc17435"/>
      <w:bookmarkStart w:id="1127" w:name="_Toc73112427"/>
      <w:bookmarkStart w:id="1128" w:name="_Toc15256"/>
      <w:bookmarkStart w:id="1129" w:name="_Toc22430"/>
      <w:r>
        <w:rPr>
          <w:rFonts w:hint="eastAsia" w:ascii="仿宋" w:hAnsi="仿宋" w:eastAsia="仿宋" w:cs="仿宋"/>
          <w:b/>
          <w:bCs/>
        </w:rPr>
        <w:t>1特殊要求</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pPr>
        <w:pStyle w:val="19"/>
        <w:snapToGrid w:val="0"/>
        <w:spacing w:line="360" w:lineRule="auto"/>
        <w:ind w:firstLine="420" w:firstLineChars="200"/>
        <w:rPr>
          <w:rFonts w:hint="eastAsia" w:ascii="仿宋" w:hAnsi="仿宋" w:eastAsia="仿宋" w:cs="仿宋"/>
        </w:rPr>
      </w:pPr>
      <w:r>
        <w:rPr>
          <w:rFonts w:hint="eastAsia" w:ascii="仿宋" w:hAnsi="仿宋" w:eastAsia="仿宋" w:cs="仿宋"/>
        </w:rPr>
        <w:t>为保证本技术标书所列采购货物的质量以及先进性、可靠性、经济性和实用性，要求投标方在投标文件中，至少应具备以下资格证明文件或资料：</w:t>
      </w:r>
    </w:p>
    <w:p>
      <w:pPr>
        <w:snapToGrid w:val="0"/>
        <w:spacing w:line="360" w:lineRule="auto"/>
        <w:ind w:firstLine="420" w:firstLineChars="200"/>
        <w:rPr>
          <w:rFonts w:hint="eastAsia" w:ascii="仿宋" w:hAnsi="仿宋" w:eastAsia="仿宋" w:cs="仿宋"/>
        </w:rPr>
      </w:pPr>
      <w:r>
        <w:rPr>
          <w:rFonts w:hint="eastAsia" w:ascii="仿宋" w:hAnsi="仿宋" w:eastAsia="仿宋" w:cs="仿宋"/>
        </w:rPr>
        <w:t>1.1投标方应是通过有关资格认证的单位，因此应附有有效期内的资格认证证书，如：ISO9001、VDA6.1、QS9000等。</w:t>
      </w:r>
    </w:p>
    <w:p>
      <w:pPr>
        <w:snapToGrid w:val="0"/>
        <w:spacing w:line="360" w:lineRule="auto"/>
        <w:ind w:firstLine="420" w:firstLineChars="200"/>
        <w:rPr>
          <w:rFonts w:hint="eastAsia" w:ascii="仿宋" w:hAnsi="仿宋" w:eastAsia="仿宋" w:cs="仿宋"/>
        </w:rPr>
      </w:pPr>
      <w:r>
        <w:rPr>
          <w:rFonts w:hint="eastAsia" w:ascii="仿宋" w:hAnsi="仿宋" w:eastAsia="仿宋" w:cs="仿宋"/>
        </w:rPr>
        <w:t>1.2国产设备应附有采购货物（或设备）涉及的由“中国质量认证中心”颁发的《中国国家强制性产品认证证书》（CCC证书）。</w:t>
      </w:r>
    </w:p>
    <w:p>
      <w:pPr>
        <w:snapToGrid w:val="0"/>
        <w:spacing w:line="360" w:lineRule="auto"/>
        <w:ind w:firstLine="420" w:firstLineChars="200"/>
        <w:rPr>
          <w:rFonts w:hint="eastAsia" w:ascii="仿宋" w:hAnsi="仿宋" w:eastAsia="仿宋" w:cs="仿宋"/>
        </w:rPr>
      </w:pPr>
      <w:r>
        <w:rPr>
          <w:rFonts w:hint="eastAsia" w:ascii="仿宋" w:hAnsi="仿宋" w:eastAsia="仿宋" w:cs="仿宋"/>
        </w:rPr>
        <w:t>1.3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方应当保证其业绩的真实性，否则将影响投标或中标资格。</w:t>
      </w:r>
    </w:p>
    <w:p>
      <w:pPr>
        <w:snapToGrid w:val="0"/>
        <w:spacing w:line="360" w:lineRule="auto"/>
        <w:ind w:firstLine="420" w:firstLineChars="200"/>
        <w:rPr>
          <w:rFonts w:hint="eastAsia" w:ascii="仿宋" w:hAnsi="仿宋" w:eastAsia="仿宋" w:cs="仿宋"/>
        </w:rPr>
      </w:pPr>
      <w:r>
        <w:rPr>
          <w:rFonts w:hint="eastAsia" w:ascii="仿宋" w:hAnsi="仿宋" w:eastAsia="仿宋" w:cs="仿宋"/>
        </w:rPr>
        <w:t>1.4应附有其它与投标单位、采购货物有关的荣誉证书或资料。</w:t>
      </w:r>
    </w:p>
    <w:p>
      <w:pPr>
        <w:snapToGrid w:val="0"/>
        <w:spacing w:line="360" w:lineRule="auto"/>
        <w:ind w:firstLine="420" w:firstLineChars="200"/>
        <w:rPr>
          <w:rFonts w:hint="eastAsia" w:ascii="仿宋" w:hAnsi="仿宋" w:eastAsia="仿宋" w:cs="仿宋"/>
        </w:rPr>
      </w:pPr>
      <w:r>
        <w:rPr>
          <w:rFonts w:hint="eastAsia" w:ascii="仿宋" w:hAnsi="仿宋" w:eastAsia="仿宋" w:cs="仿宋"/>
        </w:rPr>
        <w:t>1.5应附有中国相关国家部委颁发的有效期之内所必需的《生产许可证》。</w:t>
      </w:r>
    </w:p>
    <w:p>
      <w:pPr>
        <w:snapToGrid w:val="0"/>
        <w:spacing w:line="360" w:lineRule="auto"/>
        <w:ind w:firstLine="420" w:firstLineChars="200"/>
        <w:rPr>
          <w:rFonts w:hint="eastAsia" w:ascii="仿宋" w:hAnsi="仿宋" w:eastAsia="仿宋" w:cs="仿宋"/>
        </w:rPr>
      </w:pPr>
      <w:r>
        <w:rPr>
          <w:rFonts w:hint="eastAsia" w:ascii="仿宋" w:hAnsi="仿宋" w:eastAsia="仿宋" w:cs="仿宋"/>
        </w:rPr>
        <w:t>1.6应附有必要的采购货物（或设备）的相关检验、试验报告，如：《型式试验的检验报告》、《产品鉴定证书》、《新技术成果证书》等。</w:t>
      </w:r>
    </w:p>
    <w:p>
      <w:pPr>
        <w:snapToGrid w:val="0"/>
        <w:spacing w:line="360" w:lineRule="auto"/>
        <w:ind w:firstLine="420" w:firstLineChars="200"/>
        <w:rPr>
          <w:rFonts w:hint="eastAsia" w:ascii="仿宋" w:hAnsi="仿宋" w:eastAsia="仿宋" w:cs="仿宋"/>
        </w:rPr>
      </w:pPr>
      <w:r>
        <w:rPr>
          <w:rFonts w:hint="eastAsia" w:ascii="仿宋" w:hAnsi="仿宋" w:eastAsia="仿宋" w:cs="仿宋"/>
        </w:rPr>
        <w:t>1.7投标方必须附有采购货物（或设备）涉及国家规定必须进行的检验、试验报告等。</w:t>
      </w:r>
    </w:p>
    <w:p>
      <w:pPr>
        <w:snapToGrid w:val="0"/>
        <w:spacing w:line="360" w:lineRule="auto"/>
        <w:ind w:firstLine="420" w:firstLineChars="200"/>
        <w:rPr>
          <w:rFonts w:hint="eastAsia" w:ascii="仿宋" w:hAnsi="仿宋" w:eastAsia="仿宋" w:cs="仿宋"/>
        </w:rPr>
      </w:pPr>
      <w:r>
        <w:rPr>
          <w:rFonts w:hint="eastAsia" w:ascii="仿宋" w:hAnsi="仿宋" w:eastAsia="仿宋" w:cs="仿宋"/>
        </w:rPr>
        <w:t>1.8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pPr>
        <w:snapToGrid w:val="0"/>
        <w:spacing w:line="360" w:lineRule="auto"/>
        <w:ind w:left="480"/>
        <w:outlineLvl w:val="1"/>
        <w:rPr>
          <w:rFonts w:hint="eastAsia" w:ascii="仿宋" w:hAnsi="仿宋" w:eastAsia="仿宋" w:cs="仿宋"/>
          <w:b/>
          <w:bCs/>
        </w:rPr>
      </w:pPr>
      <w:bookmarkStart w:id="1130" w:name="_Toc18745"/>
      <w:bookmarkStart w:id="1131" w:name="_Toc28700"/>
      <w:bookmarkStart w:id="1132" w:name="_Toc8864"/>
      <w:bookmarkStart w:id="1133" w:name="_Toc28380"/>
      <w:bookmarkStart w:id="1134" w:name="_Toc25498"/>
      <w:bookmarkStart w:id="1135" w:name="_Toc4243"/>
      <w:bookmarkStart w:id="1136" w:name="_Toc25028"/>
      <w:bookmarkStart w:id="1137" w:name="_Toc20830"/>
      <w:bookmarkStart w:id="1138" w:name="_Toc5504"/>
      <w:bookmarkStart w:id="1139" w:name="_Toc4278"/>
      <w:bookmarkStart w:id="1140" w:name="_Toc14956"/>
      <w:bookmarkStart w:id="1141" w:name="_Toc335"/>
      <w:bookmarkStart w:id="1142" w:name="_Toc3323"/>
      <w:bookmarkStart w:id="1143" w:name="_Toc18674"/>
      <w:bookmarkStart w:id="1144" w:name="_Toc21942"/>
      <w:bookmarkStart w:id="1145" w:name="_Toc20370"/>
      <w:bookmarkStart w:id="1146" w:name="_Toc24482"/>
      <w:bookmarkStart w:id="1147" w:name="_Toc11707"/>
      <w:bookmarkStart w:id="1148" w:name="_Toc26724"/>
      <w:bookmarkStart w:id="1149" w:name="_Toc73112429"/>
      <w:bookmarkStart w:id="1150" w:name="_Toc16457"/>
      <w:bookmarkStart w:id="1151" w:name="_Toc28718"/>
      <w:bookmarkStart w:id="1152" w:name="_Toc14052"/>
      <w:bookmarkStart w:id="1153" w:name="_Toc26307"/>
      <w:bookmarkStart w:id="1154" w:name="_Toc3821"/>
      <w:bookmarkStart w:id="1155" w:name="_Toc31389"/>
      <w:bookmarkStart w:id="1156" w:name="_Toc22763"/>
      <w:bookmarkStart w:id="1157" w:name="_Toc11255"/>
      <w:bookmarkStart w:id="1158" w:name="_Toc1823"/>
      <w:bookmarkStart w:id="1159" w:name="_Toc29954"/>
      <w:bookmarkStart w:id="1160" w:name="_Toc29233"/>
      <w:bookmarkStart w:id="1161" w:name="_Toc22893"/>
      <w:bookmarkStart w:id="1162" w:name="_Toc13497"/>
      <w:bookmarkStart w:id="1163" w:name="_Toc18370"/>
      <w:bookmarkStart w:id="1164" w:name="_Toc3658"/>
      <w:bookmarkStart w:id="1165" w:name="_Toc24176"/>
      <w:bookmarkStart w:id="1166" w:name="_Toc19315"/>
      <w:bookmarkStart w:id="1167" w:name="_Toc26626"/>
      <w:bookmarkStart w:id="1168" w:name="_Toc13528"/>
      <w:bookmarkStart w:id="1169" w:name="_Toc27894"/>
      <w:bookmarkStart w:id="1170" w:name="_Toc27164"/>
      <w:bookmarkStart w:id="1171" w:name="_Toc28267"/>
      <w:bookmarkStart w:id="1172" w:name="_Toc28559"/>
      <w:r>
        <w:rPr>
          <w:rFonts w:hint="eastAsia" w:ascii="仿宋" w:hAnsi="仿宋" w:eastAsia="仿宋" w:cs="仿宋"/>
          <w:b/>
          <w:bCs/>
        </w:rPr>
        <w:t>2说明</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pPr>
        <w:snapToGrid w:val="0"/>
        <w:spacing w:line="360" w:lineRule="auto"/>
        <w:ind w:firstLine="420" w:firstLineChars="200"/>
        <w:rPr>
          <w:rFonts w:hint="eastAsia" w:ascii="仿宋" w:hAnsi="仿宋" w:eastAsia="仿宋" w:cs="仿宋"/>
        </w:rPr>
      </w:pPr>
      <w:r>
        <w:rPr>
          <w:rFonts w:hint="eastAsia" w:ascii="仿宋" w:hAnsi="仿宋" w:eastAsia="仿宋" w:cs="仿宋"/>
        </w:rPr>
        <w:t>2.1投标方可以根据自身的技术、经验等优势以及对招标文件和本技术标书的理解，写明对招标方所采购货物的优化方案或建议意见。投标方的这些努力，招标方表示感谢，并将有助于投标方优先胜出。</w:t>
      </w:r>
    </w:p>
    <w:p>
      <w:pPr>
        <w:snapToGrid w:val="0"/>
        <w:spacing w:line="360" w:lineRule="auto"/>
        <w:ind w:firstLine="420" w:firstLineChars="200"/>
        <w:rPr>
          <w:rFonts w:hint="eastAsia" w:ascii="仿宋" w:hAnsi="仿宋" w:eastAsia="仿宋" w:cs="仿宋"/>
        </w:rPr>
      </w:pPr>
      <w:r>
        <w:rPr>
          <w:rFonts w:hint="eastAsia" w:ascii="仿宋" w:hAnsi="仿宋" w:eastAsia="仿宋" w:cs="仿宋"/>
        </w:rPr>
        <w:t>2.2即使有建议意见或建议方案，仍应依据招标文件和本技术标书要求，编写符合要求的投标文件。建议方案或建议意见，应以单独篇章或文件，予以说明。</w:t>
      </w:r>
    </w:p>
    <w:p>
      <w:pPr>
        <w:snapToGrid w:val="0"/>
        <w:spacing w:line="360" w:lineRule="auto"/>
        <w:ind w:firstLine="420" w:firstLineChars="200"/>
        <w:rPr>
          <w:rFonts w:hint="eastAsia" w:ascii="仿宋" w:hAnsi="仿宋" w:eastAsia="仿宋" w:cs="仿宋"/>
        </w:rPr>
      </w:pPr>
      <w:r>
        <w:rPr>
          <w:rFonts w:hint="eastAsia" w:ascii="仿宋" w:hAnsi="仿宋" w:eastAsia="仿宋" w:cs="仿宋"/>
        </w:rPr>
        <w:t>2.3请投标方仔细阅读“采购货物概况”章节内说明，针对允许分投分中的货物，招标方有权利选择其中优秀设备或服务，作为投标方合同供货范围中的指定选用设备或服务（替代投标方分投而未中标部分）。</w:t>
      </w:r>
    </w:p>
    <w:p>
      <w:pPr>
        <w:snapToGrid w:val="0"/>
        <w:spacing w:line="360" w:lineRule="auto"/>
        <w:ind w:firstLine="420" w:firstLineChars="200"/>
        <w:rPr>
          <w:rFonts w:hint="eastAsia" w:ascii="仿宋" w:hAnsi="仿宋" w:eastAsia="仿宋" w:cs="仿宋"/>
        </w:rPr>
      </w:pPr>
      <w:r>
        <w:rPr>
          <w:rFonts w:hint="eastAsia" w:ascii="仿宋" w:hAnsi="仿宋" w:eastAsia="仿宋" w:cs="仿宋"/>
        </w:rPr>
        <w:t>2.4招标文件、投标文件、答疑文件、技术交流文件、技术协议书等，在招标过程全部为有效文件，如有差异，以对招标方或买方最有利的条款为准。</w:t>
      </w:r>
    </w:p>
    <w:p>
      <w:pPr>
        <w:snapToGrid w:val="0"/>
        <w:spacing w:line="360" w:lineRule="auto"/>
        <w:ind w:firstLine="420" w:firstLineChars="200"/>
        <w:rPr>
          <w:rFonts w:hint="eastAsia" w:ascii="仿宋" w:hAnsi="仿宋" w:eastAsia="仿宋" w:cs="仿宋"/>
          <w:b/>
          <w:bCs/>
        </w:rPr>
      </w:pPr>
      <w:r>
        <w:rPr>
          <w:rFonts w:hint="eastAsia" w:ascii="仿宋" w:hAnsi="仿宋" w:eastAsia="仿宋" w:cs="仿宋"/>
        </w:rPr>
        <w:t>2.5本技术标书在“预验收和终验收”章节所列的招标方在合同签署后将成为买方，中标的投标方将成为卖方；为避免歧异，本技术标书在“预验收和终验收”之外的其它章节，均将潜在的卖方称为投标方、将买方称为招标方。</w:t>
      </w:r>
    </w:p>
    <w:p>
      <w:pPr>
        <w:jc w:val="center"/>
        <w:rPr>
          <w:rFonts w:ascii="Calibri" w:hAnsi="Calibri" w:eastAsia="宋体" w:cs="Times New Roman"/>
          <w:sz w:val="28"/>
          <w:szCs w:val="28"/>
        </w:rPr>
      </w:pPr>
    </w:p>
    <w:p>
      <w:pPr>
        <w:jc w:val="center"/>
        <w:rPr>
          <w:rFonts w:ascii="Calibri" w:hAnsi="Calibri" w:eastAsia="宋体" w:cs="Times New Roman"/>
          <w:sz w:val="28"/>
          <w:szCs w:val="28"/>
        </w:rPr>
        <w:sectPr>
          <w:headerReference r:id="rId11" w:type="default"/>
          <w:footerReference r:id="rId12" w:type="default"/>
          <w:pgSz w:w="11907" w:h="16840"/>
          <w:pgMar w:top="1304" w:right="1418" w:bottom="1304" w:left="1418" w:header="724" w:footer="851" w:gutter="0"/>
          <w:cols w:space="720" w:num="1"/>
          <w:docGrid w:linePitch="290" w:charSpace="-3931"/>
        </w:sectPr>
      </w:pPr>
    </w:p>
    <w:p>
      <w:pPr>
        <w:rPr>
          <w:rFonts w:hint="eastAsia" w:ascii="宋体" w:hAnsi="宋体" w:eastAsia="宋体" w:cs="Times New Roman"/>
          <w:b/>
          <w:sz w:val="36"/>
          <w:szCs w:val="36"/>
        </w:rPr>
      </w:pPr>
      <w:bookmarkStart w:id="1173" w:name="_Toc28859"/>
    </w:p>
    <w:p>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173"/>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spacing w:line="360" w:lineRule="auto"/>
        <w:jc w:val="right"/>
        <w:rPr>
          <w:rFonts w:hint="default" w:ascii="方正小标宋简体" w:hAnsi="方正小标宋简体" w:eastAsia="方正小标宋简体" w:cs="方正小标宋简体"/>
          <w:b/>
          <w:bCs/>
          <w:w w:val="90"/>
          <w:sz w:val="24"/>
          <w:szCs w:val="24"/>
          <w:u w:val="single"/>
          <w:lang w:val="en-US" w:eastAsia="zh-CN"/>
        </w:rPr>
      </w:pPr>
      <w:bookmarkStart w:id="1174" w:name="_Toc283814116"/>
      <w:bookmarkStart w:id="1175" w:name="_Toc29691"/>
      <w:r>
        <w:rPr>
          <w:rFonts w:hint="eastAsia" w:ascii="仿宋_GB2312" w:hAnsi="仿宋_GB2312" w:eastAsia="仿宋_GB2312" w:cs="仿宋_GB2312"/>
          <w:w w:val="90"/>
          <w:sz w:val="24"/>
          <w:szCs w:val="24"/>
          <w:lang w:val="en-US" w:eastAsia="zh-CN"/>
        </w:rPr>
        <w:t xml:space="preserve"> </w:t>
      </w:r>
    </w:p>
    <w:p>
      <w:pPr>
        <w:spacing w:line="360" w:lineRule="auto"/>
        <w:jc w:val="center"/>
        <w:rPr>
          <w:rFonts w:hint="eastAsia" w:ascii="方正小标宋简体" w:hAnsi="方正小标宋简体" w:eastAsia="方正小标宋简体" w:cs="方正小标宋简体"/>
          <w:w w:val="90"/>
          <w:sz w:val="44"/>
          <w:szCs w:val="44"/>
        </w:rPr>
      </w:pPr>
    </w:p>
    <w:p>
      <w:pPr>
        <w:spacing w:line="360" w:lineRule="auto"/>
        <w:jc w:val="center"/>
        <w:rPr>
          <w:rFonts w:hint="eastAsia" w:ascii="方正小标宋简体" w:hAnsi="方正小标宋简体" w:eastAsia="方正小标宋简体" w:cs="方正小标宋简体"/>
          <w:w w:val="90"/>
          <w:sz w:val="48"/>
          <w:szCs w:val="48"/>
        </w:rPr>
      </w:pPr>
    </w:p>
    <w:p>
      <w:pPr>
        <w:spacing w:line="360" w:lineRule="auto"/>
        <w:jc w:val="center"/>
        <w:rPr>
          <w:rFonts w:hint="eastAsia" w:ascii="方正小标宋简体" w:hAnsi="方正小标宋简体" w:eastAsia="方正小标宋简体" w:cs="方正小标宋简体"/>
          <w:w w:val="90"/>
          <w:sz w:val="48"/>
          <w:szCs w:val="48"/>
        </w:rPr>
      </w:pPr>
    </w:p>
    <w:p>
      <w:pPr>
        <w:spacing w:line="360" w:lineRule="auto"/>
        <w:jc w:val="center"/>
        <w:rPr>
          <w:rFonts w:hint="eastAsia" w:ascii="方正小标宋简体" w:hAnsi="方正小标宋简体" w:eastAsia="方正小标宋简体" w:cs="方正小标宋简体"/>
          <w:w w:val="90"/>
          <w:sz w:val="48"/>
          <w:szCs w:val="48"/>
        </w:rPr>
      </w:pPr>
    </w:p>
    <w:p>
      <w:pPr>
        <w:spacing w:line="360" w:lineRule="auto"/>
        <w:jc w:val="center"/>
        <w:rPr>
          <w:rFonts w:hint="eastAsia"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pPr>
        <w:spacing w:line="360" w:lineRule="auto"/>
        <w:jc w:val="center"/>
        <w:rPr>
          <w:rFonts w:hint="eastAsia" w:ascii="方正小标宋简体" w:hAnsi="方正小标宋简体" w:eastAsia="方正小标宋简体" w:cs="方正小标宋简体"/>
          <w:w w:val="90"/>
          <w:sz w:val="56"/>
          <w:szCs w:val="56"/>
          <w:lang w:eastAsia="zh-CN"/>
        </w:rPr>
      </w:pPr>
    </w:p>
    <w:p>
      <w:pPr>
        <w:spacing w:line="360" w:lineRule="auto"/>
        <w:jc w:val="center"/>
        <w:rPr>
          <w:rFonts w:hint="eastAsia" w:ascii="仿宋_GB2312" w:hAnsi="仿宋_GB2312" w:eastAsia="仿宋_GB2312" w:cs="仿宋_GB2312"/>
          <w:bCs/>
          <w:sz w:val="24"/>
          <w:szCs w:val="24"/>
        </w:rPr>
      </w:pPr>
    </w:p>
    <w:p>
      <w:pPr>
        <w:spacing w:line="360" w:lineRule="auto"/>
        <w:jc w:val="center"/>
        <w:rPr>
          <w:rFonts w:hint="eastAsia" w:ascii="仿宋_GB2312" w:hAnsi="仿宋_GB2312" w:eastAsia="仿宋_GB2312" w:cs="仿宋_GB2312"/>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
          <w:bCs w:val="0"/>
          <w:sz w:val="24"/>
          <w:szCs w:val="24"/>
          <w:u w:val="single"/>
        </w:rPr>
        <w:t>合同项目名称</w:t>
      </w: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footerReference r:id="rId13"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按****年**月形式据实填写</w:t>
      </w:r>
    </w:p>
    <w:p>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交货详细地址信息，除列明省市县/区外，</w:t>
      </w:r>
      <w:r>
        <w:rPr>
          <w:rFonts w:hint="eastAsia" w:ascii="仿宋_GB2312" w:eastAsia="仿宋_GB2312" w:hAnsiTheme="minorEastAsia" w:cstheme="minorEastAsia"/>
          <w:b/>
          <w:bCs/>
          <w:sz w:val="24"/>
          <w:szCs w:val="24"/>
          <w:u w:val="single"/>
          <w:lang w:val="en-US" w:eastAsia="zh-CN"/>
        </w:rPr>
        <w:t>应</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val="en-US" w:eastAsia="zh-CN"/>
        </w:rPr>
        <w:t>至不致产生歧义的</w:t>
      </w:r>
      <w:r>
        <w:rPr>
          <w:rFonts w:hint="eastAsia" w:ascii="仿宋_GB2312" w:eastAsia="仿宋_GB2312" w:hAnsiTheme="minorEastAsia" w:cstheme="minorEastAsia"/>
          <w:b/>
          <w:bCs/>
          <w:sz w:val="24"/>
          <w:szCs w:val="24"/>
          <w:u w:val="single"/>
        </w:rPr>
        <w:t>具体</w:t>
      </w:r>
      <w:r>
        <w:rPr>
          <w:rFonts w:hint="eastAsia" w:ascii="仿宋_GB2312" w:eastAsia="仿宋_GB2312" w:hAnsiTheme="minorEastAsia" w:cstheme="minorEastAsia"/>
          <w:b/>
          <w:bCs/>
          <w:sz w:val="24"/>
          <w:szCs w:val="24"/>
          <w:u w:val="single"/>
          <w:lang w:val="en-US" w:eastAsia="zh-CN"/>
        </w:rPr>
        <w:t>位置指向</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sz w:val="24"/>
          <w:szCs w:val="24"/>
        </w:rPr>
        <w:t xml:space="preserve">    </w:t>
      </w:r>
    </w:p>
    <w:p>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填写具体年月日。存在分批次到货情形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b/>
          <w:bCs/>
          <w:sz w:val="24"/>
          <w:szCs w:val="24"/>
          <w:u w:val="single"/>
          <w:lang w:eastAsia="zh-CN"/>
        </w:rPr>
        <w:t>。</w:t>
      </w:r>
    </w:p>
    <w:p>
      <w:pPr>
        <w:pStyle w:val="11"/>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rPr>
        <w:t>填写时长，单位</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日历日</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。存在分批次</w:t>
      </w:r>
      <w:r>
        <w:rPr>
          <w:rFonts w:hint="eastAsia" w:ascii="仿宋_GB2312" w:eastAsia="仿宋_GB2312" w:hAnsiTheme="minorEastAsia" w:cstheme="minorEastAsia"/>
          <w:b/>
          <w:bCs/>
          <w:sz w:val="24"/>
          <w:szCs w:val="24"/>
          <w:u w:val="single"/>
          <w:lang w:val="en-US" w:eastAsia="zh-CN"/>
        </w:rPr>
        <w:t>安装调试</w:t>
      </w:r>
      <w:r>
        <w:rPr>
          <w:rFonts w:hint="eastAsia" w:ascii="仿宋_GB2312" w:eastAsia="仿宋_GB2312" w:hAnsiTheme="minorEastAsia" w:cstheme="minorEastAsia"/>
          <w:b/>
          <w:bCs/>
          <w:sz w:val="24"/>
          <w:szCs w:val="24"/>
          <w:u w:val="single"/>
        </w:rPr>
        <w:t>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件数，不</w:t>
      </w:r>
      <w:r>
        <w:rPr>
          <w:rFonts w:hint="eastAsia" w:ascii="仿宋_GB2312" w:eastAsia="仿宋_GB2312" w:hAnsiTheme="minorEastAsia" w:cstheme="minorEastAsia"/>
          <w:b/>
          <w:bCs/>
          <w:sz w:val="24"/>
          <w:szCs w:val="24"/>
          <w:u w:val="single"/>
          <w:lang w:val="en-US" w:eastAsia="zh-CN"/>
        </w:rPr>
        <w:t>需要的</w:t>
      </w:r>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b/>
          <w:bCs/>
          <w:sz w:val="24"/>
          <w:szCs w:val="24"/>
          <w:u w:val="single"/>
          <w:lang w:val="en-US" w:eastAsia="zh-CN"/>
        </w:rPr>
        <w:t>此处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0</w:t>
      </w:r>
      <w:r>
        <w:rPr>
          <w:rFonts w:hint="eastAsia" w:ascii="仿宋_GB2312" w:eastAsia="仿宋_GB2312" w:hAnsiTheme="minorEastAsia" w:cstheme="minorEastAsia"/>
          <w:b/>
          <w:bCs/>
          <w:sz w:val="24"/>
          <w:szCs w:val="24"/>
          <w:u w:val="single"/>
          <w:lang w:eastAsia="zh-CN"/>
        </w:rPr>
        <w:t>”</w:t>
      </w:r>
      <w:r>
        <w:rPr>
          <w:rFonts w:ascii="仿宋_GB2312" w:eastAsia="仿宋_GB2312" w:hAnsiTheme="minorEastAsia" w:cstheme="minorEastAsia"/>
          <w:sz w:val="24"/>
          <w:szCs w:val="24"/>
        </w:rPr>
        <w:t>件，超出此数量部分由卖方提供，由此产生的相关费用由卖方承担。</w:t>
      </w:r>
    </w:p>
    <w:p>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pPr>
        <w:spacing w:line="360" w:lineRule="auto"/>
        <w:ind w:firstLine="480" w:firstLineChars="200"/>
        <w:rPr>
          <w:rFonts w:hint="eastAsia" w:ascii="仿宋_GB2312" w:hAnsi="黑体" w:eastAsia="仿宋_GB2312" w:cstheme="minorEastAsia"/>
          <w:b/>
          <w:bCs/>
          <w:sz w:val="24"/>
          <w:szCs w:val="24"/>
          <w:u w:val="single"/>
          <w:lang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b/>
          <w:bCs/>
          <w:sz w:val="24"/>
          <w:szCs w:val="24"/>
          <w:u w:val="single"/>
        </w:rPr>
        <w:t>填写</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转账</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财司内转</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三种方式</w:t>
      </w:r>
      <w:r>
        <w:rPr>
          <w:rFonts w:hint="eastAsia" w:ascii="仿宋_GB2312" w:hAnsi="黑体" w:eastAsia="仿宋_GB2312" w:cstheme="minorEastAsia"/>
          <w:b/>
          <w:bCs/>
          <w:sz w:val="24"/>
          <w:szCs w:val="24"/>
          <w:u w:val="single"/>
        </w:rPr>
        <w:t>任一种</w:t>
      </w:r>
      <w:r>
        <w:rPr>
          <w:rFonts w:hint="eastAsia" w:ascii="仿宋_GB2312" w:hAnsi="黑体" w:eastAsia="仿宋_GB2312" w:cstheme="minorEastAsia"/>
          <w:b/>
          <w:bCs/>
          <w:sz w:val="24"/>
          <w:szCs w:val="24"/>
          <w:u w:val="single"/>
          <w:lang w:eastAsia="zh-CN"/>
        </w:rPr>
        <w:t>。</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pPr>
        <w:spacing w:line="360" w:lineRule="auto"/>
        <w:ind w:firstLine="434" w:firstLineChars="200"/>
        <w:rPr>
          <w:rFonts w:hint="default" w:ascii="仿宋_GB2312" w:hAnsi="黑体" w:eastAsia="仿宋_GB2312" w:cstheme="minorEastAsia"/>
          <w:sz w:val="24"/>
          <w:szCs w:val="24"/>
          <w:lang w:val="en-US" w:eastAsia="zh-CN"/>
        </w:rPr>
      </w:pPr>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w:t>
      </w:r>
      <w:r>
        <w:rPr>
          <w:rFonts w:hint="eastAsia" w:ascii="仿宋_GB2312" w:hAnsi="仿宋_GB2312" w:eastAsia="仿宋_GB2312" w:cs="仿宋_GB2312"/>
          <w:b/>
          <w:bCs/>
          <w:w w:val="90"/>
          <w:sz w:val="24"/>
          <w:szCs w:val="24"/>
          <w:u w:val="single"/>
          <w:lang w:val="en-US" w:eastAsia="zh-CN"/>
        </w:rPr>
        <w:t>.1                ;4.2               ;</w:t>
      </w:r>
      <w:r>
        <w:rPr>
          <w:rFonts w:hint="eastAsia" w:ascii="仿宋_GB2312" w:hAnsi="仿宋_GB2312" w:eastAsia="仿宋_GB2312" w:cs="仿宋_GB2312"/>
          <w:b/>
          <w:strike w:val="0"/>
          <w:sz w:val="24"/>
          <w:u w:val="single"/>
        </w:rPr>
        <w:t>本合同条款若与特殊约定条款冲突的，以特殊约定条款为准</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无</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专用条款、通用条款中需进行修改的部分应在此处予以体现</w:t>
      </w:r>
      <w:r>
        <w:rPr>
          <w:rFonts w:hint="eastAsia" w:ascii="仿宋_GB2312" w:eastAsia="仿宋_GB2312" w:hAnsiTheme="minorEastAsia" w:cstheme="minorEastAsia"/>
          <w:b/>
          <w:bCs/>
          <w:sz w:val="24"/>
          <w:szCs w:val="24"/>
          <w:u w:val="single"/>
          <w:lang w:eastAsia="zh-CN"/>
        </w:rPr>
        <w:t>。</w:t>
      </w:r>
    </w:p>
    <w:p>
      <w:pPr>
        <w:spacing w:line="360" w:lineRule="auto"/>
        <w:rPr>
          <w:rFonts w:ascii="宋体" w:hAnsi="宋体"/>
          <w:snapToGrid w:val="0"/>
          <w:kern w:val="0"/>
          <w:sz w:val="20"/>
          <w:szCs w:val="20"/>
          <w:lang w:eastAsia="zh-Hans"/>
        </w:rPr>
      </w:pPr>
    </w:p>
    <w:p>
      <w:pPr>
        <w:spacing w:line="360" w:lineRule="auto"/>
        <w:rPr>
          <w:rFonts w:ascii="宋体" w:hAnsi="宋体"/>
          <w:snapToGrid w:val="0"/>
          <w:kern w:val="0"/>
          <w:sz w:val="20"/>
          <w:szCs w:val="20"/>
          <w:lang w:eastAsia="zh-Hans"/>
        </w:rPr>
      </w:pPr>
    </w:p>
    <w:p>
      <w:pPr>
        <w:spacing w:line="360" w:lineRule="auto"/>
        <w:rPr>
          <w:rFonts w:ascii="宋体" w:hAnsi="宋体"/>
          <w:snapToGrid w:val="0"/>
          <w:kern w:val="0"/>
          <w:sz w:val="20"/>
          <w:szCs w:val="20"/>
          <w:lang w:eastAsia="zh-Hans"/>
        </w:rPr>
      </w:pPr>
    </w:p>
    <w:p>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4"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pPr>
        <w:pStyle w:val="2"/>
        <w:tabs>
          <w:tab w:val="right" w:leader="dot" w:pos="9061"/>
        </w:tabs>
        <w:ind w:left="0" w:firstLine="480" w:firstLineChars="200"/>
        <w:jc w:val="both"/>
        <w:rPr>
          <w:rFonts w:ascii="黑体" w:hAnsi="黑体" w:eastAsia="黑体" w:cs="黑体"/>
          <w:b w:val="0"/>
          <w:sz w:val="24"/>
          <w:szCs w:val="24"/>
        </w:rPr>
      </w:pPr>
      <w:bookmarkStart w:id="1176" w:name="_Toc17619"/>
      <w:bookmarkStart w:id="1177" w:name="_Toc11823"/>
      <w:bookmarkStart w:id="1178" w:name="_Toc11930"/>
      <w:bookmarkStart w:id="1179" w:name="_Toc16330018"/>
      <w:r>
        <w:rPr>
          <w:rFonts w:hint="eastAsia" w:ascii="黑体" w:hAnsi="黑体" w:eastAsia="黑体" w:cs="黑体"/>
          <w:b w:val="0"/>
          <w:sz w:val="24"/>
          <w:szCs w:val="24"/>
        </w:rPr>
        <w:t>1 合同设备</w:t>
      </w:r>
      <w:bookmarkEnd w:id="1176"/>
      <w:bookmarkEnd w:id="1177"/>
      <w:bookmarkEnd w:id="1178"/>
      <w:bookmarkEnd w:id="1179"/>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1180" w:name="_Toc29026"/>
      <w:bookmarkStart w:id="1181" w:name="_Toc32510"/>
      <w:bookmarkStart w:id="1182" w:name="_Toc22800"/>
      <w:r>
        <w:rPr>
          <w:rFonts w:hint="eastAsia" w:ascii="仿宋_GB2312" w:hAnsi="仿宋_GB2312" w:eastAsia="仿宋_GB2312" w:cs="仿宋_GB2312"/>
          <w:sz w:val="24"/>
          <w:szCs w:val="24"/>
        </w:rPr>
        <w:t>本合同约定设备的技术规格详见附件二《技术协议书》。</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pPr>
        <w:pStyle w:val="2"/>
        <w:tabs>
          <w:tab w:val="right" w:leader="dot" w:pos="9061"/>
        </w:tabs>
        <w:ind w:left="0" w:firstLine="480" w:firstLineChars="200"/>
        <w:jc w:val="both"/>
        <w:rPr>
          <w:rFonts w:ascii="黑体" w:hAnsi="黑体" w:eastAsia="黑体" w:cs="黑体"/>
          <w:b w:val="0"/>
          <w:sz w:val="24"/>
          <w:szCs w:val="24"/>
        </w:rPr>
      </w:pPr>
      <w:bookmarkStart w:id="1183" w:name="_Toc16330019"/>
      <w:r>
        <w:rPr>
          <w:rFonts w:hint="eastAsia" w:ascii="黑体" w:hAnsi="黑体" w:eastAsia="黑体" w:cs="黑体"/>
          <w:b w:val="0"/>
          <w:sz w:val="24"/>
          <w:szCs w:val="24"/>
        </w:rPr>
        <w:t>2 包装</w:t>
      </w:r>
      <w:bookmarkEnd w:id="1180"/>
      <w:bookmarkEnd w:id="1181"/>
      <w:bookmarkEnd w:id="1182"/>
      <w:bookmarkEnd w:id="1183"/>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pPr>
        <w:pStyle w:val="2"/>
        <w:tabs>
          <w:tab w:val="right" w:leader="dot" w:pos="9061"/>
        </w:tabs>
        <w:ind w:left="0" w:firstLine="480" w:firstLineChars="200"/>
        <w:jc w:val="both"/>
        <w:rPr>
          <w:rFonts w:ascii="黑体" w:hAnsi="黑体" w:eastAsia="黑体" w:cs="黑体"/>
          <w:b w:val="0"/>
          <w:sz w:val="24"/>
          <w:szCs w:val="24"/>
        </w:rPr>
      </w:pPr>
      <w:bookmarkStart w:id="1184" w:name="_Toc27144"/>
      <w:bookmarkStart w:id="1185" w:name="_Toc2833"/>
      <w:bookmarkStart w:id="1186" w:name="_Toc27453"/>
      <w:bookmarkStart w:id="1187" w:name="_Toc16330020"/>
      <w:r>
        <w:rPr>
          <w:rFonts w:hint="eastAsia" w:ascii="黑体" w:hAnsi="黑体" w:eastAsia="黑体" w:cs="黑体"/>
          <w:b w:val="0"/>
          <w:sz w:val="24"/>
          <w:szCs w:val="24"/>
        </w:rPr>
        <w:t>3 运输标记</w:t>
      </w:r>
      <w:bookmarkEnd w:id="1184"/>
      <w:bookmarkEnd w:id="1185"/>
      <w:bookmarkEnd w:id="1186"/>
      <w:bookmarkEnd w:id="1187"/>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2"/>
        <w:tabs>
          <w:tab w:val="right" w:leader="dot" w:pos="9061"/>
        </w:tabs>
        <w:ind w:left="0" w:firstLine="480" w:firstLineChars="200"/>
        <w:jc w:val="both"/>
        <w:rPr>
          <w:rFonts w:ascii="黑体" w:hAnsi="黑体" w:eastAsia="黑体" w:cs="黑体"/>
          <w:b w:val="0"/>
          <w:sz w:val="24"/>
          <w:szCs w:val="24"/>
        </w:rPr>
      </w:pPr>
      <w:bookmarkStart w:id="1188" w:name="_Toc16330021"/>
      <w:bookmarkStart w:id="1189" w:name="_Toc7431"/>
      <w:bookmarkStart w:id="1190" w:name="_Toc10630"/>
      <w:bookmarkStart w:id="1191" w:name="_Toc16133"/>
      <w:r>
        <w:rPr>
          <w:rFonts w:hint="eastAsia" w:ascii="黑体" w:hAnsi="黑体" w:eastAsia="黑体" w:cs="黑体"/>
          <w:b w:val="0"/>
          <w:sz w:val="24"/>
          <w:szCs w:val="24"/>
        </w:rPr>
        <w:t>4 检验</w:t>
      </w:r>
      <w:bookmarkEnd w:id="1188"/>
      <w:bookmarkEnd w:id="1189"/>
      <w:bookmarkEnd w:id="1190"/>
      <w:bookmarkEnd w:id="1191"/>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pPr>
        <w:pStyle w:val="2"/>
        <w:tabs>
          <w:tab w:val="right" w:leader="dot" w:pos="9061"/>
        </w:tabs>
        <w:ind w:left="0" w:firstLine="480" w:firstLineChars="200"/>
        <w:jc w:val="both"/>
        <w:rPr>
          <w:rFonts w:ascii="黑体" w:hAnsi="黑体" w:eastAsia="黑体" w:cs="黑体"/>
          <w:b w:val="0"/>
          <w:sz w:val="24"/>
          <w:szCs w:val="24"/>
        </w:rPr>
      </w:pPr>
      <w:bookmarkStart w:id="1192" w:name="_Toc11217"/>
      <w:bookmarkStart w:id="1193" w:name="_Toc19850"/>
      <w:bookmarkStart w:id="1194" w:name="_Toc24467"/>
      <w:bookmarkStart w:id="1195" w:name="_Toc16330022"/>
      <w:r>
        <w:rPr>
          <w:rFonts w:hint="eastAsia" w:ascii="黑体" w:hAnsi="黑体" w:eastAsia="黑体" w:cs="黑体"/>
          <w:b w:val="0"/>
          <w:sz w:val="24"/>
          <w:szCs w:val="24"/>
        </w:rPr>
        <w:t>5 权利担保</w:t>
      </w:r>
      <w:bookmarkEnd w:id="1192"/>
      <w:bookmarkEnd w:id="1193"/>
      <w:bookmarkEnd w:id="1194"/>
      <w:bookmarkEnd w:id="1195"/>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2"/>
        <w:tabs>
          <w:tab w:val="right" w:leader="dot" w:pos="9061"/>
        </w:tabs>
        <w:ind w:left="0" w:firstLine="480" w:firstLineChars="200"/>
        <w:jc w:val="both"/>
        <w:rPr>
          <w:rFonts w:ascii="黑体" w:hAnsi="黑体" w:eastAsia="黑体" w:cs="黑体"/>
          <w:b w:val="0"/>
          <w:sz w:val="24"/>
          <w:szCs w:val="24"/>
        </w:rPr>
      </w:pPr>
      <w:bookmarkStart w:id="1196" w:name="_Toc27500"/>
      <w:bookmarkStart w:id="1197" w:name="_Toc16330023"/>
      <w:bookmarkStart w:id="1198" w:name="_Toc14809"/>
      <w:bookmarkStart w:id="1199" w:name="_Toc11759"/>
      <w:r>
        <w:rPr>
          <w:rFonts w:hint="eastAsia" w:ascii="黑体" w:hAnsi="黑体" w:eastAsia="黑体" w:cs="黑体"/>
          <w:b w:val="0"/>
          <w:sz w:val="24"/>
          <w:szCs w:val="24"/>
        </w:rPr>
        <w:t>6 交货</w:t>
      </w:r>
      <w:bookmarkEnd w:id="1196"/>
      <w:bookmarkEnd w:id="1197"/>
      <w:bookmarkEnd w:id="1198"/>
      <w:bookmarkEnd w:id="1199"/>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2"/>
        <w:tabs>
          <w:tab w:val="right" w:leader="dot" w:pos="9061"/>
        </w:tabs>
        <w:ind w:left="0" w:firstLine="480" w:firstLineChars="200"/>
        <w:jc w:val="both"/>
        <w:rPr>
          <w:rFonts w:ascii="黑体" w:hAnsi="黑体" w:eastAsia="黑体" w:cs="黑体"/>
          <w:b w:val="0"/>
          <w:sz w:val="24"/>
          <w:szCs w:val="24"/>
        </w:rPr>
      </w:pPr>
      <w:bookmarkStart w:id="1200" w:name="_Toc8024"/>
      <w:bookmarkStart w:id="1201" w:name="_Toc16330024"/>
      <w:bookmarkStart w:id="1202" w:name="_Toc25510"/>
      <w:bookmarkStart w:id="1203" w:name="_Toc2984"/>
      <w:r>
        <w:rPr>
          <w:rFonts w:hint="eastAsia" w:ascii="黑体" w:hAnsi="黑体" w:eastAsia="黑体" w:cs="黑体"/>
          <w:b w:val="0"/>
          <w:sz w:val="24"/>
          <w:szCs w:val="24"/>
        </w:rPr>
        <w:t>7 安装、调试</w:t>
      </w:r>
      <w:bookmarkEnd w:id="1200"/>
      <w:bookmarkEnd w:id="1201"/>
      <w:bookmarkEnd w:id="1202"/>
      <w:bookmarkEnd w:id="1203"/>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pPr>
        <w:pStyle w:val="2"/>
        <w:tabs>
          <w:tab w:val="right" w:leader="dot" w:pos="9061"/>
        </w:tabs>
        <w:ind w:left="0" w:firstLine="480" w:firstLineChars="200"/>
        <w:jc w:val="both"/>
        <w:rPr>
          <w:rFonts w:ascii="黑体" w:hAnsi="黑体" w:eastAsia="黑体" w:cs="黑体"/>
          <w:b w:val="0"/>
          <w:sz w:val="24"/>
          <w:szCs w:val="24"/>
        </w:rPr>
      </w:pPr>
      <w:bookmarkStart w:id="1204" w:name="_Toc14260"/>
      <w:bookmarkStart w:id="1205" w:name="_Toc6350"/>
      <w:bookmarkStart w:id="1206" w:name="_Toc16330025"/>
      <w:bookmarkStart w:id="1207" w:name="_Toc14098"/>
      <w:r>
        <w:rPr>
          <w:rFonts w:hint="eastAsia" w:ascii="黑体" w:hAnsi="黑体" w:eastAsia="黑体" w:cs="黑体"/>
          <w:b w:val="0"/>
          <w:sz w:val="24"/>
          <w:szCs w:val="24"/>
        </w:rPr>
        <w:t>8 价款与支付</w:t>
      </w:r>
      <w:bookmarkEnd w:id="1204"/>
      <w:bookmarkEnd w:id="1205"/>
      <w:bookmarkEnd w:id="1206"/>
      <w:bookmarkEnd w:id="1207"/>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pPr>
        <w:pStyle w:val="2"/>
        <w:tabs>
          <w:tab w:val="right" w:leader="dot" w:pos="9061"/>
        </w:tabs>
        <w:ind w:left="0" w:firstLine="480" w:firstLineChars="200"/>
        <w:jc w:val="both"/>
        <w:rPr>
          <w:rFonts w:ascii="黑体" w:hAnsi="黑体" w:eastAsia="黑体" w:cs="黑体"/>
          <w:b w:val="0"/>
          <w:sz w:val="24"/>
          <w:szCs w:val="24"/>
        </w:rPr>
      </w:pPr>
      <w:bookmarkStart w:id="1208" w:name="_Toc25708"/>
      <w:bookmarkStart w:id="1209" w:name="_Toc16330026"/>
      <w:bookmarkStart w:id="1210" w:name="_Toc6726"/>
      <w:bookmarkStart w:id="1211" w:name="_Toc24085"/>
      <w:r>
        <w:rPr>
          <w:rFonts w:hint="eastAsia" w:ascii="黑体" w:hAnsi="黑体" w:eastAsia="黑体" w:cs="黑体"/>
          <w:b w:val="0"/>
          <w:sz w:val="24"/>
          <w:szCs w:val="24"/>
        </w:rPr>
        <w:t>9 质量保证及售后服务</w:t>
      </w:r>
      <w:bookmarkEnd w:id="1208"/>
      <w:bookmarkEnd w:id="1209"/>
      <w:bookmarkEnd w:id="1210"/>
      <w:bookmarkEnd w:id="1211"/>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pPr>
        <w:pStyle w:val="2"/>
        <w:tabs>
          <w:tab w:val="right" w:leader="dot" w:pos="9061"/>
        </w:tabs>
        <w:ind w:left="0" w:firstLine="480" w:firstLineChars="200"/>
        <w:jc w:val="both"/>
        <w:rPr>
          <w:rFonts w:hint="default" w:ascii="黑体" w:hAnsi="黑体" w:eastAsia="黑体" w:cs="黑体"/>
          <w:b w:val="0"/>
          <w:sz w:val="24"/>
          <w:szCs w:val="24"/>
          <w:lang w:val="en-US" w:eastAsia="zh-CN"/>
        </w:rPr>
      </w:pPr>
      <w:bookmarkStart w:id="1212" w:name="_Toc12927"/>
      <w:bookmarkStart w:id="1213" w:name="_Toc16330027"/>
      <w:bookmarkStart w:id="1214" w:name="_Toc10359"/>
      <w:bookmarkStart w:id="1215" w:name="_Toc15570"/>
      <w:r>
        <w:rPr>
          <w:rFonts w:hint="eastAsia" w:ascii="黑体" w:hAnsi="黑体" w:eastAsia="黑体" w:cs="黑体"/>
          <w:b w:val="0"/>
          <w:sz w:val="24"/>
          <w:szCs w:val="24"/>
        </w:rPr>
        <w:t>10法定责任</w:t>
      </w:r>
      <w:bookmarkEnd w:id="1212"/>
      <w:bookmarkEnd w:id="1213"/>
      <w:bookmarkEnd w:id="1214"/>
      <w:bookmarkEnd w:id="1215"/>
      <w:r>
        <w:rPr>
          <w:rFonts w:hint="eastAsia" w:ascii="黑体" w:hAnsi="黑体" w:eastAsia="黑体" w:cs="黑体"/>
          <w:b w:val="0"/>
          <w:sz w:val="24"/>
          <w:szCs w:val="24"/>
          <w:lang w:val="en-US" w:eastAsia="zh-CN"/>
        </w:rPr>
        <w:t>及合规责任</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pPr>
        <w:pStyle w:val="2"/>
        <w:tabs>
          <w:tab w:val="right" w:leader="dot" w:pos="9061"/>
        </w:tabs>
        <w:ind w:left="0" w:firstLine="480" w:firstLineChars="200"/>
        <w:jc w:val="both"/>
        <w:rPr>
          <w:rFonts w:ascii="黑体" w:hAnsi="黑体" w:eastAsia="黑体" w:cs="黑体"/>
          <w:b w:val="0"/>
          <w:sz w:val="24"/>
          <w:szCs w:val="24"/>
        </w:rPr>
      </w:pPr>
      <w:bookmarkStart w:id="1216" w:name="_Toc30381"/>
      <w:bookmarkStart w:id="1217" w:name="_Toc27314"/>
      <w:bookmarkStart w:id="1218" w:name="_Toc16330028"/>
      <w:bookmarkStart w:id="1219" w:name="_Toc9708"/>
      <w:r>
        <w:rPr>
          <w:rFonts w:hint="eastAsia" w:ascii="黑体" w:hAnsi="黑体" w:eastAsia="黑体" w:cs="黑体"/>
          <w:b w:val="0"/>
          <w:sz w:val="24"/>
          <w:szCs w:val="24"/>
        </w:rPr>
        <w:t>11 违约责任</w:t>
      </w:r>
      <w:bookmarkEnd w:id="1216"/>
      <w:bookmarkEnd w:id="1217"/>
      <w:bookmarkEnd w:id="1218"/>
      <w:bookmarkEnd w:id="1219"/>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11.4如卖方未按合同专用条款1.4、1.5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pPr>
        <w:pStyle w:val="2"/>
        <w:tabs>
          <w:tab w:val="right" w:leader="dot" w:pos="9061"/>
        </w:tabs>
        <w:ind w:left="0" w:firstLine="480" w:firstLineChars="200"/>
        <w:jc w:val="both"/>
        <w:rPr>
          <w:rFonts w:ascii="黑体" w:hAnsi="黑体" w:eastAsia="黑体" w:cs="黑体"/>
          <w:b w:val="0"/>
          <w:sz w:val="24"/>
          <w:szCs w:val="24"/>
        </w:rPr>
      </w:pPr>
      <w:bookmarkStart w:id="1220" w:name="_Toc1827"/>
      <w:bookmarkStart w:id="1221" w:name="_Toc31554"/>
      <w:bookmarkStart w:id="1222" w:name="_Toc16330029"/>
      <w:bookmarkStart w:id="1223" w:name="_Toc9172"/>
      <w:r>
        <w:rPr>
          <w:rFonts w:hint="eastAsia" w:ascii="黑体" w:hAnsi="黑体" w:eastAsia="黑体" w:cs="黑体"/>
          <w:b w:val="0"/>
          <w:sz w:val="24"/>
          <w:szCs w:val="24"/>
        </w:rPr>
        <w:t>12 合同的终止与解除</w:t>
      </w:r>
      <w:bookmarkEnd w:id="1220"/>
      <w:bookmarkEnd w:id="1221"/>
      <w:bookmarkEnd w:id="1222"/>
      <w:bookmarkEnd w:id="1223"/>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pPr>
        <w:pStyle w:val="2"/>
        <w:tabs>
          <w:tab w:val="right" w:leader="dot" w:pos="9061"/>
        </w:tabs>
        <w:ind w:left="0" w:firstLine="480" w:firstLineChars="200"/>
        <w:jc w:val="both"/>
        <w:rPr>
          <w:rFonts w:ascii="黑体" w:hAnsi="黑体" w:eastAsia="黑体" w:cs="黑体"/>
          <w:b w:val="0"/>
          <w:sz w:val="24"/>
          <w:szCs w:val="24"/>
        </w:rPr>
      </w:pPr>
      <w:bookmarkStart w:id="1224" w:name="_Toc8620"/>
      <w:bookmarkStart w:id="1225" w:name="_Toc13671"/>
      <w:bookmarkStart w:id="1226" w:name="_Toc16330030"/>
      <w:bookmarkStart w:id="1227" w:name="_Toc31945"/>
      <w:r>
        <w:rPr>
          <w:rFonts w:hint="eastAsia" w:ascii="黑体" w:hAnsi="黑体" w:eastAsia="黑体" w:cs="黑体"/>
          <w:b w:val="0"/>
          <w:sz w:val="24"/>
          <w:szCs w:val="24"/>
        </w:rPr>
        <w:t>13 不可抗力</w:t>
      </w:r>
      <w:bookmarkEnd w:id="1224"/>
      <w:bookmarkEnd w:id="1225"/>
      <w:bookmarkEnd w:id="1226"/>
      <w:bookmarkEnd w:id="1227"/>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pPr>
        <w:pStyle w:val="2"/>
        <w:tabs>
          <w:tab w:val="right" w:leader="dot" w:pos="9061"/>
        </w:tabs>
        <w:ind w:left="0" w:firstLine="480" w:firstLineChars="200"/>
        <w:jc w:val="both"/>
        <w:rPr>
          <w:rFonts w:ascii="黑体" w:hAnsi="黑体" w:eastAsia="黑体" w:cs="黑体"/>
          <w:b w:val="0"/>
          <w:sz w:val="24"/>
          <w:szCs w:val="24"/>
        </w:rPr>
      </w:pPr>
      <w:bookmarkStart w:id="1228" w:name="_Toc637"/>
      <w:bookmarkStart w:id="1229" w:name="_Toc16330031"/>
      <w:bookmarkStart w:id="1230" w:name="_Toc30389"/>
      <w:bookmarkStart w:id="1231" w:name="_Toc31243"/>
      <w:r>
        <w:rPr>
          <w:rFonts w:hint="eastAsia" w:ascii="黑体" w:hAnsi="黑体" w:eastAsia="黑体" w:cs="黑体"/>
          <w:b w:val="0"/>
          <w:sz w:val="24"/>
          <w:szCs w:val="24"/>
        </w:rPr>
        <w:t>14 通讯</w:t>
      </w:r>
      <w:bookmarkEnd w:id="1228"/>
      <w:bookmarkEnd w:id="1229"/>
      <w:bookmarkEnd w:id="1230"/>
      <w:bookmarkEnd w:id="1231"/>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pPr>
        <w:pStyle w:val="2"/>
        <w:tabs>
          <w:tab w:val="right" w:leader="dot" w:pos="9061"/>
        </w:tabs>
        <w:ind w:left="0" w:firstLine="480" w:firstLineChars="200"/>
        <w:jc w:val="both"/>
        <w:rPr>
          <w:rFonts w:ascii="黑体" w:hAnsi="黑体" w:eastAsia="黑体" w:cs="黑体"/>
          <w:b w:val="0"/>
          <w:sz w:val="24"/>
          <w:szCs w:val="24"/>
        </w:rPr>
      </w:pPr>
      <w:bookmarkStart w:id="1232" w:name="_Toc9915"/>
      <w:bookmarkStart w:id="1233" w:name="_Toc12984"/>
      <w:bookmarkStart w:id="1234" w:name="_Toc16330032"/>
      <w:bookmarkStart w:id="1235" w:name="_Toc11290"/>
      <w:r>
        <w:rPr>
          <w:rFonts w:hint="eastAsia" w:ascii="黑体" w:hAnsi="黑体" w:eastAsia="黑体" w:cs="黑体"/>
          <w:b w:val="0"/>
          <w:sz w:val="24"/>
          <w:szCs w:val="24"/>
        </w:rPr>
        <w:t>15 适用法律及争议解决</w:t>
      </w:r>
      <w:bookmarkEnd w:id="1232"/>
      <w:bookmarkEnd w:id="1233"/>
      <w:bookmarkEnd w:id="1234"/>
      <w:bookmarkEnd w:id="1235"/>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2"/>
        <w:tabs>
          <w:tab w:val="right" w:leader="dot" w:pos="9061"/>
        </w:tabs>
        <w:ind w:left="0" w:firstLine="480" w:firstLineChars="200"/>
        <w:jc w:val="both"/>
        <w:rPr>
          <w:rFonts w:ascii="黑体" w:hAnsi="黑体" w:eastAsia="黑体" w:cs="黑体"/>
          <w:b w:val="0"/>
          <w:sz w:val="24"/>
          <w:szCs w:val="24"/>
        </w:rPr>
      </w:pPr>
      <w:bookmarkStart w:id="1236" w:name="_Toc23765"/>
      <w:bookmarkStart w:id="1237" w:name="_Toc16330033"/>
      <w:bookmarkStart w:id="1238" w:name="_Toc23906"/>
      <w:bookmarkStart w:id="1239" w:name="_Toc18207"/>
      <w:r>
        <w:rPr>
          <w:rFonts w:hint="eastAsia" w:ascii="黑体" w:hAnsi="黑体" w:eastAsia="黑体" w:cs="黑体"/>
          <w:b w:val="0"/>
          <w:sz w:val="24"/>
          <w:szCs w:val="24"/>
        </w:rPr>
        <w:t>16 附件</w:t>
      </w:r>
      <w:bookmarkEnd w:id="1236"/>
      <w:bookmarkEnd w:id="1237"/>
      <w:bookmarkEnd w:id="1238"/>
      <w:bookmarkEnd w:id="1239"/>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pPr>
        <w:pStyle w:val="2"/>
        <w:tabs>
          <w:tab w:val="right" w:leader="dot" w:pos="9061"/>
        </w:tabs>
        <w:ind w:left="0" w:firstLine="480" w:firstLineChars="200"/>
        <w:jc w:val="both"/>
        <w:rPr>
          <w:rFonts w:ascii="黑体" w:hAnsi="黑体" w:eastAsia="黑体" w:cs="黑体"/>
          <w:b w:val="0"/>
          <w:sz w:val="24"/>
          <w:szCs w:val="24"/>
        </w:rPr>
      </w:pPr>
      <w:bookmarkStart w:id="1240" w:name="_Toc17656"/>
      <w:bookmarkStart w:id="1241" w:name="_Toc31331"/>
      <w:bookmarkStart w:id="1242" w:name="_Toc27202"/>
      <w:bookmarkStart w:id="1243" w:name="_Toc16330034"/>
      <w:r>
        <w:rPr>
          <w:rFonts w:hint="eastAsia" w:ascii="黑体" w:hAnsi="黑体" w:eastAsia="黑体" w:cs="黑体"/>
          <w:b w:val="0"/>
          <w:sz w:val="24"/>
          <w:szCs w:val="24"/>
        </w:rPr>
        <w:t>17 其他规定</w:t>
      </w:r>
      <w:bookmarkEnd w:id="1240"/>
      <w:bookmarkEnd w:id="1241"/>
      <w:bookmarkEnd w:id="1242"/>
      <w:bookmarkEnd w:id="1243"/>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80" w:firstLineChars="200"/>
        <w:rPr>
          <w:rFonts w:ascii="仿宋_GB2312" w:hAnsi="仿宋_GB2312" w:eastAsia="仿宋_GB2312" w:cs="仿宋_GB2312"/>
          <w:sz w:val="24"/>
          <w:szCs w:val="24"/>
        </w:rPr>
      </w:pPr>
      <w:bookmarkStart w:id="1244" w:name="_Toc16330035"/>
      <w:bookmarkStart w:id="1245" w:name="_Toc29136"/>
      <w:bookmarkStart w:id="1246" w:name="_Toc19077"/>
      <w:bookmarkStart w:id="1247" w:name="_Toc17952"/>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244"/>
      <w:bookmarkEnd w:id="1245"/>
      <w:bookmarkEnd w:id="1246"/>
      <w:bookmarkEnd w:id="1247"/>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pPr>
        <w:rPr>
          <w:highlight w:val="yellow"/>
        </w:rPr>
      </w:pPr>
      <w:r>
        <w:rPr>
          <w:rFonts w:hint="eastAsia" w:ascii="黑体" w:hAnsi="黑体" w:eastAsia="黑体" w:cstheme="minorEastAsia"/>
          <w:sz w:val="28"/>
          <w:szCs w:val="28"/>
        </w:rPr>
        <w:t>附件一：设备清单明细表【作为附件另附】</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25"/>
              <w:spacing w:line="360" w:lineRule="auto"/>
              <w:ind w:left="0" w:firstLine="0" w:firstLineChars="0"/>
              <w:jc w:val="center"/>
              <w:rPr>
                <w:rFonts w:ascii="仿宋_GB2312" w:eastAsia="仿宋_GB2312"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25"/>
              <w:spacing w:line="360" w:lineRule="auto"/>
              <w:ind w:left="0" w:firstLine="0" w:firstLineChars="0"/>
              <w:jc w:val="center"/>
              <w:rPr>
                <w:rFonts w:ascii="仿宋_GB2312" w:eastAsia="仿宋_GB2312"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25"/>
              <w:spacing w:line="360" w:lineRule="auto"/>
              <w:ind w:left="0" w:firstLine="0" w:firstLineChars="0"/>
              <w:jc w:val="center"/>
              <w:rPr>
                <w:rFonts w:ascii="仿宋_GB2312" w:eastAsia="仿宋_GB2312"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pPr>
              <w:spacing w:line="360" w:lineRule="auto"/>
              <w:jc w:val="center"/>
              <w:rPr>
                <w:rFonts w:ascii="仿宋_GB2312" w:eastAsia="仿宋_GB2312" w:hAnsiTheme="minorEastAsia" w:cstheme="minorEastAsia"/>
              </w:rPr>
            </w:pPr>
          </w:p>
        </w:tc>
        <w:tc>
          <w:tcPr>
            <w:tcW w:w="977" w:type="dxa"/>
            <w:vAlign w:val="center"/>
          </w:tcPr>
          <w:p>
            <w:pPr>
              <w:spacing w:line="360" w:lineRule="auto"/>
              <w:jc w:val="center"/>
              <w:rPr>
                <w:rFonts w:ascii="仿宋_GB2312" w:eastAsia="仿宋_GB2312" w:hAnsiTheme="minorEastAsia" w:cstheme="minorEastAsia"/>
              </w:rPr>
            </w:pPr>
          </w:p>
        </w:tc>
        <w:tc>
          <w:tcPr>
            <w:tcW w:w="881" w:type="dxa"/>
            <w:vAlign w:val="center"/>
          </w:tcPr>
          <w:p>
            <w:pPr>
              <w:spacing w:line="360" w:lineRule="auto"/>
              <w:jc w:val="center"/>
              <w:rPr>
                <w:rFonts w:ascii="仿宋_GB2312" w:eastAsia="仿宋_GB2312" w:hAnsiTheme="minorEastAsia" w:cstheme="minorEastAsia"/>
              </w:rPr>
            </w:pPr>
          </w:p>
        </w:tc>
        <w:tc>
          <w:tcPr>
            <w:tcW w:w="997" w:type="dxa"/>
            <w:vAlign w:val="center"/>
          </w:tcPr>
          <w:p>
            <w:pPr>
              <w:spacing w:line="360" w:lineRule="auto"/>
              <w:jc w:val="center"/>
              <w:rPr>
                <w:rFonts w:ascii="仿宋_GB2312" w:eastAsia="仿宋_GB2312" w:hAnsiTheme="minorEastAsia" w:cstheme="minorEastAsia"/>
              </w:rPr>
            </w:pPr>
          </w:p>
        </w:tc>
        <w:tc>
          <w:tcPr>
            <w:tcW w:w="677" w:type="dxa"/>
            <w:vAlign w:val="center"/>
          </w:tcPr>
          <w:p>
            <w:pPr>
              <w:spacing w:line="360" w:lineRule="auto"/>
              <w:jc w:val="center"/>
              <w:rPr>
                <w:rFonts w:ascii="仿宋_GB2312" w:eastAsia="仿宋_GB2312" w:hAnsiTheme="minorEastAsia" w:cstheme="minorEastAsia"/>
              </w:rPr>
            </w:pPr>
          </w:p>
        </w:tc>
        <w:tc>
          <w:tcPr>
            <w:tcW w:w="677" w:type="dxa"/>
            <w:vAlign w:val="center"/>
          </w:tcPr>
          <w:p>
            <w:pPr>
              <w:spacing w:line="360" w:lineRule="auto"/>
              <w:jc w:val="center"/>
              <w:rPr>
                <w:rFonts w:ascii="仿宋_GB2312" w:eastAsia="仿宋_GB2312" w:hAnsiTheme="minorEastAsia" w:cstheme="minorEastAsia"/>
              </w:rPr>
            </w:pPr>
          </w:p>
        </w:tc>
      </w:tr>
      <w:bookmarkEnd w:id="1174"/>
    </w:tbl>
    <w:p>
      <w:pPr>
        <w:pStyle w:val="2"/>
        <w:tabs>
          <w:tab w:val="right" w:leader="dot" w:pos="9061"/>
        </w:tabs>
        <w:ind w:left="0"/>
        <w:jc w:val="both"/>
        <w:rPr>
          <w:rFonts w:asciiTheme="minorEastAsia" w:hAnsiTheme="minorEastAsia" w:eastAsiaTheme="minorEastAsia" w:cstheme="minorEastAsia"/>
          <w:sz w:val="20"/>
        </w:rPr>
      </w:pPr>
    </w:p>
    <w:p>
      <w:pPr>
        <w:rPr>
          <w:rFonts w:asciiTheme="minorEastAsia" w:hAnsiTheme="minorEastAsia" w:eastAsia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val="en-US" w:eastAsia="zh-Hans"/>
        </w:rPr>
      </w:pPr>
    </w:p>
    <w:p>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val="en-US" w:eastAsia="zh-Hans"/>
        </w:rPr>
      </w:pPr>
      <w:r>
        <w:rPr>
          <w:rFonts w:hint="eastAsia" w:ascii="黑体" w:hAnsi="黑体" w:eastAsia="黑体" w:cstheme="minorEastAsia"/>
          <w:sz w:val="28"/>
          <w:szCs w:val="28"/>
        </w:rPr>
        <w:t>作为附件另附</w:t>
      </w:r>
    </w:p>
    <w:p>
      <w:pPr>
        <w:jc w:val="right"/>
        <w:rPr>
          <w:rFonts w:hint="eastAsia" w:asciiTheme="minorEastAsia" w:hAnsiTheme="minorEastAsia" w:cstheme="minorEastAsia"/>
          <w:sz w:val="20"/>
          <w:szCs w:val="20"/>
        </w:rPr>
      </w:pPr>
      <w:r>
        <w:rPr>
          <w:rFonts w:hint="eastAsia" w:asciiTheme="minorEastAsia" w:hAnsiTheme="minorEastAsia" w:cstheme="minorEastAsia"/>
          <w:sz w:val="20"/>
          <w:szCs w:val="20"/>
        </w:rPr>
        <w:t xml:space="preserve">                          </w:t>
      </w:r>
    </w:p>
    <w:p>
      <w:pPr>
        <w:jc w:val="right"/>
        <w:rPr>
          <w:rFonts w:hint="eastAsia" w:asciiTheme="minorEastAsia" w:hAnsiTheme="minorEastAsia" w:cstheme="minorEastAsia"/>
          <w:sz w:val="20"/>
          <w:szCs w:val="20"/>
        </w:rPr>
      </w:pPr>
    </w:p>
    <w:p>
      <w:pPr>
        <w:wordWrap w:val="0"/>
        <w:ind w:right="480"/>
        <w:rPr>
          <w:rFonts w:hint="eastAsia" w:asciiTheme="minorEastAsia" w:hAnsiTheme="minorEastAsia" w:cstheme="minorEastAsia"/>
          <w:sz w:val="20"/>
          <w:szCs w:val="20"/>
        </w:rPr>
      </w:pPr>
    </w:p>
    <w:p>
      <w:pPr>
        <w:jc w:val="right"/>
        <w:rPr>
          <w:rFonts w:hint="eastAsia" w:ascii="楷体_GB2312" w:hAnsi="宋体" w:eastAsia="楷体_GB2312"/>
          <w:sz w:val="24"/>
        </w:rPr>
      </w:pPr>
      <w:bookmarkStart w:id="1248" w:name="_Toc14341849"/>
    </w:p>
    <w:bookmarkEnd w:id="1248"/>
    <w:p>
      <w:pPr>
        <w:spacing w:before="118"/>
        <w:ind w:right="2435"/>
        <w:jc w:val="center"/>
        <w:rPr>
          <w:rFonts w:ascii="楷体" w:hAnsi="楷体" w:eastAsia="楷体" w:cs="楷体"/>
          <w:sz w:val="40"/>
          <w:szCs w:val="21"/>
        </w:rPr>
      </w:pPr>
      <w:r>
        <w:rPr>
          <w:rFonts w:hint="eastAsia" w:ascii="方正小标宋简体" w:hAnsi="方正小标宋简体" w:eastAsia="方正小标宋简体" w:cs="方正小标宋简体"/>
          <w:sz w:val="40"/>
          <w:szCs w:val="21"/>
          <w:lang w:val="en-US" w:eastAsia="zh-CN"/>
        </w:rPr>
        <w:t xml:space="preserve">           </w:t>
      </w:r>
      <w:r>
        <w:rPr>
          <w:rFonts w:hint="eastAsia" w:ascii="方正小标宋简体" w:hAnsi="方正小标宋简体" w:eastAsia="方正小标宋简体" w:cs="方正小标宋简体"/>
          <w:sz w:val="40"/>
          <w:szCs w:val="21"/>
        </w:rPr>
        <w:t>廉洁诚信协议</w:t>
      </w:r>
    </w:p>
    <w:p>
      <w:pPr>
        <w:pStyle w:val="12"/>
        <w:spacing w:before="8"/>
        <w:ind w:left="0" w:firstLine="0"/>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监察部门举报（举报电话：0531-58062233，举报邮箱：zgzqjw@sinotruk.com）。甲方不得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监察部门检举并提供证据。</w:t>
      </w:r>
    </w:p>
    <w:p>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5"/>
        <w:tabs>
          <w:tab w:val="left" w:pos="1244"/>
        </w:tabs>
        <w:adjustRightInd w:val="0"/>
        <w:spacing w:line="305" w:lineRule="auto"/>
        <w:ind w:left="0" w:right="0" w:firstLine="552" w:firstLineChars="200"/>
        <w:rPr>
          <w:rFonts w:hint="eastAsia" w:ascii="楷体" w:hAnsi="楷体" w:eastAsia="楷体" w:cs="楷体"/>
          <w:spacing w:val="-2"/>
          <w:sz w:val="28"/>
          <w:szCs w:val="28"/>
        </w:rPr>
      </w:pPr>
      <w:r>
        <w:rPr>
          <w:rFonts w:ascii="楷体" w:hAnsi="楷体" w:eastAsia="楷体" w:cs="楷体"/>
          <w:spacing w:val="-2"/>
          <w:sz w:val="28"/>
          <w:szCs w:val="28"/>
          <w:lang w:val="en-US"/>
        </w:rPr>
        <w:t>13.</w:t>
      </w:r>
      <w:r>
        <w:rPr>
          <w:rFonts w:hint="eastAsia"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2"/>
        <w:spacing w:before="9"/>
        <w:ind w:left="0" w:firstLine="0"/>
        <w:rPr>
          <w:rFonts w:ascii="楷体" w:hAnsi="楷体" w:eastAsia="楷体" w:cs="楷体"/>
          <w:sz w:val="40"/>
          <w:szCs w:val="28"/>
        </w:rPr>
      </w:pPr>
    </w:p>
    <w:p>
      <w:pPr>
        <w:pStyle w:val="12"/>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2"/>
        <w:ind w:left="0" w:firstLine="0"/>
        <w:rPr>
          <w:rFonts w:ascii="楷体" w:hAnsi="楷体" w:eastAsia="楷体" w:cs="楷体"/>
          <w:b/>
          <w:sz w:val="24"/>
          <w:szCs w:val="28"/>
        </w:rPr>
      </w:pPr>
    </w:p>
    <w:p>
      <w:pPr>
        <w:pStyle w:val="12"/>
        <w:ind w:left="0" w:firstLine="0"/>
        <w:rPr>
          <w:rFonts w:ascii="楷体" w:hAnsi="楷体" w:eastAsia="楷体" w:cs="楷体"/>
          <w:b/>
          <w:sz w:val="24"/>
          <w:szCs w:val="28"/>
        </w:rPr>
      </w:pPr>
    </w:p>
    <w:p>
      <w:pPr>
        <w:pStyle w:val="12"/>
        <w:ind w:left="0" w:firstLine="0"/>
        <w:rPr>
          <w:rFonts w:ascii="楷体" w:hAnsi="楷体" w:eastAsia="楷体" w:cs="楷体"/>
          <w:b/>
          <w:sz w:val="24"/>
          <w:szCs w:val="28"/>
        </w:rPr>
      </w:pPr>
    </w:p>
    <w:p>
      <w:pPr>
        <w:pStyle w:val="12"/>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tabs>
          <w:tab w:val="left" w:pos="5457"/>
        </w:tabs>
        <w:ind w:left="117"/>
        <w:rPr>
          <w:rFonts w:hint="eastAsia" w:ascii="楷体" w:hAnsi="楷体" w:eastAsia="楷体" w:cs="楷体"/>
          <w:b/>
          <w:sz w:val="24"/>
          <w:szCs w:val="21"/>
        </w:rPr>
      </w:pPr>
    </w:p>
    <w:p>
      <w:pPr>
        <w:tabs>
          <w:tab w:val="left" w:pos="5457"/>
        </w:tabs>
        <w:ind w:left="117"/>
        <w:rPr>
          <w:rFonts w:hint="eastAsia" w:ascii="楷体" w:hAnsi="楷体" w:eastAsia="楷体" w:cs="楷体"/>
          <w:b/>
          <w:sz w:val="24"/>
          <w:szCs w:val="21"/>
        </w:rPr>
      </w:pPr>
    </w:p>
    <w:p>
      <w:pPr>
        <w:tabs>
          <w:tab w:val="left" w:pos="5457"/>
        </w:tabs>
        <w:ind w:left="117"/>
        <w:rPr>
          <w:rFonts w:hint="eastAsia" w:ascii="楷体" w:hAnsi="楷体" w:eastAsia="楷体" w:cs="楷体"/>
          <w:b/>
          <w:sz w:val="24"/>
          <w:szCs w:val="21"/>
        </w:rPr>
      </w:pPr>
    </w:p>
    <w:p>
      <w:pPr>
        <w:tabs>
          <w:tab w:val="left" w:pos="5457"/>
        </w:tabs>
        <w:ind w:left="117"/>
        <w:rPr>
          <w:rFonts w:hint="eastAsia" w:ascii="楷体" w:hAnsi="楷体" w:eastAsia="楷体" w:cs="楷体"/>
          <w:b/>
          <w:sz w:val="24"/>
          <w:szCs w:val="21"/>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keepNext/>
        <w:keepLines/>
        <w:jc w:val="center"/>
        <w:outlineLvl w:val="0"/>
        <w:rPr>
          <w:rFonts w:hint="eastAsia" w:ascii="Calibri" w:hAnsi="Calibri" w:eastAsia="宋体" w:cs="Times New Roman"/>
          <w:b/>
          <w:bCs/>
          <w:kern w:val="44"/>
          <w:sz w:val="36"/>
          <w:szCs w:val="44"/>
        </w:rPr>
      </w:pPr>
    </w:p>
    <w:p>
      <w:pPr>
        <w:keepNext/>
        <w:keepLines/>
        <w:jc w:val="center"/>
        <w:outlineLvl w:val="0"/>
        <w:rPr>
          <w:rFonts w:hint="eastAsia" w:ascii="Calibri" w:hAnsi="Calibri" w:eastAsia="宋体" w:cs="Times New Roman"/>
          <w:b/>
          <w:bCs/>
          <w:kern w:val="44"/>
          <w:sz w:val="36"/>
          <w:szCs w:val="44"/>
        </w:r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175"/>
    </w:p>
    <w:p>
      <w:pPr>
        <w:keepNext/>
        <w:keepLines/>
        <w:rPr>
          <w:rFonts w:ascii="Times New Roman" w:hAnsi="Times New Roman" w:eastAsia="宋体" w:cs="Times New Roman"/>
          <w:b/>
          <w:bCs/>
          <w:sz w:val="24"/>
          <w:szCs w:val="24"/>
        </w:rPr>
      </w:pPr>
    </w:p>
    <w:p>
      <w:pPr>
        <w:pStyle w:val="16"/>
        <w:framePr w:wrap="around"/>
        <w:rPr>
          <w:rFonts w:hint="eastAsia"/>
          <w:color w:val="auto"/>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16"/>
        <w:framePr w:wrap="around"/>
        <w:rPr>
          <w:rFonts w:hint="eastAsia"/>
          <w:color w:val="auto"/>
        </w:rPr>
        <w:sectPr>
          <w:footerReference r:id="rId17" w:type="first"/>
          <w:headerReference r:id="rId15" w:type="default"/>
          <w:footerReference r:id="rId1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附件</w:t>
      </w:r>
      <w:r>
        <w:rPr>
          <w:rFonts w:ascii="Times New Roman" w:hAnsi="Times New Roman" w:eastAsia="宋体" w:cs="Times New Roman"/>
          <w:b/>
          <w:bCs/>
          <w:sz w:val="24"/>
          <w:szCs w:val="24"/>
        </w:rPr>
        <w:t>1</w:t>
      </w:r>
      <w:bookmarkStart w:id="1249" w:name="_Toc25811"/>
      <w:bookmarkStart w:id="1250" w:name="_Toc639004"/>
      <w:bookmarkStart w:id="1251" w:name="_Toc212369550"/>
      <w:bookmarkStart w:id="1252" w:name="_Toc353881012"/>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投标函</w:t>
      </w:r>
      <w:bookmarkEnd w:id="1249"/>
      <w:bookmarkEnd w:id="1250"/>
      <w:bookmarkEnd w:id="1251"/>
      <w:bookmarkEnd w:id="1252"/>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致：中国重汽集团济南特种车有限公司：</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根据贵方</w:t>
      </w:r>
      <w:r>
        <w:rPr>
          <w:rFonts w:hint="eastAsia" w:ascii="宋体" w:hAnsi="宋体" w:eastAsia="宋体" w:cs="宋体"/>
          <w:sz w:val="24"/>
          <w:szCs w:val="24"/>
          <w:u w:val="single"/>
        </w:rPr>
        <w:t xml:space="preserve"> 车间大屏项目配套弱电施工</w:t>
      </w:r>
      <w:r>
        <w:rPr>
          <w:rFonts w:hint="eastAsia" w:ascii="宋体" w:hAnsi="宋体" w:eastAsia="宋体" w:cs="Times New Roman"/>
          <w:bCs/>
          <w:snapToGrid w:val="0"/>
          <w:kern w:val="0"/>
          <w:sz w:val="24"/>
          <w:szCs w:val="24"/>
        </w:rPr>
        <w:t>招标公告</w:t>
      </w:r>
      <w:r>
        <w:rPr>
          <w:rFonts w:hint="eastAsia" w:ascii="宋体" w:hAnsi="宋体" w:eastAsia="宋体" w:cs="Times New Roman"/>
          <w:sz w:val="24"/>
          <w:szCs w:val="24"/>
        </w:rPr>
        <w:t>，</w:t>
      </w:r>
      <w:r>
        <w:rPr>
          <w:rFonts w:ascii="宋体" w:hAnsi="宋体" w:eastAsia="宋体" w:cs="Times New Roman"/>
          <w:b/>
          <w:sz w:val="24"/>
          <w:szCs w:val="24"/>
          <w:u w:val="single"/>
        </w:rPr>
        <w:t xml:space="preserve">            </w:t>
      </w:r>
      <w:r>
        <w:rPr>
          <w:rFonts w:hint="eastAsia" w:ascii="宋体" w:hAnsi="宋体" w:eastAsia="宋体" w:cs="Times New Roman"/>
          <w:sz w:val="24"/>
          <w:szCs w:val="24"/>
        </w:rPr>
        <w:t>投标公司，</w:t>
      </w:r>
      <w:r>
        <w:rPr>
          <w:rFonts w:ascii="宋体" w:hAnsi="宋体" w:eastAsia="宋体" w:cs="Times New Roman"/>
          <w:sz w:val="24"/>
          <w:szCs w:val="24"/>
        </w:rPr>
        <w:t xml:space="preserve"> </w:t>
      </w:r>
      <w:r>
        <w:rPr>
          <w:rFonts w:hint="eastAsia" w:ascii="宋体" w:hAnsi="宋体" w:eastAsia="宋体" w:cs="Times New Roman"/>
          <w:sz w:val="24"/>
          <w:szCs w:val="24"/>
        </w:rPr>
        <w:t>法人代表人为</w:t>
      </w:r>
      <w:r>
        <w:rPr>
          <w:rFonts w:ascii="宋体" w:hAnsi="宋体" w:eastAsia="宋体" w:cs="Times New Roman"/>
          <w:sz w:val="24"/>
          <w:szCs w:val="24"/>
          <w:u w:val="single"/>
        </w:rPr>
        <w:t xml:space="preserve">         </w:t>
      </w:r>
      <w:r>
        <w:rPr>
          <w:rFonts w:hint="eastAsia" w:ascii="宋体" w:hAnsi="宋体" w:eastAsia="宋体" w:cs="Times New Roman"/>
          <w:sz w:val="24"/>
          <w:szCs w:val="24"/>
        </w:rPr>
        <w:t>，正式授权</w:t>
      </w:r>
      <w:r>
        <w:rPr>
          <w:rFonts w:ascii="宋体" w:hAnsi="宋体" w:eastAsia="宋体" w:cs="Times New Roman"/>
          <w:sz w:val="24"/>
          <w:szCs w:val="24"/>
          <w:u w:val="single"/>
        </w:rPr>
        <w:t xml:space="preserve">           </w:t>
      </w:r>
      <w:r>
        <w:rPr>
          <w:rFonts w:ascii="宋体" w:hAnsi="宋体" w:eastAsia="宋体" w:cs="Times New Roman"/>
          <w:sz w:val="24"/>
          <w:szCs w:val="24"/>
        </w:rPr>
        <w:t xml:space="preserve"> </w:t>
      </w:r>
      <w:r>
        <w:rPr>
          <w:rFonts w:hint="eastAsia" w:ascii="宋体" w:hAnsi="宋体" w:eastAsia="宋体" w:cs="Times New Roman"/>
          <w:sz w:val="24"/>
          <w:szCs w:val="24"/>
        </w:rPr>
        <w:t>提交纸质投标文件：资质证明文件、商务文件正本</w:t>
      </w:r>
      <w:r>
        <w:rPr>
          <w:rFonts w:hint="eastAsia" w:ascii="宋体" w:hAnsi="宋体" w:eastAsia="宋体" w:cs="Times New Roman"/>
          <w:sz w:val="24"/>
          <w:szCs w:val="24"/>
          <w:highlight w:val="yellow"/>
        </w:rPr>
        <w:t>一</w:t>
      </w:r>
      <w:r>
        <w:rPr>
          <w:rFonts w:hint="eastAsia" w:ascii="宋体" w:hAnsi="宋体" w:eastAsia="宋体" w:cs="Times New Roman"/>
          <w:sz w:val="24"/>
          <w:szCs w:val="24"/>
        </w:rPr>
        <w:t>份；电子版投标文件一份。</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据此函，签字代表宣布同意如下：</w:t>
      </w:r>
    </w:p>
    <w:p>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.本投标有效期自开标日起</w:t>
      </w:r>
      <w:r>
        <w:rPr>
          <w:rFonts w:ascii="宋体" w:hAnsi="宋体" w:eastAsia="宋体" w:cs="Times New Roman"/>
          <w:bCs/>
          <w:sz w:val="24"/>
          <w:szCs w:val="24"/>
          <w:u w:val="single"/>
        </w:rPr>
        <w:t xml:space="preserve"> 90</w:t>
      </w:r>
      <w:r>
        <w:rPr>
          <w:rFonts w:hint="eastAsia" w:ascii="宋体" w:hAnsi="宋体" w:eastAsia="宋体" w:cs="Times New Roman"/>
          <w:sz w:val="24"/>
          <w:szCs w:val="24"/>
        </w:rPr>
        <w:t>个日历日。</w:t>
      </w:r>
    </w:p>
    <w:p>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.与本投标有关的一切正式往来信函请寄：</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地址：</w:t>
      </w:r>
      <w:r>
        <w:rPr>
          <w:rFonts w:ascii="宋体" w:hAnsi="宋体" w:eastAsia="宋体" w:cs="Times New Roman"/>
          <w:sz w:val="24"/>
          <w:szCs w:val="24"/>
        </w:rPr>
        <w:t xml:space="preserve">                             </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邮编：</w:t>
      </w:r>
      <w:r>
        <w:rPr>
          <w:rFonts w:ascii="宋体" w:hAnsi="宋体" w:eastAsia="宋体" w:cs="Times New Roman"/>
          <w:sz w:val="24"/>
          <w:szCs w:val="24"/>
        </w:rPr>
        <w:t xml:space="preserve">        </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电话：</w:t>
      </w:r>
      <w:r>
        <w:rPr>
          <w:rFonts w:ascii="宋体" w:hAnsi="宋体" w:eastAsia="宋体" w:cs="Times New Roman"/>
          <w:sz w:val="24"/>
          <w:szCs w:val="24"/>
        </w:rPr>
        <w:t xml:space="preserve">        </w:t>
      </w:r>
      <w:r>
        <w:rPr>
          <w:rFonts w:hint="eastAsia" w:ascii="宋体" w:hAnsi="宋体" w:eastAsia="宋体" w:cs="Times New Roman"/>
          <w:sz w:val="24"/>
          <w:szCs w:val="24"/>
        </w:rPr>
        <w:t>传真：</w:t>
      </w:r>
      <w:r>
        <w:rPr>
          <w:rFonts w:ascii="宋体" w:hAnsi="宋体" w:eastAsia="宋体" w:cs="Times New Roman"/>
          <w:sz w:val="24"/>
          <w:szCs w:val="24"/>
        </w:rPr>
        <w:t xml:space="preserve">                   </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投标人代表姓名：</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职务：</w:t>
      </w:r>
      <w:r>
        <w:rPr>
          <w:rFonts w:ascii="宋体" w:hAnsi="宋体" w:eastAsia="宋体" w:cs="Times New Roman"/>
          <w:sz w:val="24"/>
          <w:szCs w:val="24"/>
        </w:rPr>
        <w:t xml:space="preserve">          </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开户银行：</w:t>
      </w:r>
      <w:r>
        <w:rPr>
          <w:rFonts w:ascii="宋体" w:hAnsi="宋体" w:eastAsia="宋体" w:cs="Times New Roman"/>
          <w:sz w:val="24"/>
          <w:szCs w:val="24"/>
        </w:rPr>
        <w:t xml:space="preserve">                   </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银行帐号：</w:t>
      </w:r>
      <w:r>
        <w:rPr>
          <w:rFonts w:ascii="宋体" w:hAnsi="宋体" w:eastAsia="宋体" w:cs="Times New Roman"/>
          <w:sz w:val="24"/>
          <w:szCs w:val="24"/>
        </w:rPr>
        <w:t xml:space="preserve">                   </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投标人名称（</w:t>
      </w:r>
      <w:r>
        <w:rPr>
          <w:rFonts w:hint="eastAsia" w:ascii="宋体" w:hAnsi="宋体" w:eastAsia="宋体" w:cs="Times New Roman"/>
          <w:bCs/>
          <w:sz w:val="24"/>
          <w:szCs w:val="24"/>
        </w:rPr>
        <w:t>盖章）</w:t>
      </w:r>
      <w:r>
        <w:rPr>
          <w:rFonts w:ascii="宋体" w:hAnsi="宋体" w:eastAsia="宋体" w:cs="Times New Roman"/>
          <w:sz w:val="24"/>
          <w:szCs w:val="24"/>
        </w:rPr>
        <w:t xml:space="preserve">: </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授权代表签字</w:t>
      </w:r>
      <w:r>
        <w:rPr>
          <w:rFonts w:hint="eastAsia" w:ascii="宋体" w:hAnsi="宋体" w:eastAsia="宋体" w:cs="Times New Roman"/>
          <w:bCs/>
          <w:sz w:val="24"/>
          <w:szCs w:val="24"/>
        </w:rPr>
        <w:t>：</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日期：</w:t>
      </w:r>
      <w:r>
        <w:rPr>
          <w:rFonts w:ascii="宋体" w:hAnsi="宋体" w:eastAsia="宋体" w:cs="Times New Roman"/>
          <w:sz w:val="24"/>
          <w:szCs w:val="24"/>
        </w:rPr>
        <w:t xml:space="preserve">     </w:t>
      </w:r>
      <w:r>
        <w:rPr>
          <w:rFonts w:hint="eastAsia" w:ascii="宋体" w:hAnsi="宋体" w:eastAsia="宋体" w:cs="Times New Roman"/>
          <w:sz w:val="24"/>
          <w:szCs w:val="24"/>
        </w:rPr>
        <w:t>年</w:t>
      </w:r>
      <w:r>
        <w:rPr>
          <w:rFonts w:ascii="宋体" w:hAnsi="宋体" w:eastAsia="宋体" w:cs="Times New Roman"/>
          <w:sz w:val="24"/>
          <w:szCs w:val="24"/>
        </w:rPr>
        <w:t xml:space="preserve">      </w:t>
      </w:r>
      <w:r>
        <w:rPr>
          <w:rFonts w:hint="eastAsia" w:ascii="宋体" w:hAnsi="宋体" w:eastAsia="宋体" w:cs="Times New Roman"/>
          <w:sz w:val="24"/>
          <w:szCs w:val="24"/>
        </w:rPr>
        <w:t>月</w:t>
      </w:r>
      <w:r>
        <w:rPr>
          <w:rFonts w:ascii="宋体" w:hAnsi="宋体" w:eastAsia="宋体" w:cs="Times New Roman"/>
          <w:sz w:val="24"/>
          <w:szCs w:val="24"/>
        </w:rPr>
        <w:t xml:space="preserve">      </w:t>
      </w:r>
      <w:r>
        <w:rPr>
          <w:rFonts w:hint="eastAsia" w:ascii="宋体" w:hAnsi="宋体" w:eastAsia="宋体" w:cs="Times New Roman"/>
          <w:sz w:val="24"/>
          <w:szCs w:val="24"/>
        </w:rPr>
        <w:t>日</w:t>
      </w:r>
    </w:p>
    <w:p>
      <w:pPr>
        <w:rPr>
          <w:rFonts w:ascii="黑体" w:hAnsi="Calibri" w:eastAsia="黑体" w:cs="Times New Roman"/>
          <w:sz w:val="24"/>
          <w:szCs w:val="24"/>
        </w:rPr>
      </w:pPr>
    </w:p>
    <w:p>
      <w:pPr>
        <w:rPr>
          <w:rFonts w:ascii="黑体" w:hAnsi="Calibri" w:eastAsia="黑体" w:cs="Times New Roman"/>
          <w:sz w:val="24"/>
          <w:szCs w:val="24"/>
        </w:rPr>
      </w:pPr>
    </w:p>
    <w:p>
      <w:pPr>
        <w:pStyle w:val="16"/>
        <w:framePr w:wrap="around"/>
        <w:rPr>
          <w:rFonts w:hint="eastAsia"/>
          <w:color w:val="auto"/>
        </w:rPr>
      </w:pPr>
    </w:p>
    <w:p>
      <w:pPr>
        <w:pStyle w:val="16"/>
        <w:framePr w:wrap="around"/>
        <w:rPr>
          <w:rFonts w:hint="eastAsia"/>
          <w:color w:val="auto"/>
        </w:rPr>
      </w:pPr>
    </w:p>
    <w:p>
      <w:pPr>
        <w:pStyle w:val="16"/>
        <w:framePr w:wrap="around"/>
        <w:rPr>
          <w:rFonts w:hint="eastAsia"/>
          <w:color w:val="auto"/>
        </w:rPr>
      </w:pPr>
    </w:p>
    <w:p>
      <w:pPr>
        <w:pStyle w:val="16"/>
        <w:framePr w:wrap="around"/>
        <w:rPr>
          <w:rFonts w:hint="eastAsia"/>
          <w:color w:val="auto"/>
        </w:rPr>
      </w:pPr>
    </w:p>
    <w:p>
      <w:pPr>
        <w:rPr>
          <w:rFonts w:ascii="黑体" w:hAnsi="Calibri" w:eastAsia="黑体" w:cs="Times New Roman"/>
          <w:sz w:val="24"/>
          <w:szCs w:val="24"/>
        </w:rPr>
      </w:pPr>
    </w:p>
    <w:p>
      <w:pPr>
        <w:keepNext/>
        <w:keepLines/>
        <w:outlineLvl w:val="2"/>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附件</w:t>
      </w:r>
      <w:r>
        <w:rPr>
          <w:rFonts w:ascii="Times New Roman" w:hAnsi="Times New Roman" w:eastAsia="宋体" w:cs="Times New Roman"/>
          <w:b/>
          <w:bCs/>
          <w:sz w:val="24"/>
          <w:szCs w:val="24"/>
        </w:rPr>
        <w:t xml:space="preserve">2 </w:t>
      </w:r>
      <w:r>
        <w:rPr>
          <w:rFonts w:hint="eastAsia" w:ascii="Times New Roman" w:hAnsi="Times New Roman" w:eastAsia="宋体" w:cs="Times New Roman"/>
          <w:b/>
          <w:bCs/>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本授权委托书声明：我＿＿＿＿＿＿＿（姓名）系＿＿＿＿＿＿＿＿＿＿＿＿＿＿＿＿＿＿＿＿＿＿＿＿＿＿＿＿（投标人全称）的法定代表人，就</w:t>
      </w:r>
      <w:r>
        <w:rPr>
          <w:rFonts w:ascii="宋体" w:hAnsi="宋体" w:eastAsia="宋体" w:cs="Times New Roman"/>
          <w:b/>
          <w:bCs/>
          <w:sz w:val="24"/>
          <w:szCs w:val="24"/>
          <w:u w:val="single"/>
        </w:rPr>
        <w:t xml:space="preserve"> </w:t>
      </w:r>
      <w:r>
        <w:rPr>
          <w:rFonts w:hint="eastAsia" w:ascii="宋体" w:hAnsi="宋体" w:eastAsia="宋体" w:cs="宋体"/>
          <w:sz w:val="24"/>
          <w:szCs w:val="24"/>
          <w:u w:val="single"/>
        </w:rPr>
        <w:t>特种车公司车间大屏项目配套弱电施工</w:t>
      </w:r>
      <w:r>
        <w:rPr>
          <w:rFonts w:ascii="宋体" w:hAnsi="宋体" w:eastAsia="宋体" w:cs="Times New Roman"/>
          <w:b/>
          <w:bCs/>
          <w:sz w:val="24"/>
          <w:szCs w:val="24"/>
        </w:rPr>
        <w:t xml:space="preserve"> </w:t>
      </w:r>
      <w:r>
        <w:rPr>
          <w:rFonts w:hint="eastAsia" w:ascii="宋体" w:hAnsi="宋体" w:eastAsia="宋体" w:cs="Times New Roman"/>
          <w:sz w:val="24"/>
          <w:szCs w:val="24"/>
        </w:rPr>
        <w:t>（CGZX2025080168）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全权代表姓名：</w:t>
      </w:r>
      <w:r>
        <w:rPr>
          <w:rFonts w:ascii="宋体" w:hAnsi="宋体" w:eastAsia="宋体" w:cs="Times New Roman"/>
          <w:sz w:val="24"/>
          <w:szCs w:val="24"/>
        </w:rPr>
        <w:t xml:space="preserve">            </w:t>
      </w:r>
      <w:r>
        <w:rPr>
          <w:rFonts w:hint="eastAsia" w:ascii="宋体" w:hAnsi="宋体" w:eastAsia="宋体" w:cs="Times New Roman"/>
          <w:sz w:val="24"/>
          <w:szCs w:val="24"/>
        </w:rPr>
        <w:t>性别：</w:t>
      </w:r>
      <w:r>
        <w:rPr>
          <w:rFonts w:ascii="宋体" w:hAnsi="宋体" w:eastAsia="宋体" w:cs="Times New Roman"/>
          <w:sz w:val="24"/>
          <w:szCs w:val="24"/>
        </w:rPr>
        <w:t xml:space="preserve">          </w:t>
      </w:r>
      <w:r>
        <w:rPr>
          <w:rFonts w:hint="eastAsia" w:ascii="宋体" w:hAnsi="宋体" w:eastAsia="宋体" w:cs="Times New Roman"/>
          <w:sz w:val="24"/>
          <w:szCs w:val="24"/>
        </w:rPr>
        <w:t>年龄：</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单位：</w:t>
      </w:r>
      <w:r>
        <w:rPr>
          <w:rFonts w:ascii="宋体" w:hAnsi="宋体" w:eastAsia="宋体" w:cs="Times New Roman"/>
          <w:sz w:val="24"/>
          <w:szCs w:val="24"/>
        </w:rPr>
        <w:t xml:space="preserve">                    </w:t>
      </w:r>
      <w:r>
        <w:rPr>
          <w:rFonts w:hint="eastAsia" w:ascii="宋体" w:hAnsi="宋体" w:eastAsia="宋体" w:cs="Times New Roman"/>
          <w:sz w:val="24"/>
          <w:szCs w:val="24"/>
        </w:rPr>
        <w:t>部门：</w:t>
      </w:r>
      <w:r>
        <w:rPr>
          <w:rFonts w:ascii="宋体" w:hAnsi="宋体" w:eastAsia="宋体" w:cs="Times New Roman"/>
          <w:sz w:val="24"/>
          <w:szCs w:val="24"/>
        </w:rPr>
        <w:t xml:space="preserve">          </w:t>
      </w:r>
      <w:r>
        <w:rPr>
          <w:rFonts w:hint="eastAsia" w:ascii="宋体" w:hAnsi="宋体" w:eastAsia="宋体" w:cs="Times New Roman"/>
          <w:sz w:val="24"/>
          <w:szCs w:val="24"/>
        </w:rPr>
        <w:t>职务：</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法定代表人签字或盖章</w:t>
      </w:r>
      <w:r>
        <w:rPr>
          <w:rFonts w:ascii="宋体" w:hAnsi="宋体" w:eastAsia="宋体" w:cs="Times New Roman"/>
          <w:sz w:val="24"/>
          <w:szCs w:val="24"/>
        </w:rPr>
        <w:t xml:space="preserve">                          </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被授权人签字</w:t>
      </w:r>
      <w:r>
        <w:rPr>
          <w:rFonts w:ascii="宋体" w:hAnsi="宋体" w:eastAsia="宋体" w:cs="Times New Roman"/>
          <w:sz w:val="24"/>
          <w:szCs w:val="24"/>
        </w:rPr>
        <w:t xml:space="preserve">  </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被授权人电话：</w:t>
      </w:r>
      <w:r>
        <w:rPr>
          <w:rFonts w:ascii="宋体" w:hAnsi="宋体" w:eastAsia="宋体" w:cs="Times New Roman"/>
          <w:sz w:val="24"/>
          <w:szCs w:val="24"/>
        </w:rPr>
        <w:t xml:space="preserve">                          </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投标人名称（公章）</w:t>
      </w:r>
      <w:r>
        <w:rPr>
          <w:rFonts w:ascii="宋体" w:hAnsi="宋体" w:eastAsia="宋体" w:cs="Times New Roman"/>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sz w:val="28"/>
          <w:szCs w:val="20"/>
        </w:rPr>
      </w:pPr>
    </w:p>
    <w:p>
      <w:pPr>
        <w:pStyle w:val="16"/>
        <w:framePr w:wrap="around"/>
        <w:rPr>
          <w:rFonts w:hint="eastAsia"/>
          <w:color w:val="auto"/>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sz w:val="24"/>
          <w:szCs w:val="24"/>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29"/>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rPr>
            </w:pPr>
          </w:p>
        </w:tc>
        <w:tc>
          <w:tcPr>
            <w:tcW w:w="1310" w:type="dxa"/>
          </w:tcPr>
          <w:p>
            <w:pPr>
              <w:pStyle w:val="129"/>
              <w:spacing w:before="106"/>
              <w:ind w:left="154" w:right="26"/>
              <w:jc w:val="center"/>
              <w:rPr>
                <w:rFonts w:hint="eastAsia"/>
              </w:rPr>
            </w:pPr>
            <w:r>
              <w:t xml:space="preserve">联系人 </w:t>
            </w:r>
          </w:p>
        </w:tc>
        <w:tc>
          <w:tcPr>
            <w:tcW w:w="1510" w:type="dxa"/>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29"/>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rPr>
            </w:pPr>
          </w:p>
        </w:tc>
        <w:tc>
          <w:tcPr>
            <w:tcW w:w="1310" w:type="dxa"/>
          </w:tcPr>
          <w:p>
            <w:pPr>
              <w:pStyle w:val="129"/>
              <w:spacing w:before="106"/>
              <w:ind w:left="154" w:right="26"/>
              <w:jc w:val="center"/>
              <w:rPr>
                <w:rFonts w:hint="eastAsia"/>
              </w:rPr>
            </w:pPr>
            <w:r>
              <w:t xml:space="preserve">联系人电话 </w:t>
            </w:r>
          </w:p>
        </w:tc>
        <w:tc>
          <w:tcPr>
            <w:tcW w:w="1510" w:type="dxa"/>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29"/>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rPr>
            </w:pPr>
          </w:p>
        </w:tc>
        <w:tc>
          <w:tcPr>
            <w:tcW w:w="1310" w:type="dxa"/>
          </w:tcPr>
          <w:p>
            <w:pPr>
              <w:pStyle w:val="129"/>
              <w:spacing w:before="103"/>
              <w:ind w:left="154" w:right="26"/>
              <w:jc w:val="center"/>
              <w:rPr>
                <w:rFonts w:hint="eastAsia"/>
              </w:rPr>
            </w:pPr>
            <w:r>
              <w:rPr>
                <w:rFonts w:hint="eastAsia"/>
              </w:rPr>
              <w:t>注册时间</w:t>
            </w:r>
            <w:r>
              <w:t xml:space="preserve"> </w:t>
            </w:r>
          </w:p>
        </w:tc>
        <w:tc>
          <w:tcPr>
            <w:tcW w:w="1510" w:type="dxa"/>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4" w:hRule="atLeast"/>
        </w:trPr>
        <w:tc>
          <w:tcPr>
            <w:tcW w:w="1956" w:type="dxa"/>
          </w:tcPr>
          <w:p>
            <w:pPr>
              <w:pStyle w:val="129"/>
              <w:spacing w:before="111"/>
              <w:ind w:left="509"/>
              <w:rPr>
                <w:rFonts w:hint="eastAsia"/>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eastAsia" w:ascii="宋体" w:hAnsi="宋体" w:cs="宋体"/>
              </w:rPr>
            </w:pPr>
          </w:p>
        </w:tc>
        <w:tc>
          <w:tcPr>
            <w:tcW w:w="1310" w:type="dxa"/>
          </w:tcPr>
          <w:p>
            <w:pPr>
              <w:pStyle w:val="129"/>
              <w:spacing w:before="103"/>
              <w:ind w:right="26"/>
              <w:jc w:val="center"/>
              <w:rPr>
                <w:rFonts w:hint="eastAsia"/>
              </w:rPr>
            </w:pPr>
            <w:r>
              <w:t>企业资质</w:t>
            </w:r>
          </w:p>
        </w:tc>
        <w:tc>
          <w:tcPr>
            <w:tcW w:w="1510" w:type="dxa"/>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14"/>
              <w:ind w:left="720"/>
              <w:rPr>
                <w:rFonts w:hint="eastAsia"/>
              </w:rPr>
            </w:pPr>
            <w:r>
              <w:t xml:space="preserve">品牌区分 </w:t>
            </w:r>
          </w:p>
        </w:tc>
        <w:tc>
          <w:tcPr>
            <w:tcW w:w="7500" w:type="dxa"/>
            <w:gridSpan w:val="6"/>
          </w:tcPr>
          <w:p>
            <w:pPr>
              <w:pStyle w:val="129"/>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29"/>
              <w:spacing w:before="15"/>
              <w:ind w:left="279"/>
              <w:rPr>
                <w:rFonts w:hint="eastAsia"/>
              </w:rPr>
            </w:pPr>
            <w:r>
              <w:rPr>
                <w:spacing w:val="-2"/>
              </w:rPr>
              <w:t>质量</w:t>
            </w:r>
            <w:r>
              <w:t xml:space="preserve"> </w:t>
            </w:r>
          </w:p>
          <w:p>
            <w:pPr>
              <w:pStyle w:val="129"/>
              <w:spacing w:before="30" w:line="277" w:lineRule="exact"/>
              <w:ind w:left="279"/>
              <w:rPr>
                <w:rFonts w:hint="eastAsia"/>
              </w:rPr>
            </w:pPr>
            <w:r>
              <w:rPr>
                <w:rFonts w:hint="eastAsia"/>
              </w:rPr>
              <w:t>体系</w:t>
            </w:r>
          </w:p>
        </w:tc>
        <w:tc>
          <w:tcPr>
            <w:tcW w:w="2820" w:type="dxa"/>
            <w:gridSpan w:val="2"/>
          </w:tcPr>
          <w:p>
            <w:pPr>
              <w:pStyle w:val="129"/>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29"/>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16"/>
        <w:framePr w:wrap="around" w:hAnchor="page" w:x="1210" w:y="-795"/>
        <w:ind w:firstLine="0" w:firstLineChars="0"/>
        <w:rPr>
          <w:rFonts w:hint="eastAsia"/>
          <w:color w:val="auto"/>
        </w:rPr>
      </w:pPr>
    </w:p>
    <w:p>
      <w:pPr>
        <w:pStyle w:val="16"/>
        <w:framePr w:wrap="around" w:hAnchor="page" w:x="1210" w:y="-795"/>
        <w:rPr>
          <w:rFonts w:hint="eastAsia"/>
          <w:color w:val="auto"/>
        </w:rPr>
      </w:pPr>
    </w:p>
    <w:p>
      <w:pPr>
        <w:pStyle w:val="16"/>
        <w:framePr w:wrap="around" w:hAnchor="page" w:x="1210" w:y="-795"/>
        <w:rPr>
          <w:rFonts w:hint="eastAsia"/>
          <w:color w:val="auto"/>
        </w:rPr>
      </w:pPr>
    </w:p>
    <w:p>
      <w:pPr>
        <w:pStyle w:val="16"/>
        <w:framePr w:wrap="around" w:hAnchor="page" w:x="1210" w:y="-795"/>
        <w:ind w:firstLine="0" w:firstLineChars="0"/>
        <w:rPr>
          <w:rFonts w:hint="eastAsia"/>
          <w:color w:val="auto"/>
          <w:spacing w:val="-9"/>
          <w14:textOutline w14:w="4356" w14:cap="flat" w14:cmpd="sng" w14:algn="ctr">
            <w14:solidFill>
              <w14:srgbClr w14:val="000000"/>
            </w14:solidFill>
            <w14:prstDash w14:val="solid"/>
            <w14:miter w14:val="0"/>
          </w14:textOutline>
        </w:rPr>
      </w:pPr>
    </w:p>
    <w:p>
      <w:pPr>
        <w:pStyle w:val="16"/>
        <w:framePr w:wrap="around" w:hAnchor="page" w:x="1210" w:y="-795"/>
        <w:ind w:firstLine="0" w:firstLineChars="0"/>
        <w:rPr>
          <w:rFonts w:hint="eastAsia"/>
          <w:color w:val="auto"/>
        </w:rPr>
      </w:pPr>
      <w:r>
        <w:rPr>
          <w:color w:val="auto"/>
          <w:spacing w:val="-9"/>
          <w14:textOutline w14:w="4356" w14:cap="flat" w14:cmpd="sng" w14:algn="ctr">
            <w14:solidFill>
              <w14:srgbClr w14:val="000000"/>
            </w14:solidFill>
            <w14:prstDash w14:val="solid"/>
            <w14:miter w14:val="0"/>
          </w14:textOutline>
        </w:rPr>
        <w:t>表</w:t>
      </w:r>
      <w:r>
        <w:rPr>
          <w:color w:val="auto"/>
          <w:spacing w:val="-7"/>
        </w:rPr>
        <w:t xml:space="preserve"> </w:t>
      </w:r>
      <w:r>
        <w:rPr>
          <w:color w:val="auto"/>
          <w:spacing w:val="-7"/>
          <w14:textOutline w14:w="4356" w14:cap="flat" w14:cmpd="sng" w14:algn="ctr">
            <w14:solidFill>
              <w14:srgbClr w14:val="000000"/>
            </w14:solidFill>
            <w14:prstDash w14:val="solid"/>
            <w14:miter w14:val="0"/>
          </w14:textOutline>
        </w:rPr>
        <w:t>2</w:t>
      </w:r>
      <w:r>
        <w:rPr>
          <w:rFonts w:hint="eastAsia"/>
          <w:color w:val="auto"/>
          <w:spacing w:val="-7"/>
          <w14:textOutline w14:w="4356" w14:cap="flat" w14:cmpd="sng" w14:algn="ctr">
            <w14:solidFill>
              <w14:srgbClr w14:val="000000"/>
            </w14:solidFill>
            <w14:prstDash w14:val="solid"/>
            <w14:miter w14:val="0"/>
          </w14:textOutline>
        </w:rPr>
        <w:t xml:space="preserve"> </w:t>
      </w:r>
      <w:r>
        <w:rPr>
          <w:rFonts w:hint="eastAsia"/>
          <w:color w:val="auto"/>
        </w:rPr>
        <w:t>资产情况汇总表</w:t>
      </w:r>
    </w:p>
    <w:tbl>
      <w:tblPr>
        <w:tblStyle w:val="35"/>
        <w:tblpPr w:leftFromText="180" w:rightFromText="180" w:vertAnchor="text" w:horzAnchor="page" w:tblpXSpec="center" w:tblpY="29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sz w:val="24"/>
                <w:szCs w:val="24"/>
                <w:u w:val="single"/>
              </w:rPr>
              <w:t xml:space="preserve">                   </w:t>
            </w:r>
            <w:r>
              <w:rPr>
                <w:rFonts w:hint="eastAsia" w:ascii="宋体" w:hAnsi="宋体" w:eastAsia="宋体"/>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sz w:val="24"/>
                <w:szCs w:val="24"/>
              </w:rPr>
            </w:pPr>
            <w:r>
              <w:rPr>
                <w:rFonts w:hint="eastAsia" w:ascii="宋体" w:hAnsi="宋体" w:eastAsia="宋体"/>
                <w:sz w:val="24"/>
                <w:szCs w:val="24"/>
              </w:rPr>
              <w:t>注册资金（万元）</w:t>
            </w:r>
          </w:p>
        </w:tc>
        <w:tc>
          <w:tcPr>
            <w:tcW w:w="3865" w:type="dxa"/>
            <w:gridSpan w:val="3"/>
          </w:tcPr>
          <w:p>
            <w:pPr>
              <w:spacing w:line="440" w:lineRule="exact"/>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sz w:val="24"/>
                <w:szCs w:val="24"/>
              </w:rPr>
            </w:pPr>
            <w:r>
              <w:rPr>
                <w:rFonts w:ascii="宋体" w:hAnsi="宋体" w:eastAsia="宋体"/>
                <w:sz w:val="24"/>
                <w:szCs w:val="24"/>
              </w:rPr>
              <w:t>实收资金（万元）</w:t>
            </w:r>
          </w:p>
        </w:tc>
        <w:tc>
          <w:tcPr>
            <w:tcW w:w="3865" w:type="dxa"/>
            <w:gridSpan w:val="3"/>
          </w:tcPr>
          <w:p>
            <w:pPr>
              <w:spacing w:line="440" w:lineRule="exact"/>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sz w:val="24"/>
                <w:szCs w:val="24"/>
              </w:rPr>
            </w:pPr>
            <w:r>
              <w:rPr>
                <w:rFonts w:hint="eastAsia" w:ascii="宋体" w:hAnsi="宋体" w:eastAsia="宋体"/>
                <w:sz w:val="24"/>
                <w:szCs w:val="24"/>
              </w:rPr>
              <w:t>年度资产情况</w:t>
            </w:r>
          </w:p>
        </w:tc>
        <w:tc>
          <w:tcPr>
            <w:tcW w:w="1287" w:type="dxa"/>
            <w:vAlign w:val="center"/>
          </w:tcPr>
          <w:p>
            <w:pPr>
              <w:spacing w:line="440" w:lineRule="exact"/>
              <w:jc w:val="center"/>
              <w:rPr>
                <w:rFonts w:hint="eastAsia" w:ascii="宋体" w:hAnsi="宋体"/>
                <w:sz w:val="24"/>
                <w:szCs w:val="24"/>
              </w:rPr>
            </w:pPr>
            <w:r>
              <w:rPr>
                <w:rFonts w:hint="eastAsia" w:ascii="宋体" w:hAnsi="宋体" w:eastAsia="宋体"/>
                <w:sz w:val="24"/>
                <w:szCs w:val="24"/>
              </w:rPr>
              <w:t>2022年</w:t>
            </w:r>
          </w:p>
        </w:tc>
        <w:tc>
          <w:tcPr>
            <w:tcW w:w="1288" w:type="dxa"/>
            <w:vAlign w:val="center"/>
          </w:tcPr>
          <w:p>
            <w:pPr>
              <w:spacing w:line="440" w:lineRule="exact"/>
              <w:jc w:val="center"/>
              <w:rPr>
                <w:rFonts w:hint="eastAsia" w:ascii="宋体" w:hAnsi="宋体"/>
                <w:sz w:val="24"/>
                <w:szCs w:val="24"/>
              </w:rPr>
            </w:pPr>
            <w:r>
              <w:rPr>
                <w:rFonts w:hint="eastAsia" w:ascii="宋体" w:hAnsi="宋体" w:eastAsia="宋体"/>
                <w:sz w:val="24"/>
                <w:szCs w:val="24"/>
              </w:rPr>
              <w:t>2023年</w:t>
            </w:r>
          </w:p>
        </w:tc>
        <w:tc>
          <w:tcPr>
            <w:tcW w:w="1290" w:type="dxa"/>
            <w:vAlign w:val="center"/>
          </w:tcPr>
          <w:p>
            <w:pPr>
              <w:spacing w:line="440" w:lineRule="exact"/>
              <w:jc w:val="center"/>
              <w:rPr>
                <w:rFonts w:hint="eastAsia" w:ascii="宋体" w:hAnsi="宋体"/>
                <w:sz w:val="24"/>
                <w:szCs w:val="24"/>
              </w:rPr>
            </w:pPr>
            <w:r>
              <w:rPr>
                <w:rFonts w:hint="eastAsia" w:ascii="宋体" w:hAnsi="宋体" w:eastAsia="宋体"/>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sz w:val="24"/>
                <w:szCs w:val="24"/>
              </w:rPr>
            </w:pPr>
            <w:r>
              <w:rPr>
                <w:rFonts w:hint="eastAsia" w:ascii="宋体" w:hAnsi="宋体" w:eastAsia="宋体"/>
                <w:sz w:val="24"/>
                <w:szCs w:val="24"/>
              </w:rPr>
              <w:t>流动资产（万元）</w:t>
            </w:r>
          </w:p>
        </w:tc>
        <w:tc>
          <w:tcPr>
            <w:tcW w:w="1287" w:type="dxa"/>
          </w:tcPr>
          <w:p>
            <w:pPr>
              <w:spacing w:line="440" w:lineRule="exact"/>
              <w:jc w:val="center"/>
              <w:rPr>
                <w:rFonts w:hint="eastAsia" w:ascii="宋体" w:hAnsi="宋体"/>
                <w:sz w:val="24"/>
                <w:szCs w:val="24"/>
              </w:rPr>
            </w:pPr>
          </w:p>
        </w:tc>
        <w:tc>
          <w:tcPr>
            <w:tcW w:w="1288" w:type="dxa"/>
          </w:tcPr>
          <w:p>
            <w:pPr>
              <w:spacing w:line="440" w:lineRule="exact"/>
              <w:jc w:val="center"/>
              <w:rPr>
                <w:rFonts w:hint="eastAsia" w:ascii="宋体" w:hAnsi="宋体"/>
                <w:sz w:val="24"/>
                <w:szCs w:val="24"/>
              </w:rPr>
            </w:pPr>
          </w:p>
        </w:tc>
        <w:tc>
          <w:tcPr>
            <w:tcW w:w="1290" w:type="dxa"/>
          </w:tcPr>
          <w:p>
            <w:pPr>
              <w:spacing w:line="440" w:lineRule="exact"/>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sz w:val="24"/>
                <w:szCs w:val="24"/>
              </w:rPr>
            </w:pPr>
            <w:r>
              <w:rPr>
                <w:rFonts w:hint="eastAsia" w:ascii="宋体" w:hAnsi="宋体" w:eastAsia="宋体"/>
                <w:sz w:val="24"/>
                <w:szCs w:val="24"/>
              </w:rPr>
              <w:t>非流动资产（万元）</w:t>
            </w:r>
          </w:p>
        </w:tc>
        <w:tc>
          <w:tcPr>
            <w:tcW w:w="1287" w:type="dxa"/>
          </w:tcPr>
          <w:p>
            <w:pPr>
              <w:spacing w:line="440" w:lineRule="exact"/>
              <w:jc w:val="center"/>
              <w:rPr>
                <w:rFonts w:hint="eastAsia" w:ascii="宋体" w:hAnsi="宋体"/>
                <w:sz w:val="24"/>
                <w:szCs w:val="24"/>
              </w:rPr>
            </w:pPr>
          </w:p>
        </w:tc>
        <w:tc>
          <w:tcPr>
            <w:tcW w:w="1288" w:type="dxa"/>
          </w:tcPr>
          <w:p>
            <w:pPr>
              <w:spacing w:line="440" w:lineRule="exact"/>
              <w:jc w:val="center"/>
              <w:rPr>
                <w:rFonts w:hint="eastAsia" w:ascii="宋体" w:hAnsi="宋体"/>
                <w:sz w:val="24"/>
                <w:szCs w:val="24"/>
              </w:rPr>
            </w:pPr>
          </w:p>
        </w:tc>
        <w:tc>
          <w:tcPr>
            <w:tcW w:w="1290" w:type="dxa"/>
          </w:tcPr>
          <w:p>
            <w:pPr>
              <w:spacing w:line="440" w:lineRule="exact"/>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sz w:val="24"/>
                <w:szCs w:val="24"/>
              </w:rPr>
            </w:pPr>
            <w:r>
              <w:rPr>
                <w:rFonts w:hint="eastAsia" w:ascii="宋体" w:hAnsi="宋体" w:eastAsia="宋体"/>
                <w:sz w:val="24"/>
                <w:szCs w:val="24"/>
              </w:rPr>
              <w:t>营业收入（万元）</w:t>
            </w:r>
          </w:p>
        </w:tc>
        <w:tc>
          <w:tcPr>
            <w:tcW w:w="1287" w:type="dxa"/>
          </w:tcPr>
          <w:p>
            <w:pPr>
              <w:spacing w:line="440" w:lineRule="exact"/>
              <w:jc w:val="center"/>
              <w:rPr>
                <w:rFonts w:hint="eastAsia" w:ascii="宋体" w:hAnsi="宋体"/>
                <w:sz w:val="24"/>
                <w:szCs w:val="24"/>
                <w:highlight w:val="yellow"/>
              </w:rPr>
            </w:pPr>
          </w:p>
        </w:tc>
        <w:tc>
          <w:tcPr>
            <w:tcW w:w="1288" w:type="dxa"/>
          </w:tcPr>
          <w:p>
            <w:pPr>
              <w:spacing w:line="440" w:lineRule="exact"/>
              <w:jc w:val="center"/>
              <w:rPr>
                <w:rFonts w:hint="eastAsia" w:ascii="宋体" w:hAnsi="宋体"/>
                <w:sz w:val="24"/>
                <w:szCs w:val="24"/>
                <w:highlight w:val="yellow"/>
              </w:rPr>
            </w:pPr>
          </w:p>
        </w:tc>
        <w:tc>
          <w:tcPr>
            <w:tcW w:w="1290" w:type="dxa"/>
          </w:tcPr>
          <w:p>
            <w:pPr>
              <w:spacing w:line="440" w:lineRule="exact"/>
              <w:jc w:val="center"/>
              <w:rPr>
                <w:rFonts w:hint="eastAsia" w:ascii="宋体" w:hAnsi="宋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sz w:val="24"/>
                <w:szCs w:val="24"/>
              </w:rPr>
            </w:pPr>
            <w:r>
              <w:rPr>
                <w:rFonts w:hint="eastAsia" w:ascii="宋体" w:hAnsi="宋体" w:eastAsia="宋体"/>
                <w:sz w:val="24"/>
                <w:szCs w:val="24"/>
              </w:rPr>
              <w:t>年底资产总值（万元）</w:t>
            </w:r>
          </w:p>
        </w:tc>
        <w:tc>
          <w:tcPr>
            <w:tcW w:w="1287" w:type="dxa"/>
          </w:tcPr>
          <w:p>
            <w:pPr>
              <w:spacing w:line="440" w:lineRule="exact"/>
              <w:jc w:val="center"/>
              <w:rPr>
                <w:rFonts w:hint="eastAsia" w:ascii="宋体" w:hAnsi="宋体"/>
                <w:sz w:val="24"/>
                <w:szCs w:val="24"/>
              </w:rPr>
            </w:pPr>
          </w:p>
        </w:tc>
        <w:tc>
          <w:tcPr>
            <w:tcW w:w="1288" w:type="dxa"/>
          </w:tcPr>
          <w:p>
            <w:pPr>
              <w:spacing w:line="440" w:lineRule="exact"/>
              <w:jc w:val="center"/>
              <w:rPr>
                <w:rFonts w:hint="eastAsia" w:ascii="宋体" w:hAnsi="宋体"/>
                <w:sz w:val="24"/>
                <w:szCs w:val="24"/>
              </w:rPr>
            </w:pPr>
          </w:p>
        </w:tc>
        <w:tc>
          <w:tcPr>
            <w:tcW w:w="1290" w:type="dxa"/>
          </w:tcPr>
          <w:p>
            <w:pPr>
              <w:spacing w:line="440" w:lineRule="exact"/>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sz w:val="24"/>
                <w:szCs w:val="24"/>
              </w:rPr>
            </w:pPr>
            <w:r>
              <w:rPr>
                <w:rFonts w:hint="eastAsia" w:ascii="宋体" w:hAnsi="宋体" w:eastAsia="宋体"/>
                <w:sz w:val="24"/>
                <w:szCs w:val="24"/>
              </w:rPr>
              <w:t>年底负债总值（万元）</w:t>
            </w:r>
          </w:p>
        </w:tc>
        <w:tc>
          <w:tcPr>
            <w:tcW w:w="1287" w:type="dxa"/>
          </w:tcPr>
          <w:p>
            <w:pPr>
              <w:spacing w:line="440" w:lineRule="exact"/>
              <w:jc w:val="center"/>
              <w:rPr>
                <w:rFonts w:hint="eastAsia" w:ascii="宋体" w:hAnsi="宋体"/>
                <w:sz w:val="24"/>
                <w:szCs w:val="24"/>
              </w:rPr>
            </w:pPr>
          </w:p>
        </w:tc>
        <w:tc>
          <w:tcPr>
            <w:tcW w:w="1288" w:type="dxa"/>
          </w:tcPr>
          <w:p>
            <w:pPr>
              <w:spacing w:line="440" w:lineRule="exact"/>
              <w:jc w:val="center"/>
              <w:rPr>
                <w:rFonts w:hint="eastAsia" w:ascii="宋体" w:hAnsi="宋体"/>
                <w:sz w:val="24"/>
                <w:szCs w:val="24"/>
              </w:rPr>
            </w:pPr>
          </w:p>
        </w:tc>
        <w:tc>
          <w:tcPr>
            <w:tcW w:w="1290" w:type="dxa"/>
          </w:tcPr>
          <w:p>
            <w:pPr>
              <w:spacing w:line="440" w:lineRule="exact"/>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sz w:val="24"/>
                <w:szCs w:val="24"/>
              </w:rPr>
            </w:pPr>
            <w:r>
              <w:rPr>
                <w:rFonts w:ascii="宋体" w:hAnsi="宋体" w:eastAsia="宋体"/>
                <w:sz w:val="24"/>
                <w:szCs w:val="24"/>
              </w:rPr>
              <w:t>资产负债率</w:t>
            </w:r>
            <w:r>
              <w:rPr>
                <w:rFonts w:hint="eastAsia" w:ascii="宋体" w:hAnsi="宋体" w:eastAsia="宋体"/>
                <w:sz w:val="24"/>
                <w:szCs w:val="24"/>
              </w:rPr>
              <w:t>（  %）</w:t>
            </w:r>
          </w:p>
        </w:tc>
        <w:tc>
          <w:tcPr>
            <w:tcW w:w="1287" w:type="dxa"/>
          </w:tcPr>
          <w:p>
            <w:pPr>
              <w:spacing w:line="440" w:lineRule="exact"/>
              <w:jc w:val="center"/>
              <w:rPr>
                <w:rFonts w:hint="eastAsia" w:ascii="宋体" w:hAnsi="宋体"/>
                <w:sz w:val="24"/>
                <w:szCs w:val="24"/>
                <w:highlight w:val="yellow"/>
              </w:rPr>
            </w:pPr>
          </w:p>
        </w:tc>
        <w:tc>
          <w:tcPr>
            <w:tcW w:w="1288" w:type="dxa"/>
          </w:tcPr>
          <w:p>
            <w:pPr>
              <w:spacing w:line="440" w:lineRule="exact"/>
              <w:jc w:val="center"/>
              <w:rPr>
                <w:rFonts w:hint="eastAsia" w:ascii="宋体" w:hAnsi="宋体"/>
                <w:sz w:val="24"/>
                <w:szCs w:val="24"/>
                <w:highlight w:val="yellow"/>
              </w:rPr>
            </w:pPr>
          </w:p>
        </w:tc>
        <w:tc>
          <w:tcPr>
            <w:tcW w:w="1290" w:type="dxa"/>
          </w:tcPr>
          <w:p>
            <w:pPr>
              <w:spacing w:line="440" w:lineRule="exact"/>
              <w:jc w:val="center"/>
              <w:rPr>
                <w:rFonts w:hint="eastAsia" w:ascii="宋体" w:hAnsi="宋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sz w:val="24"/>
                <w:szCs w:val="24"/>
              </w:rPr>
            </w:pPr>
            <w:r>
              <w:rPr>
                <w:rFonts w:hint="eastAsia" w:ascii="宋体" w:hAnsi="宋体" w:eastAsia="宋体"/>
                <w:sz w:val="24"/>
                <w:szCs w:val="24"/>
              </w:rPr>
              <w:t>净利润（万元）</w:t>
            </w:r>
          </w:p>
        </w:tc>
        <w:tc>
          <w:tcPr>
            <w:tcW w:w="1287" w:type="dxa"/>
          </w:tcPr>
          <w:p>
            <w:pPr>
              <w:spacing w:line="440" w:lineRule="exact"/>
              <w:jc w:val="center"/>
              <w:rPr>
                <w:rFonts w:hint="eastAsia" w:ascii="宋体" w:hAnsi="宋体"/>
                <w:sz w:val="24"/>
                <w:szCs w:val="24"/>
                <w:highlight w:val="yellow"/>
              </w:rPr>
            </w:pPr>
          </w:p>
        </w:tc>
        <w:tc>
          <w:tcPr>
            <w:tcW w:w="1288" w:type="dxa"/>
          </w:tcPr>
          <w:p>
            <w:pPr>
              <w:spacing w:line="440" w:lineRule="exact"/>
              <w:jc w:val="center"/>
              <w:rPr>
                <w:rFonts w:hint="eastAsia" w:ascii="宋体" w:hAnsi="宋体"/>
                <w:sz w:val="24"/>
                <w:szCs w:val="24"/>
                <w:highlight w:val="yellow"/>
              </w:rPr>
            </w:pPr>
          </w:p>
        </w:tc>
        <w:tc>
          <w:tcPr>
            <w:tcW w:w="1290" w:type="dxa"/>
          </w:tcPr>
          <w:p>
            <w:pPr>
              <w:spacing w:line="440" w:lineRule="exact"/>
              <w:jc w:val="center"/>
              <w:rPr>
                <w:rFonts w:hint="eastAsia" w:ascii="宋体" w:hAnsi="宋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sz w:val="24"/>
                <w:szCs w:val="24"/>
              </w:rPr>
            </w:pPr>
            <w:r>
              <w:rPr>
                <w:rFonts w:hint="eastAsia" w:ascii="宋体" w:hAnsi="宋体" w:eastAsia="宋体"/>
                <w:sz w:val="24"/>
                <w:szCs w:val="24"/>
              </w:rPr>
              <w:t>未分配利润（万元）</w:t>
            </w:r>
          </w:p>
        </w:tc>
        <w:tc>
          <w:tcPr>
            <w:tcW w:w="1287" w:type="dxa"/>
          </w:tcPr>
          <w:p>
            <w:pPr>
              <w:spacing w:line="440" w:lineRule="exact"/>
              <w:jc w:val="center"/>
              <w:rPr>
                <w:rFonts w:hint="eastAsia" w:ascii="宋体" w:hAnsi="宋体"/>
                <w:sz w:val="24"/>
                <w:szCs w:val="24"/>
              </w:rPr>
            </w:pPr>
          </w:p>
        </w:tc>
        <w:tc>
          <w:tcPr>
            <w:tcW w:w="1288" w:type="dxa"/>
          </w:tcPr>
          <w:p>
            <w:pPr>
              <w:spacing w:line="440" w:lineRule="exact"/>
              <w:jc w:val="center"/>
              <w:rPr>
                <w:rFonts w:hint="eastAsia" w:ascii="宋体" w:hAnsi="宋体"/>
                <w:sz w:val="24"/>
                <w:szCs w:val="24"/>
              </w:rPr>
            </w:pPr>
          </w:p>
        </w:tc>
        <w:tc>
          <w:tcPr>
            <w:tcW w:w="1290" w:type="dxa"/>
          </w:tcPr>
          <w:p>
            <w:pPr>
              <w:spacing w:line="440" w:lineRule="exact"/>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sz w:val="24"/>
                <w:szCs w:val="24"/>
              </w:rPr>
            </w:pPr>
            <w:r>
              <w:rPr>
                <w:rFonts w:hint="eastAsia" w:ascii="宋体" w:hAnsi="宋体" w:eastAsia="宋体"/>
                <w:sz w:val="24"/>
                <w:szCs w:val="24"/>
              </w:rPr>
              <w:t>营运</w:t>
            </w:r>
            <w:r>
              <w:rPr>
                <w:rFonts w:ascii="宋体" w:hAnsi="宋体" w:eastAsia="宋体"/>
                <w:sz w:val="24"/>
                <w:szCs w:val="24"/>
              </w:rPr>
              <w:t>资</w:t>
            </w:r>
            <w:r>
              <w:rPr>
                <w:rFonts w:hint="eastAsia" w:ascii="宋体" w:hAnsi="宋体" w:eastAsia="宋体"/>
                <w:sz w:val="24"/>
                <w:szCs w:val="24"/>
              </w:rPr>
              <w:t>金</w:t>
            </w:r>
          </w:p>
        </w:tc>
        <w:tc>
          <w:tcPr>
            <w:tcW w:w="1287" w:type="dxa"/>
          </w:tcPr>
          <w:p>
            <w:pPr>
              <w:spacing w:line="440" w:lineRule="exact"/>
              <w:jc w:val="center"/>
              <w:rPr>
                <w:rFonts w:hint="eastAsia" w:ascii="宋体" w:hAnsi="宋体"/>
                <w:sz w:val="24"/>
                <w:szCs w:val="24"/>
              </w:rPr>
            </w:pPr>
          </w:p>
        </w:tc>
        <w:tc>
          <w:tcPr>
            <w:tcW w:w="1288" w:type="dxa"/>
          </w:tcPr>
          <w:p>
            <w:pPr>
              <w:spacing w:line="440" w:lineRule="exact"/>
              <w:jc w:val="center"/>
              <w:rPr>
                <w:rFonts w:hint="eastAsia" w:ascii="宋体" w:hAnsi="宋体"/>
                <w:sz w:val="24"/>
                <w:szCs w:val="24"/>
              </w:rPr>
            </w:pPr>
          </w:p>
        </w:tc>
        <w:tc>
          <w:tcPr>
            <w:tcW w:w="1290" w:type="dxa"/>
          </w:tcPr>
          <w:p>
            <w:pPr>
              <w:spacing w:line="440" w:lineRule="exact"/>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sz w:val="24"/>
                <w:szCs w:val="24"/>
              </w:rPr>
            </w:pPr>
            <w:r>
              <w:rPr>
                <w:rFonts w:hint="eastAsia" w:ascii="宋体" w:hAnsi="宋体" w:eastAsia="宋体"/>
                <w:sz w:val="24"/>
                <w:szCs w:val="24"/>
              </w:rPr>
              <w:t>（本年营业收入-上年营业收入）÷上年营业收入</w:t>
            </w:r>
          </w:p>
        </w:tc>
        <w:tc>
          <w:tcPr>
            <w:tcW w:w="1287" w:type="dxa"/>
          </w:tcPr>
          <w:p>
            <w:pPr>
              <w:spacing w:line="440" w:lineRule="exact"/>
              <w:jc w:val="center"/>
              <w:rPr>
                <w:rFonts w:hint="eastAsia" w:ascii="宋体" w:hAnsi="宋体"/>
                <w:sz w:val="24"/>
                <w:szCs w:val="24"/>
              </w:rPr>
            </w:pPr>
          </w:p>
        </w:tc>
        <w:tc>
          <w:tcPr>
            <w:tcW w:w="1288" w:type="dxa"/>
          </w:tcPr>
          <w:p>
            <w:pPr>
              <w:spacing w:line="440" w:lineRule="exact"/>
              <w:jc w:val="center"/>
              <w:rPr>
                <w:rFonts w:hint="eastAsia" w:ascii="宋体" w:hAnsi="宋体"/>
                <w:sz w:val="24"/>
                <w:szCs w:val="24"/>
              </w:rPr>
            </w:pPr>
          </w:p>
        </w:tc>
        <w:tc>
          <w:tcPr>
            <w:tcW w:w="1290" w:type="dxa"/>
          </w:tcPr>
          <w:p>
            <w:pPr>
              <w:spacing w:line="440" w:lineRule="exact"/>
              <w:jc w:val="center"/>
              <w:rPr>
                <w:rFonts w:hint="eastAsia" w:ascii="宋体" w:hAnsi="宋体"/>
                <w:sz w:val="24"/>
                <w:szCs w:val="24"/>
              </w:rPr>
            </w:pPr>
          </w:p>
        </w:tc>
      </w:tr>
    </w:tbl>
    <w:p>
      <w:pPr>
        <w:pStyle w:val="16"/>
        <w:framePr w:wrap="around" w:hAnchor="page" w:x="1210" w:y="-795"/>
        <w:rPr>
          <w:rFonts w:hint="eastAsia"/>
          <w:color w:val="auto"/>
        </w:rPr>
      </w:pP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附件4</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rPr>
        <w:t>特种车公司车间大屏项目配套弱电施工</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中国重汽集团济南特种车有限公司：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投标人：（盖章）</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法定代表人（委托代理人）：（签字）</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日</w:t>
      </w:r>
      <w:r>
        <w:rPr>
          <w:rFonts w:ascii="宋体" w:hAnsi="宋体" w:eastAsia="宋体" w:cs="Times New Roman"/>
          <w:sz w:val="24"/>
          <w:szCs w:val="24"/>
        </w:rPr>
        <w:t xml:space="preserve">  </w:t>
      </w:r>
      <w:r>
        <w:rPr>
          <w:rFonts w:hint="eastAsia" w:ascii="宋体" w:hAnsi="宋体" w:eastAsia="宋体" w:cs="Times New Roman"/>
          <w:sz w:val="24"/>
          <w:szCs w:val="24"/>
        </w:rPr>
        <w:t>期：</w:t>
      </w:r>
      <w:r>
        <w:rPr>
          <w:rFonts w:ascii="宋体" w:hAnsi="宋体" w:eastAsia="宋体" w:cs="Times New Roman"/>
          <w:sz w:val="24"/>
          <w:szCs w:val="24"/>
        </w:rPr>
        <w:t xml:space="preserve">       </w:t>
      </w:r>
      <w:r>
        <w:rPr>
          <w:rFonts w:hint="eastAsia" w:ascii="宋体" w:hAnsi="宋体" w:eastAsia="宋体" w:cs="Times New Roman"/>
          <w:sz w:val="24"/>
          <w:szCs w:val="24"/>
        </w:rPr>
        <w:t>年</w:t>
      </w:r>
      <w:r>
        <w:rPr>
          <w:rFonts w:ascii="宋体" w:hAnsi="宋体" w:eastAsia="宋体" w:cs="Times New Roman"/>
          <w:sz w:val="24"/>
          <w:szCs w:val="24"/>
        </w:rPr>
        <w:t xml:space="preserve">    </w:t>
      </w:r>
      <w:r>
        <w:rPr>
          <w:rFonts w:hint="eastAsia" w:ascii="宋体" w:hAnsi="宋体" w:eastAsia="宋体" w:cs="Times New Roman"/>
          <w:sz w:val="24"/>
          <w:szCs w:val="24"/>
        </w:rPr>
        <w:t>月</w:t>
      </w:r>
      <w:r>
        <w:rPr>
          <w:rFonts w:ascii="宋体" w:hAnsi="宋体" w:eastAsia="宋体" w:cs="Times New Roman"/>
          <w:sz w:val="24"/>
          <w:szCs w:val="24"/>
        </w:rPr>
        <w:t xml:space="preserve">    </w:t>
      </w:r>
      <w:r>
        <w:rPr>
          <w:rFonts w:hint="eastAsia" w:ascii="宋体" w:hAnsi="宋体" w:eastAsia="宋体" w:cs="Times New Roman"/>
          <w:sz w:val="24"/>
          <w:szCs w:val="24"/>
        </w:rPr>
        <w:t>日</w:t>
      </w:r>
    </w:p>
    <w:p>
      <w:pPr>
        <w:rPr>
          <w:rFonts w:ascii="宋体" w:hAnsi="Calibri" w:eastAsia="宋体" w:cs="宋体"/>
          <w:b/>
          <w:bCs/>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sz w:val="24"/>
          <w:szCs w:val="24"/>
        </w:rPr>
      </w:pPr>
      <w:r>
        <w:rPr>
          <w:rFonts w:hint="eastAsia" w:ascii="Times New Roman" w:hAnsi="Times New Roman" w:eastAsia="宋体" w:cs="宋体"/>
          <w:b/>
          <w:bCs/>
          <w:sz w:val="24"/>
          <w:szCs w:val="24"/>
        </w:rPr>
        <w:t>附件5-1</w:t>
      </w:r>
      <w:r>
        <w:rPr>
          <w:rFonts w:ascii="Times New Roman" w:hAnsi="Times New Roman" w:eastAsia="宋体" w:cs="宋体"/>
          <w:b/>
          <w:bCs/>
          <w:sz w:val="24"/>
          <w:szCs w:val="24"/>
        </w:rPr>
        <w:t xml:space="preserve"> </w:t>
      </w:r>
      <w:r>
        <w:rPr>
          <w:rFonts w:hint="eastAsia" w:ascii="Times New Roman" w:hAnsi="Times New Roman" w:eastAsia="宋体" w:cs="Times New Roman"/>
          <w:b/>
          <w:bCs/>
          <w:sz w:val="24"/>
          <w:szCs w:val="24"/>
        </w:rPr>
        <w:t>技术规格偏离表</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项目名称：</w:t>
      </w:r>
      <w:r>
        <w:rPr>
          <w:rFonts w:hint="eastAsia" w:ascii="宋体" w:hAnsi="宋体" w:eastAsia="宋体" w:cs="宋体"/>
          <w:sz w:val="24"/>
          <w:szCs w:val="24"/>
          <w:u w:val="single"/>
        </w:rPr>
        <w:t>特种车公司车间大屏项目配套弱电施工</w:t>
      </w:r>
      <w:r>
        <w:rPr>
          <w:rFonts w:ascii="宋体" w:hAnsi="宋体" w:eastAsia="宋体" w:cs="Times New Roman"/>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sz w:val="28"/>
          <w:szCs w:val="20"/>
        </w:rPr>
      </w:pPr>
    </w:p>
    <w:p>
      <w:pPr>
        <w:rPr>
          <w:rFonts w:ascii="宋体" w:hAnsi="Calibri" w:eastAsia="宋体" w:cs="宋体"/>
          <w:b/>
          <w:bCs/>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附件6</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 xml:space="preserve"> 2022年1月1日至今同类项目业绩一览表</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项目名称：</w:t>
      </w:r>
      <w:r>
        <w:rPr>
          <w:rFonts w:hint="eastAsia" w:ascii="宋体" w:hAnsi="宋体" w:eastAsia="宋体" w:cs="宋体"/>
          <w:sz w:val="24"/>
          <w:szCs w:val="24"/>
          <w:u w:val="single"/>
        </w:rPr>
        <w:t>特种车公司车间大屏项目配套弱电施工</w:t>
      </w:r>
      <w:r>
        <w:rPr>
          <w:rFonts w:ascii="宋体" w:hAnsi="宋体" w:eastAsia="宋体" w:cs="Times New Roman"/>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22</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提供2021年1月1日以来同类产品的制造销售业绩（用户名单、联系方式）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sz w:val="28"/>
        </w:rPr>
      </w:pPr>
    </w:p>
    <w:p>
      <w:pPr>
        <w:rPr>
          <w:rFonts w:ascii="宋体" w:hAnsi="Calibri" w:eastAsia="宋体" w:cs="宋体"/>
          <w:b/>
          <w:bCs/>
          <w:sz w:val="28"/>
        </w:rPr>
        <w:sectPr>
          <w:footerReference r:id="rId2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附件7</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u w:val="single"/>
        </w:rPr>
        <w:t>特种车公司车间大屏项目配套弱电施工</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中国重汽集团济南特种车有限公司：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附件8</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开标一览表</w:t>
      </w:r>
    </w:p>
    <w:p>
      <w:pPr>
        <w:spacing w:line="360" w:lineRule="auto"/>
        <w:ind w:firstLine="482" w:firstLineChars="200"/>
        <w:rPr>
          <w:rFonts w:hint="eastAsia" w:ascii="宋体" w:hAnsi="宋体" w:eastAsia="宋体" w:cs="Times New Roman"/>
          <w:b/>
          <w:sz w:val="24"/>
          <w:szCs w:val="24"/>
        </w:rPr>
      </w:pPr>
      <w:r>
        <w:rPr>
          <w:rFonts w:hint="eastAsia" w:ascii="宋体" w:hAnsi="宋体" w:eastAsia="宋体" w:cs="Times New Roman"/>
          <w:b/>
          <w:sz w:val="24"/>
          <w:szCs w:val="24"/>
        </w:rPr>
        <w:t>《开标一览表》单独封存，以备唱标使用</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项目名称：</w:t>
      </w:r>
      <w:r>
        <w:rPr>
          <w:rFonts w:hint="eastAsia" w:ascii="宋体" w:hAnsi="宋体" w:eastAsia="宋体" w:cs="宋体"/>
          <w:sz w:val="24"/>
          <w:szCs w:val="24"/>
          <w:u w:val="single"/>
        </w:rPr>
        <w:t>特种车公司车间大屏项目配套弱电施工</w:t>
      </w:r>
      <w:r>
        <w:rPr>
          <w:rFonts w:ascii="宋体" w:hAnsi="宋体" w:eastAsia="宋体" w:cs="Times New Roman"/>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特种车公司</w:t>
            </w:r>
            <w:r>
              <w:rPr>
                <w:rFonts w:hint="eastAsia" w:ascii="宋体" w:hAnsi="宋体" w:eastAsia="宋体" w:cs="宋体"/>
                <w:sz w:val="24"/>
                <w:szCs w:val="24"/>
                <w:u w:val="single"/>
              </w:rPr>
              <w:t>车间大屏项目配套弱电施工</w:t>
            </w:r>
          </w:p>
        </w:tc>
        <w:tc>
          <w:tcPr>
            <w:tcW w:w="848"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处</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16"/>
        <w:framePr w:wrap="around"/>
        <w:rPr>
          <w:rFonts w:hint="eastAsia"/>
          <w:color w:val="auto"/>
          <w:highlight w:val="yellow"/>
        </w:rPr>
      </w:pPr>
      <w:r>
        <w:rPr>
          <w:rFonts w:hint="eastAsia"/>
          <w:color w:val="auto"/>
          <w:szCs w:val="20"/>
          <w:highlight w:val="yellow"/>
        </w:rPr>
        <w:t>4.</w:t>
      </w:r>
      <w:r>
        <w:rPr>
          <w:rFonts w:hint="eastAsia"/>
          <w:color w:val="auto"/>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sz w:val="24"/>
          <w:szCs w:val="24"/>
        </w:rPr>
      </w:pPr>
    </w:p>
    <w:p>
      <w:pPr>
        <w:pStyle w:val="16"/>
        <w:framePr w:wrap="around"/>
        <w:rPr>
          <w:rFonts w:hint="eastAsia"/>
          <w:color w:val="auto"/>
        </w:rPr>
        <w:sectPr>
          <w:pgSz w:w="11906" w:h="16838"/>
          <w:pgMar w:top="1588" w:right="1418" w:bottom="1134" w:left="1418" w:header="851" w:footer="992" w:gutter="0"/>
          <w:cols w:space="720" w:num="1"/>
          <w:titlePg/>
          <w:docGrid w:type="lines" w:linePitch="312" w:charSpace="0"/>
        </w:sectPr>
      </w:pPr>
    </w:p>
    <w:p>
      <w:pPr>
        <w:rPr>
          <w:rFonts w:hint="eastAsia" w:ascii="宋体" w:hAnsi="宋体" w:cs="宋体"/>
          <w:sz w:val="24"/>
          <w:szCs w:val="24"/>
        </w:rPr>
      </w:pPr>
    </w:p>
    <w:p>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1318"/>
        <w:gridCol w:w="3555"/>
        <w:gridCol w:w="645"/>
        <w:gridCol w:w="1125"/>
        <w:gridCol w:w="1695"/>
        <w:gridCol w:w="1746"/>
        <w:gridCol w:w="1892"/>
        <w:gridCol w:w="19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766" w:type="dxa"/>
            <w:gridSpan w:val="2"/>
          </w:tcPr>
          <w:p>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555" w:type="dxa"/>
          </w:tcPr>
          <w:p>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45" w:type="dxa"/>
          </w:tcPr>
          <w:p>
            <w:pPr>
              <w:spacing w:before="98" w:line="185" w:lineRule="auto"/>
              <w:ind w:left="511"/>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95"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746" w:type="dxa"/>
            <w:tcBorders>
              <w:right w:val="single" w:color="000000" w:sz="4" w:space="0"/>
            </w:tcBorders>
          </w:tcPr>
          <w:p>
            <w:pPr>
              <w:spacing w:before="98" w:line="185"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1892" w:type="dxa"/>
            <w:tcBorders>
              <w:left w:val="single" w:color="000000" w:sz="4" w:space="0"/>
            </w:tcBorders>
          </w:tcPr>
          <w:p>
            <w:pPr>
              <w:spacing w:before="100" w:line="182"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1998" w:type="dxa"/>
          </w:tcPr>
          <w:p>
            <w:pPr>
              <w:spacing w:before="99" w:line="183" w:lineRule="auto"/>
              <w:ind w:firstLine="422" w:firstLineChars="200"/>
              <w:rPr>
                <w:rFonts w:hint="eastAsia" w:ascii="宋体" w:hAnsi="宋体" w:eastAsia="宋体" w:cs="宋体"/>
                <w:szCs w:val="21"/>
              </w:rPr>
            </w:pPr>
            <w:r>
              <w:rPr>
                <w:rFonts w:hint="eastAsia" w:ascii="宋体" w:hAnsi="宋体" w:eastAsia="宋体" w:cs="宋体"/>
                <w:b/>
                <w:bCs/>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766" w:type="dxa"/>
            <w:gridSpan w:val="2"/>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55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单位</w:t>
            </w:r>
          </w:p>
        </w:tc>
        <w:tc>
          <w:tcPr>
            <w:tcW w:w="11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9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yellow"/>
                <w14:textOutline w14:w="3835" w14:cap="flat" w14:cmpd="sng" w14:algn="ctr">
                  <w14:solidFill>
                    <w14:srgbClr w14:val="000000"/>
                  </w14:solidFill>
                  <w14:prstDash w14:val="solid"/>
                  <w14:miter w14:val="0"/>
                </w14:textOutline>
              </w:rPr>
              <w:t>原产地和制造商名称</w:t>
            </w:r>
          </w:p>
        </w:tc>
        <w:tc>
          <w:tcPr>
            <w:tcW w:w="1746"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92" w:type="dxa"/>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99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szCs w:val="21"/>
              </w:rPr>
            </w:pPr>
            <w:r>
              <w:rPr>
                <w:rFonts w:hint="eastAsia" w:ascii="仿宋" w:hAnsi="仿宋" w:eastAsia="仿宋" w:cs="仿宋"/>
                <w:color w:val="000000"/>
                <w:kern w:val="0"/>
                <w:sz w:val="20"/>
                <w:szCs w:val="20"/>
                <w:lang w:bidi="ar"/>
              </w:rPr>
              <w:t>1</w:t>
            </w:r>
          </w:p>
        </w:tc>
        <w:tc>
          <w:tcPr>
            <w:tcW w:w="1766" w:type="dxa"/>
            <w:gridSpan w:val="2"/>
            <w:vAlign w:val="center"/>
          </w:tcPr>
          <w:p>
            <w:pPr>
              <w:widowControl/>
              <w:jc w:val="left"/>
              <w:textAlignment w:val="center"/>
              <w:rPr>
                <w:rFonts w:hint="eastAsia" w:ascii="宋体" w:hAnsi="宋体" w:eastAsia="宋体" w:cs="宋体"/>
                <w:kern w:val="0"/>
                <w:sz w:val="22"/>
                <w:lang w:bidi="ar"/>
              </w:rPr>
            </w:pPr>
            <w:r>
              <w:rPr>
                <w:rFonts w:hint="eastAsia" w:ascii="仿宋" w:hAnsi="仿宋" w:eastAsia="仿宋" w:cs="仿宋"/>
                <w:color w:val="000000"/>
                <w:kern w:val="0"/>
                <w:sz w:val="20"/>
                <w:szCs w:val="20"/>
                <w:lang w:bidi="ar"/>
              </w:rPr>
              <w:t>网线</w:t>
            </w:r>
          </w:p>
        </w:tc>
        <w:tc>
          <w:tcPr>
            <w:tcW w:w="3555" w:type="dxa"/>
            <w:vAlign w:val="center"/>
          </w:tcPr>
          <w:p>
            <w:pPr>
              <w:widowControl/>
              <w:jc w:val="left"/>
              <w:textAlignment w:val="center"/>
              <w:rPr>
                <w:rFonts w:hint="eastAsia" w:ascii="宋体" w:hAnsi="宋体"/>
                <w:szCs w:val="21"/>
              </w:rPr>
            </w:pPr>
            <w:r>
              <w:rPr>
                <w:rFonts w:hint="eastAsia" w:ascii="仿宋" w:hAnsi="仿宋" w:eastAsia="仿宋" w:cs="仿宋"/>
                <w:color w:val="000000"/>
                <w:kern w:val="0"/>
                <w:sz w:val="20"/>
                <w:szCs w:val="20"/>
                <w:lang w:bidi="ar"/>
              </w:rPr>
              <w:t>六类</w:t>
            </w:r>
          </w:p>
        </w:tc>
        <w:tc>
          <w:tcPr>
            <w:tcW w:w="64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m</w:t>
            </w:r>
          </w:p>
        </w:tc>
        <w:tc>
          <w:tcPr>
            <w:tcW w:w="112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1000</w:t>
            </w:r>
          </w:p>
        </w:tc>
        <w:tc>
          <w:tcPr>
            <w:tcW w:w="1695" w:type="dxa"/>
            <w:vAlign w:val="center"/>
          </w:tcPr>
          <w:p>
            <w:pPr>
              <w:autoSpaceDE w:val="0"/>
              <w:autoSpaceDN w:val="0"/>
              <w:adjustRightInd w:val="0"/>
              <w:jc w:val="center"/>
              <w:rPr>
                <w:rFonts w:hint="eastAsia" w:ascii="宋体" w:hAnsi="宋体"/>
                <w:sz w:val="24"/>
                <w:szCs w:val="21"/>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szCs w:val="21"/>
              </w:rPr>
            </w:pPr>
            <w:r>
              <w:rPr>
                <w:rFonts w:hint="eastAsia" w:ascii="仿宋" w:hAnsi="仿宋" w:eastAsia="仿宋" w:cs="仿宋"/>
                <w:color w:val="000000"/>
                <w:kern w:val="0"/>
                <w:sz w:val="20"/>
                <w:szCs w:val="20"/>
                <w:lang w:bidi="ar"/>
              </w:rPr>
              <w:t>2</w:t>
            </w:r>
          </w:p>
        </w:tc>
        <w:tc>
          <w:tcPr>
            <w:tcW w:w="1766" w:type="dxa"/>
            <w:gridSpan w:val="2"/>
            <w:vAlign w:val="center"/>
          </w:tcPr>
          <w:p>
            <w:pPr>
              <w:widowControl/>
              <w:jc w:val="left"/>
              <w:textAlignment w:val="center"/>
              <w:rPr>
                <w:rFonts w:hint="eastAsia" w:ascii="宋体" w:hAnsi="宋体" w:eastAsia="宋体" w:cs="宋体"/>
                <w:kern w:val="0"/>
                <w:sz w:val="22"/>
                <w:lang w:bidi="ar"/>
              </w:rPr>
            </w:pPr>
            <w:r>
              <w:rPr>
                <w:rFonts w:hint="eastAsia" w:ascii="仿宋" w:hAnsi="仿宋" w:eastAsia="仿宋" w:cs="仿宋"/>
                <w:color w:val="000000"/>
                <w:kern w:val="0"/>
                <w:sz w:val="20"/>
                <w:szCs w:val="20"/>
                <w:lang w:bidi="ar"/>
              </w:rPr>
              <w:t>电源线</w:t>
            </w:r>
          </w:p>
        </w:tc>
        <w:tc>
          <w:tcPr>
            <w:tcW w:w="3555" w:type="dxa"/>
            <w:vAlign w:val="center"/>
          </w:tcPr>
          <w:p>
            <w:pPr>
              <w:widowControl/>
              <w:jc w:val="left"/>
              <w:textAlignment w:val="center"/>
              <w:rPr>
                <w:rFonts w:hint="eastAsia" w:ascii="宋体" w:hAnsi="宋体" w:cs="宋体"/>
                <w:kern w:val="0"/>
                <w:sz w:val="22"/>
                <w:lang w:bidi="ar"/>
              </w:rPr>
            </w:pPr>
            <w:r>
              <w:rPr>
                <w:rFonts w:hint="eastAsia" w:ascii="仿宋" w:hAnsi="仿宋" w:eastAsia="仿宋" w:cs="仿宋"/>
                <w:color w:val="000000"/>
                <w:kern w:val="0"/>
                <w:sz w:val="20"/>
                <w:szCs w:val="20"/>
                <w:lang w:bidi="ar"/>
              </w:rPr>
              <w:t>RVV3*2.5（三线/2.5mm</w:t>
            </w:r>
            <w:r>
              <w:rPr>
                <w:rFonts w:hint="eastAsia" w:ascii="宋体" w:hAnsi="宋体" w:eastAsia="宋体" w:cs="宋体"/>
                <w:color w:val="000000"/>
                <w:kern w:val="0"/>
                <w:sz w:val="20"/>
                <w:szCs w:val="20"/>
                <w:lang w:bidi="ar"/>
              </w:rPr>
              <w:t>²</w:t>
            </w:r>
            <w:r>
              <w:rPr>
                <w:rStyle w:val="137"/>
                <w:rFonts w:hint="default"/>
                <w:lang w:bidi="ar"/>
              </w:rPr>
              <w:t>）</w:t>
            </w:r>
          </w:p>
        </w:tc>
        <w:tc>
          <w:tcPr>
            <w:tcW w:w="64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m</w:t>
            </w:r>
          </w:p>
        </w:tc>
        <w:tc>
          <w:tcPr>
            <w:tcW w:w="112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550</w:t>
            </w:r>
          </w:p>
        </w:tc>
        <w:tc>
          <w:tcPr>
            <w:tcW w:w="1695" w:type="dxa"/>
            <w:vAlign w:val="center"/>
          </w:tcPr>
          <w:p>
            <w:pPr>
              <w:autoSpaceDE w:val="0"/>
              <w:autoSpaceDN w:val="0"/>
              <w:adjustRightInd w:val="0"/>
              <w:jc w:val="center"/>
              <w:rPr>
                <w:rFonts w:hint="eastAsia" w:ascii="宋体" w:hAnsi="宋体"/>
                <w:sz w:val="24"/>
                <w:szCs w:val="21"/>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3</w:t>
            </w:r>
          </w:p>
        </w:tc>
        <w:tc>
          <w:tcPr>
            <w:tcW w:w="1766" w:type="dxa"/>
            <w:gridSpan w:val="2"/>
            <w:vAlign w:val="center"/>
          </w:tcPr>
          <w:p>
            <w:pPr>
              <w:widowControl/>
              <w:jc w:val="left"/>
              <w:textAlignment w:val="center"/>
              <w:rPr>
                <w:rFonts w:hint="eastAsia" w:ascii="宋体" w:hAnsi="宋体" w:eastAsia="宋体" w:cs="宋体"/>
                <w:kern w:val="0"/>
                <w:sz w:val="22"/>
                <w:lang w:bidi="ar"/>
              </w:rPr>
            </w:pPr>
            <w:r>
              <w:rPr>
                <w:rFonts w:hint="eastAsia" w:ascii="仿宋" w:hAnsi="仿宋" w:eastAsia="仿宋" w:cs="仿宋"/>
                <w:color w:val="000000"/>
                <w:kern w:val="0"/>
                <w:sz w:val="20"/>
                <w:szCs w:val="20"/>
                <w:lang w:bidi="ar"/>
              </w:rPr>
              <w:t>桥架</w:t>
            </w:r>
          </w:p>
        </w:tc>
        <w:tc>
          <w:tcPr>
            <w:tcW w:w="3555" w:type="dxa"/>
            <w:vAlign w:val="center"/>
          </w:tcPr>
          <w:p>
            <w:pPr>
              <w:widowControl/>
              <w:jc w:val="left"/>
              <w:textAlignment w:val="center"/>
              <w:rPr>
                <w:rFonts w:hint="eastAsia" w:ascii="宋体" w:hAnsi="宋体" w:eastAsia="宋体" w:cs="宋体"/>
                <w:kern w:val="0"/>
                <w:sz w:val="22"/>
                <w:lang w:bidi="ar"/>
              </w:rPr>
            </w:pPr>
            <w:r>
              <w:rPr>
                <w:rFonts w:hint="eastAsia" w:ascii="仿宋" w:hAnsi="仿宋" w:eastAsia="仿宋" w:cs="仿宋"/>
                <w:color w:val="000000"/>
                <w:kern w:val="0"/>
                <w:sz w:val="20"/>
                <w:szCs w:val="20"/>
                <w:lang w:bidi="ar"/>
              </w:rPr>
              <w:t>50mm*100mm</w:t>
            </w:r>
          </w:p>
        </w:tc>
        <w:tc>
          <w:tcPr>
            <w:tcW w:w="64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m</w:t>
            </w:r>
          </w:p>
        </w:tc>
        <w:tc>
          <w:tcPr>
            <w:tcW w:w="112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250</w:t>
            </w:r>
          </w:p>
        </w:tc>
        <w:tc>
          <w:tcPr>
            <w:tcW w:w="1695" w:type="dxa"/>
            <w:vAlign w:val="center"/>
          </w:tcPr>
          <w:p>
            <w:pPr>
              <w:autoSpaceDE w:val="0"/>
              <w:autoSpaceDN w:val="0"/>
              <w:adjustRightInd w:val="0"/>
              <w:jc w:val="center"/>
              <w:rPr>
                <w:rFonts w:hint="eastAsia" w:ascii="宋体" w:hAnsi="宋体"/>
                <w:sz w:val="24"/>
                <w:szCs w:val="21"/>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widowControl/>
              <w:jc w:val="center"/>
              <w:textAlignment w:val="center"/>
              <w:rPr>
                <w:rFonts w:hint="eastAsia" w:ascii="宋体" w:hAnsi="宋体" w:eastAsia="宋体"/>
                <w:szCs w:val="21"/>
              </w:rPr>
            </w:pPr>
            <w:r>
              <w:rPr>
                <w:rFonts w:hint="eastAsia" w:ascii="仿宋" w:hAnsi="仿宋" w:eastAsia="仿宋" w:cs="仿宋"/>
                <w:color w:val="000000"/>
                <w:kern w:val="0"/>
                <w:sz w:val="20"/>
                <w:szCs w:val="20"/>
                <w:lang w:bidi="ar"/>
              </w:rPr>
              <w:t>4</w:t>
            </w:r>
          </w:p>
        </w:tc>
        <w:tc>
          <w:tcPr>
            <w:tcW w:w="1766" w:type="dxa"/>
            <w:gridSpan w:val="2"/>
            <w:vAlign w:val="center"/>
          </w:tcPr>
          <w:p>
            <w:pPr>
              <w:widowControl/>
              <w:jc w:val="left"/>
              <w:textAlignment w:val="center"/>
              <w:rPr>
                <w:rFonts w:hint="eastAsia" w:ascii="宋体" w:hAnsi="宋体" w:eastAsia="宋体" w:cs="宋体"/>
                <w:kern w:val="0"/>
                <w:sz w:val="22"/>
                <w:lang w:bidi="ar"/>
              </w:rPr>
            </w:pPr>
            <w:r>
              <w:rPr>
                <w:rFonts w:hint="eastAsia" w:ascii="仿宋" w:hAnsi="仿宋" w:eastAsia="仿宋" w:cs="仿宋"/>
                <w:color w:val="000000"/>
                <w:kern w:val="0"/>
                <w:sz w:val="20"/>
                <w:szCs w:val="20"/>
                <w:lang w:bidi="ar"/>
              </w:rPr>
              <w:t>高清线</w:t>
            </w:r>
          </w:p>
        </w:tc>
        <w:tc>
          <w:tcPr>
            <w:tcW w:w="3555" w:type="dxa"/>
            <w:vAlign w:val="center"/>
          </w:tcPr>
          <w:p>
            <w:pPr>
              <w:widowControl/>
              <w:jc w:val="left"/>
              <w:textAlignment w:val="center"/>
              <w:rPr>
                <w:rFonts w:hint="eastAsia" w:ascii="宋体" w:hAnsi="宋体" w:eastAsia="宋体" w:cs="宋体"/>
                <w:kern w:val="0"/>
                <w:sz w:val="22"/>
                <w:lang w:bidi="ar"/>
              </w:rPr>
            </w:pPr>
            <w:r>
              <w:rPr>
                <w:rFonts w:hint="eastAsia" w:ascii="仿宋" w:hAnsi="仿宋" w:eastAsia="仿宋" w:cs="仿宋"/>
                <w:color w:val="000000"/>
                <w:kern w:val="0"/>
                <w:sz w:val="20"/>
                <w:szCs w:val="20"/>
                <w:lang w:bidi="ar"/>
              </w:rPr>
              <w:t>5m/条</w:t>
            </w:r>
          </w:p>
        </w:tc>
        <w:tc>
          <w:tcPr>
            <w:tcW w:w="64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条</w:t>
            </w:r>
          </w:p>
        </w:tc>
        <w:tc>
          <w:tcPr>
            <w:tcW w:w="112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8</w:t>
            </w:r>
          </w:p>
        </w:tc>
        <w:tc>
          <w:tcPr>
            <w:tcW w:w="1695" w:type="dxa"/>
            <w:vAlign w:val="center"/>
          </w:tcPr>
          <w:p>
            <w:pPr>
              <w:autoSpaceDE w:val="0"/>
              <w:autoSpaceDN w:val="0"/>
              <w:adjustRightInd w:val="0"/>
              <w:jc w:val="center"/>
              <w:rPr>
                <w:rFonts w:hint="eastAsia" w:ascii="宋体" w:hAnsi="宋体"/>
                <w:sz w:val="24"/>
                <w:szCs w:val="21"/>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widowControl/>
              <w:jc w:val="center"/>
              <w:textAlignment w:val="center"/>
              <w:rPr>
                <w:rFonts w:hint="eastAsia" w:ascii="宋体" w:hAnsi="宋体" w:eastAsia="宋体"/>
                <w:szCs w:val="21"/>
              </w:rPr>
            </w:pPr>
            <w:r>
              <w:rPr>
                <w:rFonts w:hint="eastAsia" w:ascii="仿宋" w:hAnsi="仿宋" w:eastAsia="仿宋" w:cs="仿宋"/>
                <w:color w:val="000000"/>
                <w:kern w:val="0"/>
                <w:sz w:val="20"/>
                <w:szCs w:val="20"/>
                <w:lang w:bidi="ar"/>
              </w:rPr>
              <w:t>5</w:t>
            </w:r>
          </w:p>
        </w:tc>
        <w:tc>
          <w:tcPr>
            <w:tcW w:w="1766" w:type="dxa"/>
            <w:gridSpan w:val="2"/>
            <w:vAlign w:val="center"/>
          </w:tcPr>
          <w:p>
            <w:pPr>
              <w:widowControl/>
              <w:jc w:val="left"/>
              <w:textAlignment w:val="center"/>
              <w:rPr>
                <w:rFonts w:hint="eastAsia" w:ascii="宋体" w:hAnsi="宋体" w:eastAsia="宋体" w:cs="宋体"/>
                <w:kern w:val="0"/>
                <w:sz w:val="22"/>
                <w:lang w:val="zh-CN" w:bidi="ar"/>
              </w:rPr>
            </w:pPr>
            <w:r>
              <w:rPr>
                <w:rFonts w:hint="eastAsia" w:ascii="仿宋" w:hAnsi="仿宋" w:eastAsia="仿宋" w:cs="仿宋"/>
                <w:color w:val="000000"/>
                <w:kern w:val="0"/>
                <w:sz w:val="20"/>
                <w:szCs w:val="20"/>
                <w:lang w:bidi="ar"/>
              </w:rPr>
              <w:t>登高车</w:t>
            </w:r>
          </w:p>
        </w:tc>
        <w:tc>
          <w:tcPr>
            <w:tcW w:w="3555" w:type="dxa"/>
            <w:vAlign w:val="center"/>
          </w:tcPr>
          <w:p>
            <w:pPr>
              <w:widowControl/>
              <w:jc w:val="left"/>
              <w:textAlignment w:val="center"/>
              <w:rPr>
                <w:rFonts w:hint="eastAsia" w:ascii="宋体" w:hAnsi="宋体" w:eastAsia="宋体" w:cs="宋体"/>
                <w:kern w:val="0"/>
                <w:sz w:val="22"/>
                <w:lang w:bidi="ar"/>
              </w:rPr>
            </w:pPr>
            <w:r>
              <w:rPr>
                <w:rFonts w:hint="eastAsia" w:ascii="仿宋" w:hAnsi="仿宋" w:eastAsia="仿宋" w:cs="仿宋"/>
                <w:color w:val="000000"/>
                <w:kern w:val="0"/>
                <w:sz w:val="20"/>
                <w:szCs w:val="20"/>
                <w:lang w:bidi="ar"/>
              </w:rPr>
              <w:t>/</w:t>
            </w:r>
          </w:p>
        </w:tc>
        <w:tc>
          <w:tcPr>
            <w:tcW w:w="64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元/2台/天</w:t>
            </w:r>
          </w:p>
        </w:tc>
        <w:tc>
          <w:tcPr>
            <w:tcW w:w="112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9</w:t>
            </w:r>
          </w:p>
        </w:tc>
        <w:tc>
          <w:tcPr>
            <w:tcW w:w="1695" w:type="dxa"/>
            <w:vAlign w:val="center"/>
          </w:tcPr>
          <w:p>
            <w:pPr>
              <w:autoSpaceDE w:val="0"/>
              <w:autoSpaceDN w:val="0"/>
              <w:adjustRightInd w:val="0"/>
              <w:jc w:val="center"/>
              <w:rPr>
                <w:rFonts w:hint="eastAsia" w:ascii="宋体" w:hAnsi="宋体"/>
                <w:sz w:val="24"/>
                <w:szCs w:val="21"/>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widowControl/>
              <w:jc w:val="center"/>
              <w:textAlignment w:val="center"/>
              <w:rPr>
                <w:rFonts w:hint="eastAsia" w:ascii="宋体" w:hAnsi="宋体" w:eastAsia="宋体"/>
                <w:szCs w:val="21"/>
              </w:rPr>
            </w:pPr>
            <w:r>
              <w:rPr>
                <w:rFonts w:hint="eastAsia" w:ascii="仿宋" w:hAnsi="仿宋" w:eastAsia="仿宋" w:cs="仿宋"/>
                <w:color w:val="000000"/>
                <w:kern w:val="0"/>
                <w:sz w:val="20"/>
                <w:szCs w:val="20"/>
                <w:lang w:bidi="ar"/>
              </w:rPr>
              <w:t>6-1</w:t>
            </w:r>
          </w:p>
        </w:tc>
        <w:tc>
          <w:tcPr>
            <w:tcW w:w="1766" w:type="dxa"/>
            <w:gridSpan w:val="2"/>
            <w:vAlign w:val="center"/>
          </w:tcPr>
          <w:p>
            <w:pPr>
              <w:widowControl/>
              <w:jc w:val="left"/>
              <w:textAlignment w:val="center"/>
              <w:rPr>
                <w:rFonts w:hint="eastAsia" w:ascii="宋体" w:hAnsi="宋体" w:eastAsia="宋体" w:cs="宋体"/>
                <w:kern w:val="0"/>
                <w:sz w:val="22"/>
                <w:lang w:val="zh-CN" w:bidi="ar"/>
              </w:rPr>
            </w:pPr>
            <w:r>
              <w:rPr>
                <w:rFonts w:hint="eastAsia" w:ascii="仿宋" w:hAnsi="仿宋" w:eastAsia="仿宋" w:cs="仿宋"/>
                <w:color w:val="000000"/>
                <w:kern w:val="0"/>
                <w:sz w:val="20"/>
                <w:szCs w:val="20"/>
                <w:lang w:bidi="ar"/>
              </w:rPr>
              <w:t>总装线大屏框架：框架钢结构尺寸（长*高*厚）</w:t>
            </w:r>
          </w:p>
        </w:tc>
        <w:tc>
          <w:tcPr>
            <w:tcW w:w="3555" w:type="dxa"/>
            <w:vAlign w:val="center"/>
          </w:tcPr>
          <w:p>
            <w:pPr>
              <w:widowControl/>
              <w:jc w:val="left"/>
              <w:textAlignment w:val="center"/>
              <w:rPr>
                <w:rFonts w:hint="eastAsia" w:ascii="宋体" w:hAnsi="宋体" w:eastAsia="宋体" w:cs="宋体"/>
                <w:kern w:val="0"/>
                <w:sz w:val="22"/>
                <w:lang w:bidi="ar"/>
              </w:rPr>
            </w:pPr>
            <w:r>
              <w:rPr>
                <w:rFonts w:hint="eastAsia" w:ascii="仿宋" w:hAnsi="仿宋" w:eastAsia="仿宋" w:cs="仿宋"/>
                <w:color w:val="000000"/>
                <w:kern w:val="0"/>
                <w:sz w:val="20"/>
                <w:szCs w:val="20"/>
                <w:lang w:bidi="ar"/>
              </w:rPr>
              <w:t>3940mm*2500mm*110mm</w:t>
            </w:r>
          </w:p>
        </w:tc>
        <w:tc>
          <w:tcPr>
            <w:tcW w:w="64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项</w:t>
            </w:r>
          </w:p>
        </w:tc>
        <w:tc>
          <w:tcPr>
            <w:tcW w:w="112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1</w:t>
            </w:r>
          </w:p>
        </w:tc>
        <w:tc>
          <w:tcPr>
            <w:tcW w:w="1695" w:type="dxa"/>
            <w:vAlign w:val="center"/>
          </w:tcPr>
          <w:p>
            <w:pPr>
              <w:autoSpaceDE w:val="0"/>
              <w:autoSpaceDN w:val="0"/>
              <w:adjustRightInd w:val="0"/>
              <w:jc w:val="center"/>
              <w:rPr>
                <w:rFonts w:hint="eastAsia" w:ascii="宋体" w:hAnsi="宋体"/>
                <w:sz w:val="24"/>
                <w:szCs w:val="21"/>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宋体" w:hAnsi="宋体" w:eastAsia="宋体"/>
                <w:szCs w:val="21"/>
              </w:rPr>
            </w:pPr>
            <w:r>
              <w:rPr>
                <w:rFonts w:hint="eastAsia" w:ascii="仿宋" w:hAnsi="仿宋" w:eastAsia="仿宋" w:cs="仿宋"/>
                <w:color w:val="000000"/>
                <w:sz w:val="20"/>
                <w:szCs w:val="20"/>
              </w:rPr>
              <w:t>6-2</w:t>
            </w:r>
          </w:p>
        </w:tc>
        <w:tc>
          <w:tcPr>
            <w:tcW w:w="1766" w:type="dxa"/>
            <w:gridSpan w:val="2"/>
            <w:vAlign w:val="center"/>
          </w:tcPr>
          <w:p>
            <w:pPr>
              <w:widowControl/>
              <w:jc w:val="left"/>
              <w:textAlignment w:val="center"/>
              <w:rPr>
                <w:rFonts w:hint="eastAsia" w:ascii="宋体" w:hAnsi="宋体" w:eastAsia="宋体" w:cs="宋体"/>
                <w:kern w:val="0"/>
                <w:sz w:val="22"/>
                <w:lang w:val="zh-CN" w:bidi="ar"/>
              </w:rPr>
            </w:pPr>
            <w:r>
              <w:rPr>
                <w:rFonts w:hint="eastAsia" w:ascii="仿宋" w:hAnsi="仿宋" w:eastAsia="仿宋" w:cs="仿宋"/>
                <w:color w:val="000000"/>
                <w:kern w:val="0"/>
                <w:sz w:val="20"/>
                <w:szCs w:val="20"/>
                <w:lang w:bidi="ar"/>
              </w:rPr>
              <w:t>框架钢结构支架-主龙骨</w:t>
            </w:r>
          </w:p>
        </w:tc>
        <w:tc>
          <w:tcPr>
            <w:tcW w:w="3555" w:type="dxa"/>
            <w:vAlign w:val="center"/>
          </w:tcPr>
          <w:p>
            <w:pPr>
              <w:widowControl/>
              <w:jc w:val="left"/>
              <w:textAlignment w:val="center"/>
              <w:rPr>
                <w:rFonts w:hint="eastAsia" w:ascii="宋体" w:hAnsi="宋体" w:eastAsia="宋体" w:cs="宋体"/>
                <w:kern w:val="0"/>
                <w:sz w:val="22"/>
                <w:lang w:bidi="ar"/>
              </w:rPr>
            </w:pPr>
            <w:r>
              <w:rPr>
                <w:rFonts w:hint="eastAsia" w:ascii="仿宋" w:hAnsi="仿宋" w:eastAsia="仿宋" w:cs="仿宋"/>
                <w:color w:val="000000"/>
                <w:kern w:val="0"/>
                <w:sz w:val="20"/>
                <w:szCs w:val="20"/>
                <w:lang w:bidi="ar"/>
              </w:rPr>
              <w:t>100mm*50mm*2.5mm方钢</w:t>
            </w:r>
          </w:p>
        </w:tc>
        <w:tc>
          <w:tcPr>
            <w:tcW w:w="64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项</w:t>
            </w:r>
          </w:p>
        </w:tc>
        <w:tc>
          <w:tcPr>
            <w:tcW w:w="112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1</w:t>
            </w:r>
          </w:p>
        </w:tc>
        <w:tc>
          <w:tcPr>
            <w:tcW w:w="1695" w:type="dxa"/>
            <w:vAlign w:val="center"/>
          </w:tcPr>
          <w:p>
            <w:pPr>
              <w:autoSpaceDE w:val="0"/>
              <w:autoSpaceDN w:val="0"/>
              <w:adjustRightInd w:val="0"/>
              <w:jc w:val="center"/>
              <w:rPr>
                <w:rFonts w:hint="eastAsia" w:ascii="宋体" w:hAnsi="宋体"/>
                <w:sz w:val="24"/>
                <w:szCs w:val="21"/>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宋体" w:hAnsi="宋体" w:eastAsia="宋体"/>
                <w:szCs w:val="21"/>
              </w:rPr>
            </w:pPr>
            <w:r>
              <w:rPr>
                <w:rFonts w:hint="eastAsia" w:ascii="仿宋" w:hAnsi="仿宋" w:eastAsia="仿宋" w:cs="仿宋"/>
                <w:color w:val="000000"/>
                <w:sz w:val="20"/>
                <w:szCs w:val="20"/>
              </w:rPr>
              <w:t>6-3</w:t>
            </w:r>
          </w:p>
        </w:tc>
        <w:tc>
          <w:tcPr>
            <w:tcW w:w="1766" w:type="dxa"/>
            <w:gridSpan w:val="2"/>
            <w:vAlign w:val="center"/>
          </w:tcPr>
          <w:p>
            <w:pPr>
              <w:widowControl/>
              <w:jc w:val="left"/>
              <w:textAlignment w:val="center"/>
              <w:rPr>
                <w:rFonts w:hint="eastAsia" w:ascii="宋体" w:hAnsi="宋体" w:eastAsia="宋体" w:cs="宋体"/>
                <w:kern w:val="0"/>
                <w:sz w:val="22"/>
                <w:lang w:val="zh-CN" w:bidi="ar"/>
              </w:rPr>
            </w:pPr>
            <w:r>
              <w:rPr>
                <w:rFonts w:hint="eastAsia" w:ascii="仿宋" w:hAnsi="仿宋" w:eastAsia="仿宋" w:cs="仿宋"/>
                <w:color w:val="000000"/>
                <w:kern w:val="0"/>
                <w:sz w:val="20"/>
                <w:szCs w:val="20"/>
                <w:lang w:bidi="ar"/>
              </w:rPr>
              <w:t>分龙骨</w:t>
            </w:r>
          </w:p>
        </w:tc>
        <w:tc>
          <w:tcPr>
            <w:tcW w:w="3555" w:type="dxa"/>
            <w:vAlign w:val="center"/>
          </w:tcPr>
          <w:p>
            <w:pPr>
              <w:widowControl/>
              <w:jc w:val="left"/>
              <w:textAlignment w:val="center"/>
              <w:rPr>
                <w:rFonts w:hint="eastAsia" w:ascii="宋体" w:hAnsi="宋体" w:eastAsia="宋体" w:cs="宋体"/>
                <w:kern w:val="0"/>
                <w:sz w:val="22"/>
                <w:lang w:bidi="ar"/>
              </w:rPr>
            </w:pPr>
            <w:r>
              <w:rPr>
                <w:rFonts w:hint="eastAsia" w:ascii="仿宋" w:hAnsi="仿宋" w:eastAsia="仿宋" w:cs="仿宋"/>
                <w:color w:val="000000"/>
                <w:kern w:val="0"/>
                <w:sz w:val="20"/>
                <w:szCs w:val="20"/>
                <w:lang w:bidi="ar"/>
              </w:rPr>
              <w:t>40mm*40mm*2.0mm方钢</w:t>
            </w:r>
          </w:p>
        </w:tc>
        <w:tc>
          <w:tcPr>
            <w:tcW w:w="64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项</w:t>
            </w:r>
          </w:p>
        </w:tc>
        <w:tc>
          <w:tcPr>
            <w:tcW w:w="112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1</w:t>
            </w:r>
          </w:p>
        </w:tc>
        <w:tc>
          <w:tcPr>
            <w:tcW w:w="1695" w:type="dxa"/>
            <w:vAlign w:val="center"/>
          </w:tcPr>
          <w:p>
            <w:pPr>
              <w:autoSpaceDE w:val="0"/>
              <w:autoSpaceDN w:val="0"/>
              <w:adjustRightInd w:val="0"/>
              <w:jc w:val="center"/>
              <w:rPr>
                <w:rFonts w:hint="eastAsia" w:ascii="宋体" w:hAnsi="宋体"/>
                <w:sz w:val="24"/>
                <w:szCs w:val="21"/>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宋体" w:hAnsi="宋体" w:eastAsia="宋体"/>
                <w:szCs w:val="21"/>
              </w:rPr>
            </w:pPr>
            <w:r>
              <w:rPr>
                <w:rFonts w:hint="eastAsia" w:ascii="仿宋" w:hAnsi="仿宋" w:eastAsia="仿宋" w:cs="仿宋"/>
                <w:color w:val="000000"/>
                <w:sz w:val="20"/>
                <w:szCs w:val="20"/>
              </w:rPr>
              <w:t>6-4</w:t>
            </w:r>
          </w:p>
        </w:tc>
        <w:tc>
          <w:tcPr>
            <w:tcW w:w="1766" w:type="dxa"/>
            <w:gridSpan w:val="2"/>
            <w:vAlign w:val="center"/>
          </w:tcPr>
          <w:p>
            <w:pPr>
              <w:widowControl/>
              <w:jc w:val="left"/>
              <w:textAlignment w:val="center"/>
              <w:rPr>
                <w:rFonts w:hint="eastAsia" w:ascii="宋体" w:hAnsi="宋体" w:eastAsia="宋体" w:cs="宋体"/>
                <w:kern w:val="0"/>
                <w:sz w:val="22"/>
                <w:lang w:val="zh-CN" w:bidi="ar"/>
              </w:rPr>
            </w:pPr>
            <w:r>
              <w:rPr>
                <w:rFonts w:hint="eastAsia" w:ascii="仿宋" w:hAnsi="仿宋" w:eastAsia="仿宋" w:cs="仿宋"/>
                <w:color w:val="000000"/>
                <w:kern w:val="0"/>
                <w:sz w:val="20"/>
                <w:szCs w:val="20"/>
                <w:lang w:bidi="ar"/>
              </w:rPr>
              <w:t>吊杆</w:t>
            </w:r>
          </w:p>
        </w:tc>
        <w:tc>
          <w:tcPr>
            <w:tcW w:w="3555" w:type="dxa"/>
            <w:vAlign w:val="center"/>
          </w:tcPr>
          <w:p>
            <w:pPr>
              <w:widowControl/>
              <w:jc w:val="left"/>
              <w:textAlignment w:val="center"/>
              <w:rPr>
                <w:rFonts w:hint="eastAsia" w:ascii="宋体" w:hAnsi="宋体" w:eastAsia="宋体" w:cs="宋体"/>
                <w:kern w:val="0"/>
                <w:sz w:val="22"/>
                <w:lang w:bidi="ar"/>
              </w:rPr>
            </w:pPr>
            <w:r>
              <w:rPr>
                <w:rFonts w:hint="eastAsia" w:ascii="仿宋" w:hAnsi="仿宋" w:eastAsia="仿宋" w:cs="仿宋"/>
                <w:color w:val="000000"/>
                <w:kern w:val="0"/>
                <w:sz w:val="20"/>
                <w:szCs w:val="20"/>
                <w:lang w:bidi="ar"/>
              </w:rPr>
              <w:t>50mm*50mm*3.5mm方钢,长度3m-6m可调节</w:t>
            </w:r>
          </w:p>
        </w:tc>
        <w:tc>
          <w:tcPr>
            <w:tcW w:w="64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项</w:t>
            </w:r>
          </w:p>
        </w:tc>
        <w:tc>
          <w:tcPr>
            <w:tcW w:w="112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1</w:t>
            </w:r>
          </w:p>
        </w:tc>
        <w:tc>
          <w:tcPr>
            <w:tcW w:w="1695" w:type="dxa"/>
            <w:vAlign w:val="center"/>
          </w:tcPr>
          <w:p>
            <w:pPr>
              <w:autoSpaceDE w:val="0"/>
              <w:autoSpaceDN w:val="0"/>
              <w:adjustRightInd w:val="0"/>
              <w:jc w:val="center"/>
              <w:rPr>
                <w:rFonts w:hint="eastAsia" w:ascii="宋体" w:hAnsi="宋体"/>
                <w:sz w:val="24"/>
                <w:szCs w:val="21"/>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仿宋" w:hAnsi="仿宋" w:eastAsia="仿宋" w:cs="仿宋"/>
                <w:sz w:val="20"/>
                <w:szCs w:val="20"/>
              </w:rPr>
            </w:pPr>
            <w:r>
              <w:rPr>
                <w:rFonts w:hint="eastAsia" w:ascii="仿宋" w:hAnsi="仿宋" w:eastAsia="仿宋" w:cs="仿宋"/>
                <w:sz w:val="20"/>
                <w:szCs w:val="20"/>
              </w:rPr>
              <w:t>6-5</w:t>
            </w:r>
          </w:p>
        </w:tc>
        <w:tc>
          <w:tcPr>
            <w:tcW w:w="1766" w:type="dxa"/>
            <w:gridSpan w:val="2"/>
            <w:vAlign w:val="center"/>
          </w:tcPr>
          <w:p>
            <w:pPr>
              <w:widowControl/>
              <w:jc w:val="left"/>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总装线大屏定制夹持器</w:t>
            </w:r>
          </w:p>
        </w:tc>
        <w:tc>
          <w:tcPr>
            <w:tcW w:w="3555" w:type="dxa"/>
            <w:vAlign w:val="center"/>
          </w:tcPr>
          <w:p>
            <w:pPr>
              <w:widowControl/>
              <w:jc w:val="left"/>
              <w:textAlignment w:val="center"/>
              <w:rPr>
                <w:rFonts w:hint="eastAsia" w:ascii="仿宋" w:hAnsi="仿宋" w:eastAsia="仿宋" w:cs="仿宋"/>
                <w:kern w:val="0"/>
                <w:sz w:val="20"/>
                <w:szCs w:val="20"/>
                <w:lang w:bidi="ar"/>
              </w:rPr>
            </w:pPr>
          </w:p>
        </w:tc>
        <w:tc>
          <w:tcPr>
            <w:tcW w:w="645" w:type="dxa"/>
            <w:vAlign w:val="center"/>
          </w:tcPr>
          <w:p>
            <w:pPr>
              <w:widowControl/>
              <w:jc w:val="center"/>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套</w:t>
            </w:r>
          </w:p>
        </w:tc>
        <w:tc>
          <w:tcPr>
            <w:tcW w:w="1125" w:type="dxa"/>
            <w:vAlign w:val="center"/>
          </w:tcPr>
          <w:p>
            <w:pPr>
              <w:widowControl/>
              <w:jc w:val="center"/>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2</w:t>
            </w:r>
          </w:p>
        </w:tc>
        <w:tc>
          <w:tcPr>
            <w:tcW w:w="1695" w:type="dxa"/>
            <w:vAlign w:val="center"/>
          </w:tcPr>
          <w:p>
            <w:pPr>
              <w:autoSpaceDE w:val="0"/>
              <w:autoSpaceDN w:val="0"/>
              <w:adjustRightInd w:val="0"/>
              <w:jc w:val="center"/>
              <w:rPr>
                <w:rFonts w:hint="eastAsia" w:ascii="宋体" w:hAnsi="宋体"/>
                <w:sz w:val="24"/>
                <w:szCs w:val="21"/>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仿宋" w:hAnsi="仿宋" w:eastAsia="仿宋" w:cs="仿宋"/>
                <w:sz w:val="20"/>
                <w:szCs w:val="20"/>
              </w:rPr>
            </w:pPr>
            <w:r>
              <w:rPr>
                <w:rFonts w:hint="eastAsia" w:ascii="仿宋" w:hAnsi="仿宋" w:eastAsia="仿宋" w:cs="仿宋"/>
                <w:sz w:val="20"/>
                <w:szCs w:val="20"/>
              </w:rPr>
              <w:t>6-6</w:t>
            </w:r>
          </w:p>
        </w:tc>
        <w:tc>
          <w:tcPr>
            <w:tcW w:w="1766" w:type="dxa"/>
            <w:gridSpan w:val="2"/>
            <w:vAlign w:val="center"/>
          </w:tcPr>
          <w:p>
            <w:pPr>
              <w:widowControl/>
              <w:jc w:val="left"/>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总装线大屏大屏四周包边</w:t>
            </w:r>
          </w:p>
        </w:tc>
        <w:tc>
          <w:tcPr>
            <w:tcW w:w="3555" w:type="dxa"/>
            <w:vAlign w:val="center"/>
          </w:tcPr>
          <w:p>
            <w:pPr>
              <w:widowControl/>
              <w:jc w:val="left"/>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黑色不锈钢包边，宽度5cm</w:t>
            </w:r>
          </w:p>
        </w:tc>
        <w:tc>
          <w:tcPr>
            <w:tcW w:w="645" w:type="dxa"/>
            <w:vAlign w:val="center"/>
          </w:tcPr>
          <w:p>
            <w:pPr>
              <w:widowControl/>
              <w:jc w:val="center"/>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套</w:t>
            </w:r>
          </w:p>
        </w:tc>
        <w:tc>
          <w:tcPr>
            <w:tcW w:w="1125" w:type="dxa"/>
            <w:vAlign w:val="center"/>
          </w:tcPr>
          <w:p>
            <w:pPr>
              <w:widowControl/>
              <w:jc w:val="center"/>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1</w:t>
            </w:r>
          </w:p>
        </w:tc>
        <w:tc>
          <w:tcPr>
            <w:tcW w:w="1695" w:type="dxa"/>
            <w:vAlign w:val="center"/>
          </w:tcPr>
          <w:p>
            <w:pPr>
              <w:autoSpaceDE w:val="0"/>
              <w:autoSpaceDN w:val="0"/>
              <w:adjustRightInd w:val="0"/>
              <w:jc w:val="center"/>
              <w:rPr>
                <w:rFonts w:hint="eastAsia" w:ascii="宋体" w:hAnsi="宋体"/>
                <w:sz w:val="24"/>
                <w:szCs w:val="21"/>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仿宋" w:hAnsi="仿宋" w:eastAsia="仿宋" w:cs="仿宋"/>
                <w:sz w:val="20"/>
                <w:szCs w:val="20"/>
              </w:rPr>
            </w:pPr>
            <w:r>
              <w:rPr>
                <w:rFonts w:hint="eastAsia" w:ascii="仿宋" w:hAnsi="仿宋" w:eastAsia="仿宋" w:cs="仿宋"/>
                <w:sz w:val="20"/>
                <w:szCs w:val="20"/>
              </w:rPr>
              <w:t>6-7</w:t>
            </w:r>
          </w:p>
        </w:tc>
        <w:tc>
          <w:tcPr>
            <w:tcW w:w="1766" w:type="dxa"/>
            <w:gridSpan w:val="2"/>
            <w:vAlign w:val="center"/>
          </w:tcPr>
          <w:p>
            <w:pPr>
              <w:widowControl/>
              <w:jc w:val="left"/>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总装线大屏配套螺丝，卡扣，角件等</w:t>
            </w:r>
          </w:p>
        </w:tc>
        <w:tc>
          <w:tcPr>
            <w:tcW w:w="3555" w:type="dxa"/>
            <w:vAlign w:val="center"/>
          </w:tcPr>
          <w:p>
            <w:pPr>
              <w:widowControl/>
              <w:jc w:val="left"/>
              <w:textAlignment w:val="center"/>
              <w:rPr>
                <w:rFonts w:hint="eastAsia" w:ascii="仿宋" w:hAnsi="仿宋" w:eastAsia="仿宋" w:cs="仿宋"/>
                <w:kern w:val="0"/>
                <w:sz w:val="20"/>
                <w:szCs w:val="20"/>
                <w:lang w:bidi="ar"/>
              </w:rPr>
            </w:pPr>
          </w:p>
        </w:tc>
        <w:tc>
          <w:tcPr>
            <w:tcW w:w="645" w:type="dxa"/>
            <w:vAlign w:val="center"/>
          </w:tcPr>
          <w:p>
            <w:pPr>
              <w:widowControl/>
              <w:jc w:val="center"/>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套</w:t>
            </w:r>
          </w:p>
        </w:tc>
        <w:tc>
          <w:tcPr>
            <w:tcW w:w="1125" w:type="dxa"/>
            <w:vAlign w:val="center"/>
          </w:tcPr>
          <w:p>
            <w:pPr>
              <w:widowControl/>
              <w:jc w:val="center"/>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1</w:t>
            </w:r>
          </w:p>
        </w:tc>
        <w:tc>
          <w:tcPr>
            <w:tcW w:w="1695" w:type="dxa"/>
            <w:vAlign w:val="center"/>
          </w:tcPr>
          <w:p>
            <w:pPr>
              <w:autoSpaceDE w:val="0"/>
              <w:autoSpaceDN w:val="0"/>
              <w:adjustRightInd w:val="0"/>
              <w:jc w:val="center"/>
              <w:rPr>
                <w:rFonts w:hint="eastAsia" w:ascii="宋体" w:hAnsi="宋体"/>
                <w:sz w:val="24"/>
                <w:szCs w:val="21"/>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widowControl/>
              <w:jc w:val="center"/>
              <w:textAlignment w:val="center"/>
              <w:rPr>
                <w:rFonts w:hint="eastAsia" w:ascii="宋体" w:hAnsi="宋体" w:eastAsia="宋体"/>
                <w:szCs w:val="21"/>
              </w:rPr>
            </w:pPr>
            <w:r>
              <w:rPr>
                <w:rFonts w:hint="eastAsia" w:ascii="仿宋" w:hAnsi="仿宋" w:eastAsia="仿宋" w:cs="仿宋"/>
                <w:color w:val="000000"/>
                <w:kern w:val="0"/>
                <w:sz w:val="20"/>
                <w:szCs w:val="20"/>
                <w:lang w:bidi="ar"/>
              </w:rPr>
              <w:t>7-1</w:t>
            </w:r>
          </w:p>
        </w:tc>
        <w:tc>
          <w:tcPr>
            <w:tcW w:w="1766" w:type="dxa"/>
            <w:gridSpan w:val="2"/>
            <w:vAlign w:val="center"/>
          </w:tcPr>
          <w:p>
            <w:pPr>
              <w:widowControl/>
              <w:jc w:val="left"/>
              <w:textAlignment w:val="center"/>
              <w:rPr>
                <w:rFonts w:hint="eastAsia" w:ascii="宋体" w:hAnsi="宋体" w:eastAsia="宋体" w:cs="宋体"/>
                <w:kern w:val="0"/>
                <w:sz w:val="22"/>
                <w:lang w:val="zh-CN" w:bidi="ar"/>
              </w:rPr>
            </w:pPr>
            <w:r>
              <w:rPr>
                <w:rFonts w:hint="eastAsia" w:ascii="仿宋" w:hAnsi="仿宋" w:eastAsia="仿宋" w:cs="仿宋"/>
                <w:color w:val="000000"/>
                <w:kern w:val="0"/>
                <w:sz w:val="20"/>
                <w:szCs w:val="20"/>
                <w:lang w:bidi="ar"/>
              </w:rPr>
              <w:t>车身线大屏框架：框架钢结构尺寸（长*高*厚）</w:t>
            </w:r>
          </w:p>
        </w:tc>
        <w:tc>
          <w:tcPr>
            <w:tcW w:w="3555" w:type="dxa"/>
            <w:vAlign w:val="center"/>
          </w:tcPr>
          <w:p>
            <w:pPr>
              <w:widowControl/>
              <w:jc w:val="left"/>
              <w:textAlignment w:val="center"/>
              <w:rPr>
                <w:rFonts w:hint="eastAsia" w:ascii="宋体" w:hAnsi="宋体" w:eastAsia="宋体" w:cs="宋体"/>
                <w:kern w:val="0"/>
                <w:sz w:val="22"/>
                <w:lang w:bidi="ar"/>
              </w:rPr>
            </w:pPr>
            <w:r>
              <w:rPr>
                <w:rFonts w:hint="eastAsia" w:ascii="仿宋" w:hAnsi="仿宋" w:eastAsia="仿宋" w:cs="仿宋"/>
                <w:color w:val="000000"/>
                <w:kern w:val="0"/>
                <w:sz w:val="20"/>
                <w:szCs w:val="20"/>
                <w:lang w:bidi="ar"/>
              </w:rPr>
              <w:t>3940mm*2500mm*110mm</w:t>
            </w:r>
          </w:p>
        </w:tc>
        <w:tc>
          <w:tcPr>
            <w:tcW w:w="64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项</w:t>
            </w:r>
          </w:p>
        </w:tc>
        <w:tc>
          <w:tcPr>
            <w:tcW w:w="112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1</w:t>
            </w:r>
          </w:p>
        </w:tc>
        <w:tc>
          <w:tcPr>
            <w:tcW w:w="1695" w:type="dxa"/>
            <w:vAlign w:val="center"/>
          </w:tcPr>
          <w:p>
            <w:pPr>
              <w:autoSpaceDE w:val="0"/>
              <w:autoSpaceDN w:val="0"/>
              <w:adjustRightInd w:val="0"/>
              <w:jc w:val="center"/>
              <w:rPr>
                <w:rFonts w:hint="eastAsia" w:ascii="宋体" w:hAnsi="宋体"/>
                <w:sz w:val="24"/>
                <w:szCs w:val="21"/>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宋体" w:hAnsi="宋体" w:eastAsia="宋体"/>
                <w:szCs w:val="21"/>
              </w:rPr>
            </w:pPr>
            <w:r>
              <w:rPr>
                <w:rFonts w:hint="eastAsia" w:ascii="仿宋" w:hAnsi="仿宋" w:eastAsia="仿宋" w:cs="仿宋"/>
                <w:color w:val="000000"/>
                <w:sz w:val="20"/>
                <w:szCs w:val="20"/>
              </w:rPr>
              <w:t>7-2</w:t>
            </w:r>
          </w:p>
        </w:tc>
        <w:tc>
          <w:tcPr>
            <w:tcW w:w="1766" w:type="dxa"/>
            <w:gridSpan w:val="2"/>
            <w:vAlign w:val="center"/>
          </w:tcPr>
          <w:p>
            <w:pPr>
              <w:widowControl/>
              <w:jc w:val="left"/>
              <w:textAlignment w:val="center"/>
              <w:rPr>
                <w:rFonts w:hint="eastAsia" w:ascii="宋体" w:hAnsi="宋体" w:eastAsia="宋体" w:cs="宋体"/>
                <w:kern w:val="0"/>
                <w:sz w:val="22"/>
                <w:lang w:val="zh-CN" w:bidi="ar"/>
              </w:rPr>
            </w:pPr>
            <w:r>
              <w:rPr>
                <w:rFonts w:hint="eastAsia" w:ascii="仿宋" w:hAnsi="仿宋" w:eastAsia="仿宋" w:cs="仿宋"/>
                <w:color w:val="000000"/>
                <w:kern w:val="0"/>
                <w:sz w:val="20"/>
                <w:szCs w:val="20"/>
                <w:lang w:bidi="ar"/>
              </w:rPr>
              <w:t>框架钢结构支架:—主龙骨</w:t>
            </w:r>
          </w:p>
        </w:tc>
        <w:tc>
          <w:tcPr>
            <w:tcW w:w="3555" w:type="dxa"/>
            <w:vAlign w:val="center"/>
          </w:tcPr>
          <w:p>
            <w:pPr>
              <w:widowControl/>
              <w:jc w:val="left"/>
              <w:textAlignment w:val="center"/>
              <w:rPr>
                <w:rFonts w:hint="eastAsia" w:ascii="宋体" w:hAnsi="宋体" w:eastAsia="宋体" w:cs="宋体"/>
                <w:kern w:val="0"/>
                <w:sz w:val="22"/>
                <w:lang w:bidi="ar"/>
              </w:rPr>
            </w:pPr>
            <w:r>
              <w:rPr>
                <w:rFonts w:hint="eastAsia" w:ascii="仿宋" w:hAnsi="仿宋" w:eastAsia="仿宋" w:cs="仿宋"/>
                <w:color w:val="000000"/>
                <w:kern w:val="0"/>
                <w:sz w:val="20"/>
                <w:szCs w:val="20"/>
                <w:lang w:bidi="ar"/>
              </w:rPr>
              <w:t>100mm*50mm*2.5mm方钢</w:t>
            </w:r>
          </w:p>
        </w:tc>
        <w:tc>
          <w:tcPr>
            <w:tcW w:w="64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项</w:t>
            </w:r>
          </w:p>
        </w:tc>
        <w:tc>
          <w:tcPr>
            <w:tcW w:w="112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1</w:t>
            </w:r>
          </w:p>
        </w:tc>
        <w:tc>
          <w:tcPr>
            <w:tcW w:w="1695" w:type="dxa"/>
            <w:vAlign w:val="center"/>
          </w:tcPr>
          <w:p>
            <w:pPr>
              <w:autoSpaceDE w:val="0"/>
              <w:autoSpaceDN w:val="0"/>
              <w:adjustRightInd w:val="0"/>
              <w:jc w:val="center"/>
              <w:rPr>
                <w:rFonts w:hint="eastAsia" w:ascii="宋体" w:hAnsi="宋体"/>
                <w:sz w:val="24"/>
                <w:szCs w:val="21"/>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宋体" w:hAnsi="宋体" w:eastAsia="宋体"/>
                <w:szCs w:val="21"/>
              </w:rPr>
            </w:pPr>
            <w:r>
              <w:rPr>
                <w:rFonts w:hint="eastAsia" w:ascii="仿宋" w:hAnsi="仿宋" w:eastAsia="仿宋" w:cs="仿宋"/>
                <w:color w:val="000000"/>
                <w:sz w:val="20"/>
                <w:szCs w:val="20"/>
              </w:rPr>
              <w:t>7-3</w:t>
            </w:r>
          </w:p>
        </w:tc>
        <w:tc>
          <w:tcPr>
            <w:tcW w:w="1766" w:type="dxa"/>
            <w:gridSpan w:val="2"/>
            <w:vAlign w:val="center"/>
          </w:tcPr>
          <w:p>
            <w:pPr>
              <w:widowControl/>
              <w:jc w:val="left"/>
              <w:textAlignment w:val="center"/>
              <w:rPr>
                <w:rFonts w:hint="eastAsia" w:ascii="宋体" w:hAnsi="宋体" w:eastAsia="宋体" w:cs="宋体"/>
                <w:kern w:val="0"/>
                <w:sz w:val="22"/>
                <w:lang w:val="zh-CN" w:bidi="ar"/>
              </w:rPr>
            </w:pPr>
            <w:r>
              <w:rPr>
                <w:rFonts w:hint="eastAsia" w:ascii="仿宋" w:hAnsi="仿宋" w:eastAsia="仿宋" w:cs="仿宋"/>
                <w:color w:val="000000"/>
                <w:kern w:val="0"/>
                <w:sz w:val="20"/>
                <w:szCs w:val="20"/>
                <w:lang w:bidi="ar"/>
              </w:rPr>
              <w:t>分龙骨：</w:t>
            </w:r>
          </w:p>
        </w:tc>
        <w:tc>
          <w:tcPr>
            <w:tcW w:w="3555" w:type="dxa"/>
            <w:vAlign w:val="center"/>
          </w:tcPr>
          <w:p>
            <w:pPr>
              <w:widowControl/>
              <w:jc w:val="left"/>
              <w:textAlignment w:val="center"/>
              <w:rPr>
                <w:rFonts w:hint="eastAsia" w:ascii="宋体" w:hAnsi="宋体" w:eastAsia="宋体" w:cs="宋体"/>
                <w:kern w:val="0"/>
                <w:sz w:val="22"/>
                <w:lang w:bidi="ar"/>
              </w:rPr>
            </w:pPr>
            <w:r>
              <w:rPr>
                <w:rFonts w:hint="eastAsia" w:ascii="仿宋" w:hAnsi="仿宋" w:eastAsia="仿宋" w:cs="仿宋"/>
                <w:color w:val="000000"/>
                <w:kern w:val="0"/>
                <w:sz w:val="20"/>
                <w:szCs w:val="20"/>
                <w:lang w:bidi="ar"/>
              </w:rPr>
              <w:t>40mm*40mm*2.0mm方钢</w:t>
            </w:r>
          </w:p>
        </w:tc>
        <w:tc>
          <w:tcPr>
            <w:tcW w:w="64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项</w:t>
            </w:r>
          </w:p>
        </w:tc>
        <w:tc>
          <w:tcPr>
            <w:tcW w:w="112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1</w:t>
            </w:r>
          </w:p>
        </w:tc>
        <w:tc>
          <w:tcPr>
            <w:tcW w:w="1695" w:type="dxa"/>
            <w:vAlign w:val="center"/>
          </w:tcPr>
          <w:p>
            <w:pPr>
              <w:autoSpaceDE w:val="0"/>
              <w:autoSpaceDN w:val="0"/>
              <w:adjustRightInd w:val="0"/>
              <w:jc w:val="center"/>
              <w:rPr>
                <w:rFonts w:hint="eastAsia" w:ascii="宋体" w:hAnsi="宋体"/>
                <w:sz w:val="24"/>
                <w:szCs w:val="21"/>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宋体" w:hAnsi="宋体" w:eastAsia="宋体"/>
                <w:szCs w:val="21"/>
              </w:rPr>
            </w:pPr>
            <w:r>
              <w:rPr>
                <w:rFonts w:hint="eastAsia" w:ascii="仿宋" w:hAnsi="仿宋" w:eastAsia="仿宋" w:cs="仿宋"/>
                <w:color w:val="000000"/>
                <w:sz w:val="20"/>
                <w:szCs w:val="20"/>
              </w:rPr>
              <w:t>7-4</w:t>
            </w:r>
          </w:p>
        </w:tc>
        <w:tc>
          <w:tcPr>
            <w:tcW w:w="1766" w:type="dxa"/>
            <w:gridSpan w:val="2"/>
            <w:vAlign w:val="center"/>
          </w:tcPr>
          <w:p>
            <w:pPr>
              <w:widowControl/>
              <w:jc w:val="left"/>
              <w:textAlignment w:val="center"/>
              <w:rPr>
                <w:rFonts w:hint="eastAsia" w:ascii="宋体" w:hAnsi="宋体" w:eastAsia="宋体" w:cs="宋体"/>
                <w:kern w:val="0"/>
                <w:sz w:val="22"/>
                <w:lang w:val="zh-CN" w:bidi="ar"/>
              </w:rPr>
            </w:pPr>
            <w:r>
              <w:rPr>
                <w:rFonts w:hint="eastAsia" w:ascii="仿宋" w:hAnsi="仿宋" w:eastAsia="仿宋" w:cs="仿宋"/>
                <w:color w:val="000000"/>
                <w:kern w:val="0"/>
                <w:sz w:val="20"/>
                <w:szCs w:val="20"/>
                <w:lang w:bidi="ar"/>
              </w:rPr>
              <w:t>吊杆:</w:t>
            </w:r>
          </w:p>
        </w:tc>
        <w:tc>
          <w:tcPr>
            <w:tcW w:w="3555" w:type="dxa"/>
            <w:vAlign w:val="center"/>
          </w:tcPr>
          <w:p>
            <w:pPr>
              <w:widowControl/>
              <w:jc w:val="left"/>
              <w:textAlignment w:val="center"/>
              <w:rPr>
                <w:rFonts w:hint="eastAsia" w:ascii="宋体" w:hAnsi="宋体" w:eastAsia="宋体" w:cs="宋体"/>
                <w:kern w:val="0"/>
                <w:sz w:val="22"/>
                <w:lang w:bidi="ar"/>
              </w:rPr>
            </w:pPr>
            <w:r>
              <w:rPr>
                <w:rFonts w:hint="eastAsia" w:ascii="仿宋" w:hAnsi="仿宋" w:eastAsia="仿宋" w:cs="仿宋"/>
                <w:color w:val="000000"/>
                <w:kern w:val="0"/>
                <w:sz w:val="20"/>
                <w:szCs w:val="20"/>
                <w:lang w:bidi="ar"/>
              </w:rPr>
              <w:t>50mm*50mm*3.5mm方钢,长度3m-6m可调节</w:t>
            </w:r>
          </w:p>
        </w:tc>
        <w:tc>
          <w:tcPr>
            <w:tcW w:w="64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项</w:t>
            </w:r>
          </w:p>
        </w:tc>
        <w:tc>
          <w:tcPr>
            <w:tcW w:w="112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1</w:t>
            </w:r>
          </w:p>
        </w:tc>
        <w:tc>
          <w:tcPr>
            <w:tcW w:w="1695" w:type="dxa"/>
            <w:vAlign w:val="center"/>
          </w:tcPr>
          <w:p>
            <w:pPr>
              <w:autoSpaceDE w:val="0"/>
              <w:autoSpaceDN w:val="0"/>
              <w:adjustRightInd w:val="0"/>
              <w:jc w:val="center"/>
              <w:rPr>
                <w:rFonts w:hint="eastAsia" w:ascii="宋体" w:hAnsi="宋体"/>
                <w:sz w:val="24"/>
                <w:szCs w:val="21"/>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仿宋" w:hAnsi="仿宋" w:eastAsia="仿宋" w:cs="仿宋"/>
                <w:sz w:val="20"/>
                <w:szCs w:val="20"/>
              </w:rPr>
            </w:pPr>
            <w:r>
              <w:rPr>
                <w:rFonts w:hint="eastAsia" w:ascii="仿宋" w:hAnsi="仿宋" w:eastAsia="仿宋" w:cs="仿宋"/>
                <w:sz w:val="20"/>
                <w:szCs w:val="20"/>
              </w:rPr>
              <w:t>7-5</w:t>
            </w:r>
          </w:p>
        </w:tc>
        <w:tc>
          <w:tcPr>
            <w:tcW w:w="1766" w:type="dxa"/>
            <w:gridSpan w:val="2"/>
            <w:vAlign w:val="center"/>
          </w:tcPr>
          <w:p>
            <w:pPr>
              <w:widowControl/>
              <w:jc w:val="left"/>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车身线大屏定制夹持器</w:t>
            </w:r>
          </w:p>
        </w:tc>
        <w:tc>
          <w:tcPr>
            <w:tcW w:w="3555" w:type="dxa"/>
            <w:vAlign w:val="center"/>
          </w:tcPr>
          <w:p>
            <w:pPr>
              <w:widowControl/>
              <w:jc w:val="left"/>
              <w:textAlignment w:val="center"/>
              <w:rPr>
                <w:rFonts w:hint="eastAsia" w:ascii="仿宋" w:hAnsi="仿宋" w:eastAsia="仿宋" w:cs="仿宋"/>
                <w:kern w:val="0"/>
                <w:sz w:val="20"/>
                <w:szCs w:val="20"/>
                <w:lang w:bidi="ar"/>
              </w:rPr>
            </w:pPr>
          </w:p>
        </w:tc>
        <w:tc>
          <w:tcPr>
            <w:tcW w:w="645" w:type="dxa"/>
            <w:vAlign w:val="center"/>
          </w:tcPr>
          <w:p>
            <w:pPr>
              <w:widowControl/>
              <w:jc w:val="center"/>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套</w:t>
            </w:r>
          </w:p>
        </w:tc>
        <w:tc>
          <w:tcPr>
            <w:tcW w:w="1125" w:type="dxa"/>
            <w:vAlign w:val="center"/>
          </w:tcPr>
          <w:p>
            <w:pPr>
              <w:widowControl/>
              <w:jc w:val="center"/>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2</w:t>
            </w:r>
          </w:p>
        </w:tc>
        <w:tc>
          <w:tcPr>
            <w:tcW w:w="1695" w:type="dxa"/>
            <w:vAlign w:val="center"/>
          </w:tcPr>
          <w:p>
            <w:pPr>
              <w:autoSpaceDE w:val="0"/>
              <w:autoSpaceDN w:val="0"/>
              <w:adjustRightInd w:val="0"/>
              <w:jc w:val="center"/>
              <w:rPr>
                <w:rFonts w:hint="eastAsia" w:ascii="宋体" w:hAnsi="宋体"/>
                <w:sz w:val="24"/>
                <w:szCs w:val="21"/>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仿宋" w:hAnsi="仿宋" w:eastAsia="仿宋" w:cs="仿宋"/>
                <w:sz w:val="20"/>
                <w:szCs w:val="20"/>
              </w:rPr>
            </w:pPr>
            <w:r>
              <w:rPr>
                <w:rFonts w:hint="eastAsia" w:ascii="仿宋" w:hAnsi="仿宋" w:eastAsia="仿宋" w:cs="仿宋"/>
                <w:sz w:val="20"/>
                <w:szCs w:val="20"/>
              </w:rPr>
              <w:t>7-6</w:t>
            </w:r>
          </w:p>
        </w:tc>
        <w:tc>
          <w:tcPr>
            <w:tcW w:w="1766" w:type="dxa"/>
            <w:gridSpan w:val="2"/>
            <w:vAlign w:val="center"/>
          </w:tcPr>
          <w:p>
            <w:pPr>
              <w:widowControl/>
              <w:jc w:val="left"/>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车身线大屏大屏四周包边</w:t>
            </w:r>
          </w:p>
        </w:tc>
        <w:tc>
          <w:tcPr>
            <w:tcW w:w="3555" w:type="dxa"/>
            <w:vAlign w:val="center"/>
          </w:tcPr>
          <w:p>
            <w:pPr>
              <w:widowControl/>
              <w:jc w:val="left"/>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黑色不锈钢包边，宽度5cm</w:t>
            </w:r>
          </w:p>
        </w:tc>
        <w:tc>
          <w:tcPr>
            <w:tcW w:w="645" w:type="dxa"/>
            <w:vAlign w:val="center"/>
          </w:tcPr>
          <w:p>
            <w:pPr>
              <w:widowControl/>
              <w:jc w:val="center"/>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套</w:t>
            </w:r>
          </w:p>
        </w:tc>
        <w:tc>
          <w:tcPr>
            <w:tcW w:w="1125" w:type="dxa"/>
            <w:vAlign w:val="center"/>
          </w:tcPr>
          <w:p>
            <w:pPr>
              <w:widowControl/>
              <w:jc w:val="center"/>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1</w:t>
            </w:r>
          </w:p>
        </w:tc>
        <w:tc>
          <w:tcPr>
            <w:tcW w:w="1695" w:type="dxa"/>
            <w:vAlign w:val="center"/>
          </w:tcPr>
          <w:p>
            <w:pPr>
              <w:autoSpaceDE w:val="0"/>
              <w:autoSpaceDN w:val="0"/>
              <w:adjustRightInd w:val="0"/>
              <w:jc w:val="center"/>
              <w:rPr>
                <w:rFonts w:hint="eastAsia" w:ascii="宋体" w:hAnsi="宋体"/>
                <w:sz w:val="24"/>
                <w:szCs w:val="21"/>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仿宋" w:hAnsi="仿宋" w:eastAsia="仿宋" w:cs="仿宋"/>
                <w:sz w:val="20"/>
                <w:szCs w:val="20"/>
              </w:rPr>
            </w:pPr>
            <w:r>
              <w:rPr>
                <w:rFonts w:hint="eastAsia" w:ascii="仿宋" w:hAnsi="仿宋" w:eastAsia="仿宋" w:cs="仿宋"/>
                <w:sz w:val="20"/>
                <w:szCs w:val="20"/>
              </w:rPr>
              <w:t>7-7</w:t>
            </w:r>
          </w:p>
        </w:tc>
        <w:tc>
          <w:tcPr>
            <w:tcW w:w="1766" w:type="dxa"/>
            <w:gridSpan w:val="2"/>
            <w:vAlign w:val="center"/>
          </w:tcPr>
          <w:p>
            <w:pPr>
              <w:widowControl/>
              <w:jc w:val="left"/>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车身线大屏配套螺丝，卡扣，角件等</w:t>
            </w:r>
          </w:p>
        </w:tc>
        <w:tc>
          <w:tcPr>
            <w:tcW w:w="3555" w:type="dxa"/>
            <w:vAlign w:val="center"/>
          </w:tcPr>
          <w:p>
            <w:pPr>
              <w:widowControl/>
              <w:jc w:val="left"/>
              <w:textAlignment w:val="center"/>
              <w:rPr>
                <w:rFonts w:hint="eastAsia" w:ascii="仿宋" w:hAnsi="仿宋" w:eastAsia="仿宋" w:cs="仿宋"/>
                <w:kern w:val="0"/>
                <w:sz w:val="20"/>
                <w:szCs w:val="20"/>
                <w:lang w:bidi="ar"/>
              </w:rPr>
            </w:pPr>
          </w:p>
        </w:tc>
        <w:tc>
          <w:tcPr>
            <w:tcW w:w="645" w:type="dxa"/>
            <w:vAlign w:val="center"/>
          </w:tcPr>
          <w:p>
            <w:pPr>
              <w:widowControl/>
              <w:jc w:val="center"/>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套</w:t>
            </w:r>
          </w:p>
        </w:tc>
        <w:tc>
          <w:tcPr>
            <w:tcW w:w="1125" w:type="dxa"/>
            <w:vAlign w:val="center"/>
          </w:tcPr>
          <w:p>
            <w:pPr>
              <w:widowControl/>
              <w:jc w:val="center"/>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1</w:t>
            </w:r>
          </w:p>
        </w:tc>
        <w:tc>
          <w:tcPr>
            <w:tcW w:w="1695" w:type="dxa"/>
            <w:vAlign w:val="center"/>
          </w:tcPr>
          <w:p>
            <w:pPr>
              <w:autoSpaceDE w:val="0"/>
              <w:autoSpaceDN w:val="0"/>
              <w:adjustRightInd w:val="0"/>
              <w:jc w:val="center"/>
              <w:rPr>
                <w:rFonts w:hint="eastAsia" w:ascii="宋体" w:hAnsi="宋体"/>
                <w:sz w:val="24"/>
                <w:szCs w:val="21"/>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widowControl/>
              <w:jc w:val="center"/>
              <w:textAlignment w:val="center"/>
              <w:rPr>
                <w:rFonts w:hint="eastAsia" w:ascii="宋体" w:hAnsi="宋体" w:eastAsia="宋体"/>
                <w:szCs w:val="21"/>
              </w:rPr>
            </w:pPr>
            <w:r>
              <w:rPr>
                <w:rFonts w:hint="eastAsia" w:ascii="仿宋" w:hAnsi="仿宋" w:eastAsia="仿宋" w:cs="仿宋"/>
                <w:kern w:val="0"/>
                <w:sz w:val="20"/>
                <w:szCs w:val="20"/>
                <w:lang w:bidi="ar"/>
              </w:rPr>
              <w:t>8-1</w:t>
            </w:r>
          </w:p>
        </w:tc>
        <w:tc>
          <w:tcPr>
            <w:tcW w:w="1766" w:type="dxa"/>
            <w:gridSpan w:val="2"/>
            <w:vAlign w:val="center"/>
          </w:tcPr>
          <w:p>
            <w:pPr>
              <w:widowControl/>
              <w:jc w:val="left"/>
              <w:textAlignment w:val="center"/>
              <w:rPr>
                <w:rFonts w:hint="eastAsia" w:ascii="宋体" w:hAnsi="宋体" w:eastAsia="宋体" w:cs="宋体"/>
                <w:kern w:val="0"/>
                <w:sz w:val="22"/>
                <w:lang w:val="zh-CN" w:bidi="ar"/>
              </w:rPr>
            </w:pPr>
            <w:r>
              <w:rPr>
                <w:rFonts w:hint="eastAsia" w:ascii="仿宋" w:hAnsi="仿宋" w:eastAsia="仿宋" w:cs="仿宋"/>
                <w:kern w:val="0"/>
                <w:sz w:val="20"/>
                <w:szCs w:val="20"/>
                <w:lang w:bidi="ar"/>
              </w:rPr>
              <w:t>仓库大屏框架:框架钢结构尺寸（长*高*厚）</w:t>
            </w:r>
          </w:p>
        </w:tc>
        <w:tc>
          <w:tcPr>
            <w:tcW w:w="3555" w:type="dxa"/>
            <w:vAlign w:val="center"/>
          </w:tcPr>
          <w:p>
            <w:pPr>
              <w:widowControl/>
              <w:jc w:val="left"/>
              <w:textAlignment w:val="center"/>
              <w:rPr>
                <w:rFonts w:hint="eastAsia" w:ascii="宋体" w:hAnsi="宋体" w:eastAsia="宋体" w:cs="宋体"/>
                <w:kern w:val="0"/>
                <w:sz w:val="22"/>
                <w:lang w:bidi="ar"/>
              </w:rPr>
            </w:pPr>
            <w:r>
              <w:rPr>
                <w:rFonts w:hint="eastAsia" w:ascii="仿宋" w:hAnsi="仿宋" w:eastAsia="仿宋" w:cs="仿宋"/>
                <w:kern w:val="0"/>
                <w:sz w:val="20"/>
                <w:szCs w:val="20"/>
                <w:lang w:bidi="ar"/>
              </w:rPr>
              <w:t>2020mm*1540mm*110mm</w:t>
            </w:r>
          </w:p>
        </w:tc>
        <w:tc>
          <w:tcPr>
            <w:tcW w:w="64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kern w:val="0"/>
                <w:sz w:val="20"/>
                <w:szCs w:val="20"/>
                <w:lang w:bidi="ar"/>
              </w:rPr>
              <w:t>项</w:t>
            </w:r>
          </w:p>
        </w:tc>
        <w:tc>
          <w:tcPr>
            <w:tcW w:w="112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kern w:val="0"/>
                <w:sz w:val="20"/>
                <w:szCs w:val="20"/>
                <w:lang w:bidi="ar"/>
              </w:rPr>
              <w:t>1</w:t>
            </w:r>
          </w:p>
        </w:tc>
        <w:tc>
          <w:tcPr>
            <w:tcW w:w="1695" w:type="dxa"/>
            <w:vAlign w:val="center"/>
          </w:tcPr>
          <w:p>
            <w:pPr>
              <w:autoSpaceDE w:val="0"/>
              <w:autoSpaceDN w:val="0"/>
              <w:adjustRightInd w:val="0"/>
              <w:jc w:val="center"/>
              <w:rPr>
                <w:rFonts w:hint="eastAsia" w:ascii="宋体" w:hAnsi="宋体"/>
                <w:sz w:val="24"/>
                <w:szCs w:val="21"/>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宋体" w:hAnsi="宋体" w:eastAsia="宋体"/>
                <w:szCs w:val="21"/>
              </w:rPr>
            </w:pPr>
            <w:r>
              <w:rPr>
                <w:rFonts w:hint="eastAsia" w:ascii="仿宋" w:hAnsi="仿宋" w:eastAsia="仿宋" w:cs="仿宋"/>
                <w:sz w:val="20"/>
                <w:szCs w:val="20"/>
              </w:rPr>
              <w:t>8-2</w:t>
            </w:r>
          </w:p>
        </w:tc>
        <w:tc>
          <w:tcPr>
            <w:tcW w:w="1766" w:type="dxa"/>
            <w:gridSpan w:val="2"/>
            <w:vAlign w:val="center"/>
          </w:tcPr>
          <w:p>
            <w:pPr>
              <w:widowControl/>
              <w:jc w:val="left"/>
              <w:textAlignment w:val="center"/>
              <w:rPr>
                <w:rFonts w:hint="eastAsia" w:ascii="宋体" w:hAnsi="宋体" w:eastAsia="宋体" w:cs="宋体"/>
                <w:kern w:val="0"/>
                <w:sz w:val="22"/>
                <w:lang w:val="zh-CN" w:bidi="ar"/>
              </w:rPr>
            </w:pPr>
            <w:r>
              <w:rPr>
                <w:rFonts w:hint="eastAsia" w:ascii="仿宋" w:hAnsi="仿宋" w:eastAsia="仿宋" w:cs="仿宋"/>
                <w:kern w:val="0"/>
                <w:sz w:val="20"/>
                <w:szCs w:val="20"/>
                <w:lang w:bidi="ar"/>
              </w:rPr>
              <w:t>框架钢结构支架:—主龙骨</w:t>
            </w:r>
          </w:p>
        </w:tc>
        <w:tc>
          <w:tcPr>
            <w:tcW w:w="3555" w:type="dxa"/>
            <w:vAlign w:val="center"/>
          </w:tcPr>
          <w:p>
            <w:pPr>
              <w:widowControl/>
              <w:jc w:val="left"/>
              <w:textAlignment w:val="center"/>
              <w:rPr>
                <w:rFonts w:hint="eastAsia" w:ascii="宋体" w:hAnsi="宋体" w:eastAsia="宋体" w:cs="宋体"/>
                <w:kern w:val="0"/>
                <w:sz w:val="22"/>
                <w:lang w:bidi="ar"/>
              </w:rPr>
            </w:pPr>
            <w:r>
              <w:rPr>
                <w:rFonts w:hint="eastAsia" w:ascii="仿宋" w:hAnsi="仿宋" w:eastAsia="仿宋" w:cs="仿宋"/>
                <w:kern w:val="0"/>
                <w:sz w:val="20"/>
                <w:szCs w:val="20"/>
                <w:lang w:bidi="ar"/>
              </w:rPr>
              <w:t>100mm*50mm*2.5mm方钢</w:t>
            </w:r>
          </w:p>
        </w:tc>
        <w:tc>
          <w:tcPr>
            <w:tcW w:w="64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kern w:val="0"/>
                <w:sz w:val="20"/>
                <w:szCs w:val="20"/>
                <w:lang w:bidi="ar"/>
              </w:rPr>
              <w:t>项</w:t>
            </w:r>
          </w:p>
        </w:tc>
        <w:tc>
          <w:tcPr>
            <w:tcW w:w="112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kern w:val="0"/>
                <w:sz w:val="20"/>
                <w:szCs w:val="20"/>
                <w:lang w:bidi="ar"/>
              </w:rPr>
              <w:t>1</w:t>
            </w:r>
          </w:p>
        </w:tc>
        <w:tc>
          <w:tcPr>
            <w:tcW w:w="1695" w:type="dxa"/>
            <w:vAlign w:val="center"/>
          </w:tcPr>
          <w:p>
            <w:pPr>
              <w:autoSpaceDE w:val="0"/>
              <w:autoSpaceDN w:val="0"/>
              <w:adjustRightInd w:val="0"/>
              <w:jc w:val="center"/>
              <w:rPr>
                <w:rFonts w:hint="eastAsia" w:ascii="宋体" w:hAnsi="宋体"/>
                <w:sz w:val="24"/>
                <w:szCs w:val="21"/>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宋体" w:hAnsi="宋体" w:eastAsia="宋体"/>
                <w:szCs w:val="21"/>
              </w:rPr>
            </w:pPr>
            <w:r>
              <w:rPr>
                <w:rFonts w:hint="eastAsia" w:ascii="仿宋" w:hAnsi="仿宋" w:eastAsia="仿宋" w:cs="仿宋"/>
                <w:sz w:val="20"/>
                <w:szCs w:val="20"/>
              </w:rPr>
              <w:t>8-3</w:t>
            </w:r>
          </w:p>
        </w:tc>
        <w:tc>
          <w:tcPr>
            <w:tcW w:w="1766" w:type="dxa"/>
            <w:gridSpan w:val="2"/>
            <w:vAlign w:val="center"/>
          </w:tcPr>
          <w:p>
            <w:pPr>
              <w:widowControl/>
              <w:jc w:val="left"/>
              <w:textAlignment w:val="center"/>
              <w:rPr>
                <w:rFonts w:hint="eastAsia" w:ascii="宋体" w:hAnsi="宋体" w:eastAsia="宋体" w:cs="宋体"/>
                <w:kern w:val="0"/>
                <w:sz w:val="22"/>
                <w:lang w:val="zh-CN" w:bidi="ar"/>
              </w:rPr>
            </w:pPr>
            <w:r>
              <w:rPr>
                <w:rFonts w:hint="eastAsia" w:ascii="仿宋" w:hAnsi="仿宋" w:eastAsia="仿宋" w:cs="仿宋"/>
                <w:kern w:val="0"/>
                <w:sz w:val="20"/>
                <w:szCs w:val="20"/>
                <w:lang w:bidi="ar"/>
              </w:rPr>
              <w:t>分龙骨：</w:t>
            </w:r>
          </w:p>
        </w:tc>
        <w:tc>
          <w:tcPr>
            <w:tcW w:w="3555" w:type="dxa"/>
            <w:vAlign w:val="center"/>
          </w:tcPr>
          <w:p>
            <w:pPr>
              <w:widowControl/>
              <w:jc w:val="left"/>
              <w:textAlignment w:val="center"/>
              <w:rPr>
                <w:rFonts w:hint="eastAsia" w:ascii="宋体" w:hAnsi="宋体" w:eastAsia="宋体" w:cs="宋体"/>
                <w:kern w:val="0"/>
                <w:sz w:val="22"/>
                <w:lang w:bidi="ar"/>
              </w:rPr>
            </w:pPr>
            <w:r>
              <w:rPr>
                <w:rFonts w:hint="eastAsia" w:ascii="仿宋" w:hAnsi="仿宋" w:eastAsia="仿宋" w:cs="仿宋"/>
                <w:kern w:val="0"/>
                <w:sz w:val="20"/>
                <w:szCs w:val="20"/>
                <w:lang w:bidi="ar"/>
              </w:rPr>
              <w:t>40mm*40mm*2.0mm方钢</w:t>
            </w:r>
          </w:p>
        </w:tc>
        <w:tc>
          <w:tcPr>
            <w:tcW w:w="64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kern w:val="0"/>
                <w:sz w:val="20"/>
                <w:szCs w:val="20"/>
                <w:lang w:bidi="ar"/>
              </w:rPr>
              <w:t>项</w:t>
            </w:r>
          </w:p>
        </w:tc>
        <w:tc>
          <w:tcPr>
            <w:tcW w:w="112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kern w:val="0"/>
                <w:sz w:val="20"/>
                <w:szCs w:val="20"/>
                <w:lang w:bidi="ar"/>
              </w:rPr>
              <w:t>1</w:t>
            </w:r>
          </w:p>
        </w:tc>
        <w:tc>
          <w:tcPr>
            <w:tcW w:w="1695" w:type="dxa"/>
            <w:vAlign w:val="center"/>
          </w:tcPr>
          <w:p>
            <w:pPr>
              <w:autoSpaceDE w:val="0"/>
              <w:autoSpaceDN w:val="0"/>
              <w:adjustRightInd w:val="0"/>
              <w:jc w:val="center"/>
              <w:rPr>
                <w:rFonts w:hint="eastAsia" w:ascii="宋体" w:hAnsi="宋体"/>
                <w:sz w:val="24"/>
                <w:szCs w:val="21"/>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宋体" w:hAnsi="宋体" w:eastAsia="宋体" w:cs="宋体"/>
                <w:sz w:val="24"/>
                <w:szCs w:val="24"/>
              </w:rPr>
            </w:pPr>
            <w:r>
              <w:rPr>
                <w:rFonts w:hint="eastAsia" w:ascii="仿宋" w:hAnsi="仿宋" w:eastAsia="仿宋" w:cs="仿宋"/>
                <w:sz w:val="20"/>
                <w:szCs w:val="20"/>
              </w:rPr>
              <w:t>8-4</w:t>
            </w:r>
          </w:p>
        </w:tc>
        <w:tc>
          <w:tcPr>
            <w:tcW w:w="1766" w:type="dxa"/>
            <w:gridSpan w:val="2"/>
            <w:vAlign w:val="center"/>
          </w:tcPr>
          <w:p>
            <w:pPr>
              <w:widowControl/>
              <w:jc w:val="left"/>
              <w:textAlignment w:val="center"/>
              <w:rPr>
                <w:rFonts w:hint="eastAsia" w:ascii="宋体" w:hAnsi="宋体" w:eastAsia="宋体" w:cs="宋体"/>
                <w:sz w:val="24"/>
                <w:szCs w:val="24"/>
              </w:rPr>
            </w:pPr>
            <w:r>
              <w:rPr>
                <w:rFonts w:hint="eastAsia" w:ascii="仿宋" w:hAnsi="仿宋" w:eastAsia="仿宋" w:cs="仿宋"/>
                <w:kern w:val="0"/>
                <w:sz w:val="20"/>
                <w:szCs w:val="20"/>
                <w:lang w:bidi="ar"/>
              </w:rPr>
              <w:t>吊杆:</w:t>
            </w:r>
          </w:p>
        </w:tc>
        <w:tc>
          <w:tcPr>
            <w:tcW w:w="3555" w:type="dxa"/>
            <w:vAlign w:val="center"/>
          </w:tcPr>
          <w:p>
            <w:pPr>
              <w:widowControl/>
              <w:jc w:val="left"/>
              <w:textAlignment w:val="center"/>
              <w:rPr>
                <w:rFonts w:hint="eastAsia" w:ascii="Arial"/>
              </w:rPr>
            </w:pPr>
            <w:r>
              <w:rPr>
                <w:rFonts w:hint="eastAsia" w:ascii="仿宋" w:hAnsi="仿宋" w:eastAsia="仿宋" w:cs="仿宋"/>
                <w:kern w:val="0"/>
                <w:sz w:val="20"/>
                <w:szCs w:val="20"/>
                <w:lang w:bidi="ar"/>
              </w:rPr>
              <w:t>50mm*50mm*2.0mm方钢,长度3m-6m可调节</w:t>
            </w:r>
          </w:p>
        </w:tc>
        <w:tc>
          <w:tcPr>
            <w:tcW w:w="64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kern w:val="0"/>
                <w:sz w:val="20"/>
                <w:szCs w:val="20"/>
                <w:lang w:bidi="ar"/>
              </w:rPr>
              <w:t>项</w:t>
            </w:r>
          </w:p>
        </w:tc>
        <w:tc>
          <w:tcPr>
            <w:tcW w:w="112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kern w:val="0"/>
                <w:sz w:val="20"/>
                <w:szCs w:val="20"/>
                <w:lang w:bidi="ar"/>
              </w:rPr>
              <w:t>1</w:t>
            </w:r>
          </w:p>
        </w:tc>
        <w:tc>
          <w:tcPr>
            <w:tcW w:w="1695" w:type="dxa"/>
          </w:tcPr>
          <w:p>
            <w:pPr>
              <w:rPr>
                <w:rFonts w:hint="eastAsia" w:ascii="Arial"/>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仿宋" w:hAnsi="仿宋" w:eastAsia="仿宋" w:cs="仿宋"/>
                <w:sz w:val="20"/>
                <w:szCs w:val="20"/>
              </w:rPr>
            </w:pPr>
            <w:r>
              <w:rPr>
                <w:rFonts w:hint="eastAsia" w:ascii="仿宋" w:hAnsi="仿宋" w:eastAsia="仿宋" w:cs="仿宋"/>
                <w:sz w:val="20"/>
                <w:szCs w:val="20"/>
              </w:rPr>
              <w:t>8-5</w:t>
            </w:r>
          </w:p>
        </w:tc>
        <w:tc>
          <w:tcPr>
            <w:tcW w:w="1766" w:type="dxa"/>
            <w:gridSpan w:val="2"/>
            <w:vAlign w:val="center"/>
          </w:tcPr>
          <w:p>
            <w:pPr>
              <w:widowControl/>
              <w:jc w:val="left"/>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仓库大屏定制夹持器</w:t>
            </w:r>
          </w:p>
        </w:tc>
        <w:tc>
          <w:tcPr>
            <w:tcW w:w="3555" w:type="dxa"/>
            <w:vAlign w:val="center"/>
          </w:tcPr>
          <w:p>
            <w:pPr>
              <w:widowControl/>
              <w:jc w:val="left"/>
              <w:textAlignment w:val="center"/>
              <w:rPr>
                <w:rFonts w:hint="eastAsia" w:ascii="仿宋" w:hAnsi="仿宋" w:eastAsia="仿宋" w:cs="仿宋"/>
                <w:kern w:val="0"/>
                <w:sz w:val="20"/>
                <w:szCs w:val="20"/>
                <w:lang w:bidi="ar"/>
              </w:rPr>
            </w:pPr>
          </w:p>
        </w:tc>
        <w:tc>
          <w:tcPr>
            <w:tcW w:w="645" w:type="dxa"/>
            <w:vAlign w:val="center"/>
          </w:tcPr>
          <w:p>
            <w:pPr>
              <w:widowControl/>
              <w:jc w:val="center"/>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套</w:t>
            </w:r>
          </w:p>
        </w:tc>
        <w:tc>
          <w:tcPr>
            <w:tcW w:w="1125" w:type="dxa"/>
            <w:vAlign w:val="center"/>
          </w:tcPr>
          <w:p>
            <w:pPr>
              <w:widowControl/>
              <w:jc w:val="center"/>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2</w:t>
            </w:r>
          </w:p>
        </w:tc>
        <w:tc>
          <w:tcPr>
            <w:tcW w:w="1695" w:type="dxa"/>
          </w:tcPr>
          <w:p>
            <w:pPr>
              <w:rPr>
                <w:rFonts w:hint="eastAsia" w:ascii="Arial"/>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仿宋" w:hAnsi="仿宋" w:eastAsia="仿宋" w:cs="仿宋"/>
                <w:sz w:val="20"/>
                <w:szCs w:val="20"/>
              </w:rPr>
            </w:pPr>
            <w:r>
              <w:rPr>
                <w:rFonts w:hint="eastAsia" w:ascii="仿宋" w:hAnsi="仿宋" w:eastAsia="仿宋" w:cs="仿宋"/>
                <w:sz w:val="20"/>
                <w:szCs w:val="20"/>
              </w:rPr>
              <w:t>8-6</w:t>
            </w:r>
          </w:p>
        </w:tc>
        <w:tc>
          <w:tcPr>
            <w:tcW w:w="1766" w:type="dxa"/>
            <w:gridSpan w:val="2"/>
            <w:vAlign w:val="center"/>
          </w:tcPr>
          <w:p>
            <w:pPr>
              <w:widowControl/>
              <w:jc w:val="left"/>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仓库大屏大屏四周包边</w:t>
            </w:r>
          </w:p>
        </w:tc>
        <w:tc>
          <w:tcPr>
            <w:tcW w:w="3555" w:type="dxa"/>
            <w:vAlign w:val="center"/>
          </w:tcPr>
          <w:p>
            <w:pPr>
              <w:widowControl/>
              <w:jc w:val="left"/>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黑色不锈钢包边，宽度5cm</w:t>
            </w:r>
          </w:p>
        </w:tc>
        <w:tc>
          <w:tcPr>
            <w:tcW w:w="645" w:type="dxa"/>
            <w:vAlign w:val="center"/>
          </w:tcPr>
          <w:p>
            <w:pPr>
              <w:widowControl/>
              <w:jc w:val="center"/>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套</w:t>
            </w:r>
          </w:p>
        </w:tc>
        <w:tc>
          <w:tcPr>
            <w:tcW w:w="1125" w:type="dxa"/>
            <w:vAlign w:val="center"/>
          </w:tcPr>
          <w:p>
            <w:pPr>
              <w:widowControl/>
              <w:jc w:val="center"/>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1</w:t>
            </w:r>
          </w:p>
        </w:tc>
        <w:tc>
          <w:tcPr>
            <w:tcW w:w="1695" w:type="dxa"/>
          </w:tcPr>
          <w:p>
            <w:pPr>
              <w:rPr>
                <w:rFonts w:hint="eastAsia" w:ascii="Arial"/>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仿宋" w:hAnsi="仿宋" w:eastAsia="仿宋" w:cs="仿宋"/>
                <w:sz w:val="20"/>
                <w:szCs w:val="20"/>
              </w:rPr>
            </w:pPr>
            <w:r>
              <w:rPr>
                <w:rFonts w:hint="eastAsia" w:ascii="仿宋" w:hAnsi="仿宋" w:eastAsia="仿宋" w:cs="仿宋"/>
                <w:sz w:val="20"/>
                <w:szCs w:val="20"/>
              </w:rPr>
              <w:t>8-7</w:t>
            </w:r>
          </w:p>
        </w:tc>
        <w:tc>
          <w:tcPr>
            <w:tcW w:w="1766" w:type="dxa"/>
            <w:gridSpan w:val="2"/>
            <w:vAlign w:val="center"/>
          </w:tcPr>
          <w:p>
            <w:pPr>
              <w:widowControl/>
              <w:jc w:val="left"/>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仓库大屏配套螺丝，卡扣，角件等</w:t>
            </w:r>
          </w:p>
        </w:tc>
        <w:tc>
          <w:tcPr>
            <w:tcW w:w="3555" w:type="dxa"/>
            <w:vAlign w:val="center"/>
          </w:tcPr>
          <w:p>
            <w:pPr>
              <w:widowControl/>
              <w:jc w:val="left"/>
              <w:textAlignment w:val="center"/>
              <w:rPr>
                <w:rFonts w:hint="eastAsia" w:ascii="仿宋" w:hAnsi="仿宋" w:eastAsia="仿宋" w:cs="仿宋"/>
                <w:kern w:val="0"/>
                <w:sz w:val="20"/>
                <w:szCs w:val="20"/>
                <w:lang w:bidi="ar"/>
              </w:rPr>
            </w:pPr>
          </w:p>
        </w:tc>
        <w:tc>
          <w:tcPr>
            <w:tcW w:w="645" w:type="dxa"/>
            <w:vAlign w:val="center"/>
          </w:tcPr>
          <w:p>
            <w:pPr>
              <w:widowControl/>
              <w:jc w:val="center"/>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套</w:t>
            </w:r>
          </w:p>
        </w:tc>
        <w:tc>
          <w:tcPr>
            <w:tcW w:w="1125" w:type="dxa"/>
            <w:vAlign w:val="center"/>
          </w:tcPr>
          <w:p>
            <w:pPr>
              <w:widowControl/>
              <w:jc w:val="center"/>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1</w:t>
            </w:r>
          </w:p>
        </w:tc>
        <w:tc>
          <w:tcPr>
            <w:tcW w:w="1695" w:type="dxa"/>
          </w:tcPr>
          <w:p>
            <w:pPr>
              <w:rPr>
                <w:rFonts w:hint="eastAsia" w:ascii="Arial"/>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9</w:t>
            </w:r>
          </w:p>
        </w:tc>
        <w:tc>
          <w:tcPr>
            <w:tcW w:w="1766" w:type="dxa"/>
            <w:gridSpan w:val="2"/>
            <w:vAlign w:val="center"/>
          </w:tcPr>
          <w:p>
            <w:pPr>
              <w:widowControl/>
              <w:jc w:val="left"/>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总装线大屏安装调试费：</w:t>
            </w:r>
          </w:p>
        </w:tc>
        <w:tc>
          <w:tcPr>
            <w:tcW w:w="3555" w:type="dxa"/>
            <w:vAlign w:val="center"/>
          </w:tcPr>
          <w:p>
            <w:pPr>
              <w:rPr>
                <w:rFonts w:hint="eastAsia" w:ascii="Arial"/>
              </w:rPr>
            </w:pPr>
          </w:p>
        </w:tc>
        <w:tc>
          <w:tcPr>
            <w:tcW w:w="64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元/m</w:t>
            </w:r>
            <w:r>
              <w:rPr>
                <w:rFonts w:hint="eastAsia" w:ascii="宋体" w:hAnsi="宋体" w:eastAsia="宋体" w:cs="宋体"/>
                <w:color w:val="000000"/>
                <w:kern w:val="0"/>
                <w:sz w:val="20"/>
                <w:szCs w:val="20"/>
                <w:lang w:bidi="ar"/>
              </w:rPr>
              <w:t>²</w:t>
            </w:r>
          </w:p>
        </w:tc>
        <w:tc>
          <w:tcPr>
            <w:tcW w:w="112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10</w:t>
            </w:r>
          </w:p>
        </w:tc>
        <w:tc>
          <w:tcPr>
            <w:tcW w:w="1695" w:type="dxa"/>
          </w:tcPr>
          <w:p>
            <w:pPr>
              <w:rPr>
                <w:rFonts w:hint="eastAsia" w:ascii="Arial"/>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10</w:t>
            </w:r>
          </w:p>
        </w:tc>
        <w:tc>
          <w:tcPr>
            <w:tcW w:w="1766" w:type="dxa"/>
            <w:gridSpan w:val="2"/>
            <w:vAlign w:val="center"/>
          </w:tcPr>
          <w:p>
            <w:pPr>
              <w:widowControl/>
              <w:jc w:val="left"/>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车身线大屏安装调试费：</w:t>
            </w:r>
          </w:p>
        </w:tc>
        <w:tc>
          <w:tcPr>
            <w:tcW w:w="3555" w:type="dxa"/>
            <w:vAlign w:val="center"/>
          </w:tcPr>
          <w:p>
            <w:pPr>
              <w:rPr>
                <w:rFonts w:hint="eastAsia" w:ascii="Arial"/>
              </w:rPr>
            </w:pPr>
          </w:p>
        </w:tc>
        <w:tc>
          <w:tcPr>
            <w:tcW w:w="64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元/m</w:t>
            </w:r>
            <w:r>
              <w:rPr>
                <w:rFonts w:hint="eastAsia" w:ascii="宋体" w:hAnsi="宋体" w:eastAsia="宋体" w:cs="宋体"/>
                <w:color w:val="000000"/>
                <w:kern w:val="0"/>
                <w:sz w:val="20"/>
                <w:szCs w:val="20"/>
                <w:lang w:bidi="ar"/>
              </w:rPr>
              <w:t>²</w:t>
            </w:r>
          </w:p>
        </w:tc>
        <w:tc>
          <w:tcPr>
            <w:tcW w:w="112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10</w:t>
            </w:r>
          </w:p>
        </w:tc>
        <w:tc>
          <w:tcPr>
            <w:tcW w:w="1695" w:type="dxa"/>
          </w:tcPr>
          <w:p>
            <w:pPr>
              <w:rPr>
                <w:rFonts w:hint="eastAsia" w:ascii="Arial"/>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11</w:t>
            </w:r>
          </w:p>
        </w:tc>
        <w:tc>
          <w:tcPr>
            <w:tcW w:w="1766" w:type="dxa"/>
            <w:gridSpan w:val="2"/>
            <w:vAlign w:val="center"/>
          </w:tcPr>
          <w:p>
            <w:pPr>
              <w:widowControl/>
              <w:jc w:val="left"/>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仓库大屏安装调试费：</w:t>
            </w:r>
          </w:p>
        </w:tc>
        <w:tc>
          <w:tcPr>
            <w:tcW w:w="3555" w:type="dxa"/>
            <w:vAlign w:val="center"/>
          </w:tcPr>
          <w:p>
            <w:pPr>
              <w:rPr>
                <w:rFonts w:hint="eastAsia" w:ascii="Arial"/>
              </w:rPr>
            </w:pPr>
          </w:p>
        </w:tc>
        <w:tc>
          <w:tcPr>
            <w:tcW w:w="64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元/m</w:t>
            </w:r>
            <w:r>
              <w:rPr>
                <w:rFonts w:hint="eastAsia" w:ascii="宋体" w:hAnsi="宋体" w:eastAsia="宋体" w:cs="宋体"/>
                <w:color w:val="000000"/>
                <w:kern w:val="0"/>
                <w:sz w:val="20"/>
                <w:szCs w:val="20"/>
                <w:lang w:bidi="ar"/>
              </w:rPr>
              <w:t>²</w:t>
            </w:r>
          </w:p>
        </w:tc>
        <w:tc>
          <w:tcPr>
            <w:tcW w:w="112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4</w:t>
            </w:r>
          </w:p>
        </w:tc>
        <w:tc>
          <w:tcPr>
            <w:tcW w:w="1695" w:type="dxa"/>
          </w:tcPr>
          <w:p>
            <w:pPr>
              <w:rPr>
                <w:rFonts w:hint="eastAsia" w:ascii="Arial"/>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12</w:t>
            </w:r>
          </w:p>
        </w:tc>
        <w:tc>
          <w:tcPr>
            <w:tcW w:w="1766" w:type="dxa"/>
            <w:gridSpan w:val="2"/>
            <w:vAlign w:val="center"/>
          </w:tcPr>
          <w:p>
            <w:pPr>
              <w:widowControl/>
              <w:jc w:val="left"/>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光纤</w:t>
            </w:r>
          </w:p>
        </w:tc>
        <w:tc>
          <w:tcPr>
            <w:tcW w:w="3555" w:type="dxa"/>
            <w:vAlign w:val="center"/>
          </w:tcPr>
          <w:p>
            <w:pPr>
              <w:widowControl/>
              <w:jc w:val="left"/>
              <w:textAlignment w:val="center"/>
              <w:rPr>
                <w:rFonts w:hint="eastAsia" w:ascii="Arial"/>
              </w:rPr>
            </w:pPr>
            <w:r>
              <w:rPr>
                <w:rFonts w:hint="eastAsia" w:ascii="仿宋" w:hAnsi="仿宋" w:eastAsia="仿宋" w:cs="仿宋"/>
                <w:color w:val="000000"/>
                <w:kern w:val="0"/>
                <w:sz w:val="20"/>
                <w:szCs w:val="20"/>
                <w:lang w:bidi="ar"/>
              </w:rPr>
              <w:t>6芯单模</w:t>
            </w:r>
          </w:p>
        </w:tc>
        <w:tc>
          <w:tcPr>
            <w:tcW w:w="64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m</w:t>
            </w:r>
          </w:p>
        </w:tc>
        <w:tc>
          <w:tcPr>
            <w:tcW w:w="112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640</w:t>
            </w:r>
          </w:p>
        </w:tc>
        <w:tc>
          <w:tcPr>
            <w:tcW w:w="1695" w:type="dxa"/>
          </w:tcPr>
          <w:p>
            <w:pPr>
              <w:rPr>
                <w:rFonts w:hint="eastAsia" w:ascii="Arial"/>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13-1</w:t>
            </w:r>
          </w:p>
        </w:tc>
        <w:tc>
          <w:tcPr>
            <w:tcW w:w="1766" w:type="dxa"/>
            <w:gridSpan w:val="2"/>
            <w:vAlign w:val="center"/>
          </w:tcPr>
          <w:p>
            <w:pPr>
              <w:widowControl/>
              <w:jc w:val="left"/>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光纤收发器</w:t>
            </w:r>
          </w:p>
        </w:tc>
        <w:tc>
          <w:tcPr>
            <w:tcW w:w="3555" w:type="dxa"/>
            <w:vAlign w:val="center"/>
          </w:tcPr>
          <w:p>
            <w:pPr>
              <w:widowControl/>
              <w:jc w:val="left"/>
              <w:textAlignment w:val="center"/>
              <w:rPr>
                <w:rFonts w:hint="eastAsia" w:ascii="Arial"/>
              </w:rPr>
            </w:pPr>
            <w:r>
              <w:rPr>
                <w:rFonts w:hint="eastAsia" w:ascii="仿宋" w:hAnsi="仿宋" w:eastAsia="仿宋" w:cs="仿宋"/>
                <w:color w:val="000000"/>
                <w:kern w:val="0"/>
                <w:sz w:val="20"/>
                <w:szCs w:val="20"/>
                <w:lang w:bidi="ar"/>
              </w:rPr>
              <w:t>1光4电</w:t>
            </w:r>
          </w:p>
        </w:tc>
        <w:tc>
          <w:tcPr>
            <w:tcW w:w="64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对</w:t>
            </w:r>
          </w:p>
        </w:tc>
        <w:tc>
          <w:tcPr>
            <w:tcW w:w="112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2</w:t>
            </w:r>
          </w:p>
        </w:tc>
        <w:tc>
          <w:tcPr>
            <w:tcW w:w="1695" w:type="dxa"/>
          </w:tcPr>
          <w:p>
            <w:pPr>
              <w:rPr>
                <w:rFonts w:hint="eastAsia" w:ascii="Arial"/>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宋体" w:hAnsi="宋体" w:eastAsia="宋体" w:cs="宋体"/>
                <w:sz w:val="24"/>
                <w:szCs w:val="24"/>
              </w:rPr>
            </w:pPr>
            <w:r>
              <w:rPr>
                <w:rFonts w:hint="eastAsia" w:ascii="仿宋" w:hAnsi="仿宋" w:eastAsia="仿宋" w:cs="仿宋"/>
                <w:color w:val="000000"/>
                <w:sz w:val="20"/>
                <w:szCs w:val="20"/>
              </w:rPr>
              <w:t>13-2</w:t>
            </w:r>
          </w:p>
        </w:tc>
        <w:tc>
          <w:tcPr>
            <w:tcW w:w="1766" w:type="dxa"/>
            <w:gridSpan w:val="2"/>
            <w:vAlign w:val="center"/>
          </w:tcPr>
          <w:p>
            <w:pPr>
              <w:rPr>
                <w:rFonts w:hint="eastAsia" w:ascii="宋体" w:hAnsi="宋体" w:eastAsia="宋体" w:cs="宋体"/>
                <w:sz w:val="24"/>
                <w:szCs w:val="24"/>
              </w:rPr>
            </w:pPr>
          </w:p>
        </w:tc>
        <w:tc>
          <w:tcPr>
            <w:tcW w:w="3555" w:type="dxa"/>
            <w:vAlign w:val="center"/>
          </w:tcPr>
          <w:p>
            <w:pPr>
              <w:widowControl/>
              <w:jc w:val="left"/>
              <w:textAlignment w:val="center"/>
              <w:rPr>
                <w:rFonts w:hint="eastAsia" w:ascii="Arial"/>
              </w:rPr>
            </w:pPr>
            <w:r>
              <w:rPr>
                <w:rFonts w:hint="eastAsia" w:ascii="仿宋" w:hAnsi="仿宋" w:eastAsia="仿宋" w:cs="仿宋"/>
                <w:color w:val="000000"/>
                <w:kern w:val="0"/>
                <w:sz w:val="20"/>
                <w:szCs w:val="20"/>
                <w:lang w:bidi="ar"/>
              </w:rPr>
              <w:t>1发1收</w:t>
            </w:r>
          </w:p>
        </w:tc>
        <w:tc>
          <w:tcPr>
            <w:tcW w:w="64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对</w:t>
            </w:r>
          </w:p>
        </w:tc>
        <w:tc>
          <w:tcPr>
            <w:tcW w:w="1125"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1</w:t>
            </w:r>
          </w:p>
        </w:tc>
        <w:tc>
          <w:tcPr>
            <w:tcW w:w="1695" w:type="dxa"/>
          </w:tcPr>
          <w:p>
            <w:pPr>
              <w:rPr>
                <w:rFonts w:hint="eastAsia" w:ascii="Arial"/>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14</w:t>
            </w:r>
          </w:p>
        </w:tc>
        <w:tc>
          <w:tcPr>
            <w:tcW w:w="1766" w:type="dxa"/>
            <w:gridSpan w:val="2"/>
            <w:vAlign w:val="center"/>
          </w:tcPr>
          <w:p>
            <w:pPr>
              <w:widowControl/>
              <w:jc w:val="left"/>
              <w:textAlignment w:val="center"/>
              <w:rPr>
                <w:rFonts w:hint="eastAsia" w:ascii="宋体" w:hAnsi="宋体" w:cs="宋体"/>
                <w:b/>
                <w:bCs/>
                <w:kern w:val="0"/>
                <w:sz w:val="22"/>
              </w:rPr>
            </w:pPr>
            <w:r>
              <w:rPr>
                <w:rFonts w:hint="eastAsia" w:ascii="仿宋" w:hAnsi="仿宋" w:eastAsia="仿宋" w:cs="仿宋"/>
                <w:color w:val="000000"/>
                <w:kern w:val="0"/>
                <w:sz w:val="20"/>
                <w:szCs w:val="20"/>
                <w:lang w:bidi="ar"/>
              </w:rPr>
              <w:t>光纤熔接</w:t>
            </w:r>
          </w:p>
        </w:tc>
        <w:tc>
          <w:tcPr>
            <w:tcW w:w="3555" w:type="dxa"/>
            <w:vAlign w:val="center"/>
          </w:tcPr>
          <w:p>
            <w:pPr>
              <w:rPr>
                <w:rFonts w:hint="eastAsia" w:ascii="宋体" w:hAnsi="宋体" w:cs="宋体"/>
                <w:b/>
                <w:bCs/>
                <w:kern w:val="0"/>
                <w:sz w:val="22"/>
              </w:rPr>
            </w:pPr>
          </w:p>
        </w:tc>
        <w:tc>
          <w:tcPr>
            <w:tcW w:w="645" w:type="dxa"/>
            <w:vAlign w:val="center"/>
          </w:tcPr>
          <w:p>
            <w:pPr>
              <w:widowControl/>
              <w:jc w:val="center"/>
              <w:textAlignment w:val="center"/>
              <w:rPr>
                <w:rFonts w:hint="eastAsia" w:ascii="宋体" w:hAnsi="宋体" w:cs="宋体"/>
                <w:b/>
                <w:bCs/>
                <w:kern w:val="0"/>
                <w:sz w:val="22"/>
              </w:rPr>
            </w:pPr>
            <w:r>
              <w:rPr>
                <w:rFonts w:hint="eastAsia" w:ascii="仿宋" w:hAnsi="仿宋" w:eastAsia="仿宋" w:cs="仿宋"/>
                <w:color w:val="000000"/>
                <w:kern w:val="0"/>
                <w:sz w:val="20"/>
                <w:szCs w:val="20"/>
                <w:lang w:bidi="ar"/>
              </w:rPr>
              <w:t>宗</w:t>
            </w:r>
          </w:p>
        </w:tc>
        <w:tc>
          <w:tcPr>
            <w:tcW w:w="1125" w:type="dxa"/>
            <w:vAlign w:val="center"/>
          </w:tcPr>
          <w:p>
            <w:pPr>
              <w:widowControl/>
              <w:jc w:val="center"/>
              <w:textAlignment w:val="center"/>
              <w:rPr>
                <w:rFonts w:hint="eastAsia" w:ascii="宋体" w:hAnsi="宋体" w:cs="宋体"/>
                <w:b/>
                <w:bCs/>
                <w:kern w:val="0"/>
                <w:sz w:val="22"/>
              </w:rPr>
            </w:pPr>
            <w:r>
              <w:rPr>
                <w:rFonts w:hint="eastAsia" w:ascii="仿宋" w:hAnsi="仿宋" w:eastAsia="仿宋" w:cs="仿宋"/>
                <w:color w:val="000000"/>
                <w:kern w:val="0"/>
                <w:sz w:val="20"/>
                <w:szCs w:val="20"/>
                <w:lang w:bidi="ar"/>
              </w:rPr>
              <w:t>1</w:t>
            </w:r>
          </w:p>
        </w:tc>
        <w:tc>
          <w:tcPr>
            <w:tcW w:w="1695" w:type="dxa"/>
          </w:tcPr>
          <w:p>
            <w:pPr>
              <w:rPr>
                <w:rFonts w:hint="eastAsia" w:ascii="Arial"/>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宋体" w:hAnsi="宋体" w:cs="宋体"/>
                <w:b/>
                <w:bCs/>
                <w:kern w:val="0"/>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仿宋" w:hAnsi="仿宋" w:eastAsia="仿宋" w:cs="仿宋"/>
                <w:color w:val="000000"/>
                <w:kern w:val="0"/>
                <w:sz w:val="20"/>
                <w:szCs w:val="20"/>
                <w:lang w:bidi="ar"/>
              </w:rPr>
              <w:t>15</w:t>
            </w:r>
          </w:p>
        </w:tc>
        <w:tc>
          <w:tcPr>
            <w:tcW w:w="1766" w:type="dxa"/>
            <w:gridSpan w:val="2"/>
            <w:vAlign w:val="center"/>
          </w:tcPr>
          <w:p>
            <w:pPr>
              <w:widowControl/>
              <w:jc w:val="left"/>
              <w:textAlignment w:val="center"/>
              <w:rPr>
                <w:rFonts w:hint="eastAsia" w:ascii="宋体" w:hAnsi="宋体" w:cs="宋体"/>
                <w:b/>
                <w:bCs/>
                <w:kern w:val="0"/>
                <w:sz w:val="22"/>
              </w:rPr>
            </w:pPr>
            <w:r>
              <w:rPr>
                <w:rFonts w:hint="eastAsia" w:ascii="仿宋" w:hAnsi="仿宋" w:eastAsia="仿宋" w:cs="仿宋"/>
                <w:color w:val="000000"/>
                <w:kern w:val="0"/>
                <w:sz w:val="20"/>
                <w:szCs w:val="20"/>
                <w:lang w:bidi="ar"/>
              </w:rPr>
              <w:t>布线费用</w:t>
            </w:r>
          </w:p>
        </w:tc>
        <w:tc>
          <w:tcPr>
            <w:tcW w:w="3555" w:type="dxa"/>
            <w:vAlign w:val="center"/>
          </w:tcPr>
          <w:p>
            <w:pPr>
              <w:rPr>
                <w:rFonts w:hint="eastAsia" w:ascii="宋体" w:hAnsi="宋体" w:cs="宋体"/>
                <w:b/>
                <w:bCs/>
                <w:kern w:val="0"/>
                <w:sz w:val="22"/>
              </w:rPr>
            </w:pPr>
          </w:p>
        </w:tc>
        <w:tc>
          <w:tcPr>
            <w:tcW w:w="645" w:type="dxa"/>
            <w:vAlign w:val="center"/>
          </w:tcPr>
          <w:p>
            <w:pPr>
              <w:widowControl/>
              <w:jc w:val="center"/>
              <w:textAlignment w:val="center"/>
              <w:rPr>
                <w:rFonts w:hint="eastAsia" w:ascii="宋体" w:hAnsi="宋体" w:cs="宋体"/>
                <w:b/>
                <w:bCs/>
                <w:kern w:val="0"/>
                <w:sz w:val="22"/>
              </w:rPr>
            </w:pPr>
            <w:r>
              <w:rPr>
                <w:rFonts w:hint="eastAsia" w:ascii="仿宋" w:hAnsi="仿宋" w:eastAsia="仿宋" w:cs="仿宋"/>
                <w:color w:val="000000"/>
                <w:kern w:val="0"/>
                <w:sz w:val="20"/>
                <w:szCs w:val="20"/>
                <w:lang w:bidi="ar"/>
              </w:rPr>
              <w:t>宗</w:t>
            </w:r>
          </w:p>
        </w:tc>
        <w:tc>
          <w:tcPr>
            <w:tcW w:w="1125" w:type="dxa"/>
            <w:vAlign w:val="center"/>
          </w:tcPr>
          <w:p>
            <w:pPr>
              <w:widowControl/>
              <w:jc w:val="center"/>
              <w:textAlignment w:val="center"/>
              <w:rPr>
                <w:rFonts w:hint="eastAsia" w:ascii="宋体" w:hAnsi="宋体" w:cs="宋体"/>
                <w:b/>
                <w:bCs/>
                <w:kern w:val="0"/>
                <w:sz w:val="22"/>
              </w:rPr>
            </w:pPr>
            <w:r>
              <w:rPr>
                <w:rFonts w:hint="eastAsia" w:ascii="仿宋" w:hAnsi="仿宋" w:eastAsia="仿宋" w:cs="仿宋"/>
                <w:color w:val="000000"/>
                <w:kern w:val="0"/>
                <w:sz w:val="20"/>
                <w:szCs w:val="20"/>
                <w:lang w:bidi="ar"/>
              </w:rPr>
              <w:t>1</w:t>
            </w:r>
          </w:p>
        </w:tc>
        <w:tc>
          <w:tcPr>
            <w:tcW w:w="1695" w:type="dxa"/>
          </w:tcPr>
          <w:p>
            <w:pPr>
              <w:rPr>
                <w:rFonts w:hint="eastAsia" w:ascii="Arial"/>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widowControl/>
              <w:jc w:val="center"/>
              <w:rPr>
                <w:rFonts w:hint="eastAsia" w:ascii="宋体" w:hAnsi="宋体" w:cs="宋体"/>
                <w:b/>
                <w:bCs/>
                <w:kern w:val="0"/>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hint="eastAsia" w:ascii="宋体" w:hAnsi="宋体" w:eastAsia="宋体" w:cs="宋体"/>
                <w:szCs w:val="21"/>
              </w:rPr>
            </w:pPr>
            <w:r>
              <w:rPr>
                <w:rFonts w:ascii="宋体" w:hAnsi="宋体" w:eastAsia="宋体" w:cs="宋体"/>
                <w:position w:val="1"/>
                <w:szCs w:val="21"/>
              </w:rPr>
              <w:t>…</w:t>
            </w:r>
          </w:p>
        </w:tc>
        <w:tc>
          <w:tcPr>
            <w:tcW w:w="1766" w:type="dxa"/>
            <w:gridSpan w:val="2"/>
          </w:tcPr>
          <w:p>
            <w:pPr>
              <w:rPr>
                <w:rFonts w:hint="eastAsia" w:ascii="Arial"/>
              </w:rPr>
            </w:pPr>
            <w:r>
              <w:rPr>
                <w:rFonts w:hint="eastAsia" w:ascii="宋体" w:hAnsi="宋体" w:eastAsia="宋体" w:cs="宋体"/>
              </w:rPr>
              <w:t>以上投标设备不足之处请往下添加序号自行补充</w:t>
            </w:r>
          </w:p>
        </w:tc>
        <w:tc>
          <w:tcPr>
            <w:tcW w:w="3555" w:type="dxa"/>
          </w:tcPr>
          <w:p>
            <w:pPr>
              <w:rPr>
                <w:rFonts w:hint="eastAsia" w:ascii="Arial"/>
              </w:rPr>
            </w:pPr>
          </w:p>
        </w:tc>
        <w:tc>
          <w:tcPr>
            <w:tcW w:w="645" w:type="dxa"/>
          </w:tcPr>
          <w:p>
            <w:pPr>
              <w:rPr>
                <w:rFonts w:hint="eastAsia" w:ascii="Arial"/>
              </w:rPr>
            </w:pPr>
          </w:p>
        </w:tc>
        <w:tc>
          <w:tcPr>
            <w:tcW w:w="1125" w:type="dxa"/>
          </w:tcPr>
          <w:p>
            <w:pPr>
              <w:rPr>
                <w:rFonts w:hint="eastAsia" w:ascii="Arial"/>
              </w:rPr>
            </w:pPr>
          </w:p>
        </w:tc>
        <w:tc>
          <w:tcPr>
            <w:tcW w:w="1695" w:type="dxa"/>
          </w:tcPr>
          <w:p>
            <w:pPr>
              <w:rPr>
                <w:rFonts w:hint="eastAsia" w:ascii="Arial"/>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hint="eastAsia" w:ascii="宋体" w:hAnsi="宋体" w:eastAsia="宋体" w:cs="宋体"/>
                <w:position w:val="1"/>
                <w:szCs w:val="21"/>
              </w:rPr>
            </w:pPr>
          </w:p>
        </w:tc>
        <w:tc>
          <w:tcPr>
            <w:tcW w:w="1766" w:type="dxa"/>
            <w:gridSpan w:val="2"/>
          </w:tcPr>
          <w:p>
            <w:pPr>
              <w:rPr>
                <w:rFonts w:hint="eastAsia" w:ascii="宋体" w:hAnsi="宋体" w:eastAsia="宋体" w:cs="宋体"/>
              </w:rPr>
            </w:pPr>
          </w:p>
        </w:tc>
        <w:tc>
          <w:tcPr>
            <w:tcW w:w="3555" w:type="dxa"/>
          </w:tcPr>
          <w:p>
            <w:pPr>
              <w:rPr>
                <w:rFonts w:hint="eastAsia" w:ascii="Arial"/>
              </w:rPr>
            </w:pPr>
          </w:p>
        </w:tc>
        <w:tc>
          <w:tcPr>
            <w:tcW w:w="645" w:type="dxa"/>
          </w:tcPr>
          <w:p>
            <w:pPr>
              <w:rPr>
                <w:rFonts w:hint="eastAsia" w:ascii="Arial"/>
              </w:rPr>
            </w:pPr>
          </w:p>
        </w:tc>
        <w:tc>
          <w:tcPr>
            <w:tcW w:w="1125" w:type="dxa"/>
          </w:tcPr>
          <w:p>
            <w:pPr>
              <w:rPr>
                <w:rFonts w:hint="eastAsia" w:ascii="Arial"/>
              </w:rPr>
            </w:pPr>
          </w:p>
        </w:tc>
        <w:tc>
          <w:tcPr>
            <w:tcW w:w="1695" w:type="dxa"/>
          </w:tcPr>
          <w:p>
            <w:pPr>
              <w:rPr>
                <w:rFonts w:hint="eastAsia" w:ascii="Arial"/>
              </w:rPr>
            </w:pPr>
          </w:p>
        </w:tc>
        <w:tc>
          <w:tcPr>
            <w:tcW w:w="1746" w:type="dxa"/>
            <w:tcBorders>
              <w:right w:val="single" w:color="000000" w:sz="4" w:space="0"/>
            </w:tcBorders>
          </w:tcPr>
          <w:p>
            <w:pPr>
              <w:rPr>
                <w:rFonts w:hint="eastAsia" w:ascii="Arial"/>
              </w:rPr>
            </w:pPr>
          </w:p>
        </w:tc>
        <w:tc>
          <w:tcPr>
            <w:tcW w:w="1892" w:type="dxa"/>
            <w:tcBorders>
              <w:left w:val="single" w:color="000000" w:sz="4" w:space="0"/>
            </w:tcBorders>
          </w:tcPr>
          <w:p>
            <w:pPr>
              <w:rPr>
                <w:rFonts w:hint="eastAsia" w:ascii="Arial"/>
              </w:rPr>
            </w:pPr>
          </w:p>
        </w:tc>
        <w:tc>
          <w:tcPr>
            <w:tcW w:w="1998"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20" w:type="dxa"/>
            <w:gridSpan w:val="2"/>
            <w:tcBorders>
              <w:right w:val="single" w:color="000000" w:sz="4" w:space="0"/>
            </w:tcBorders>
          </w:tcPr>
          <w:p>
            <w:pPr>
              <w:jc w:val="center"/>
              <w:rPr>
                <w:rFonts w:hint="eastAsia" w:ascii="宋体" w:hAnsi="宋体" w:eastAsia="宋体" w:cs="宋体"/>
                <w:spacing w:val="-6"/>
                <w:szCs w:val="21"/>
              </w:rPr>
            </w:pPr>
          </w:p>
        </w:tc>
        <w:tc>
          <w:tcPr>
            <w:tcW w:w="10084" w:type="dxa"/>
            <w:gridSpan w:val="6"/>
            <w:tcBorders>
              <w:right w:val="single" w:color="000000" w:sz="4" w:space="0"/>
            </w:tcBorders>
          </w:tcPr>
          <w:p>
            <w:pPr>
              <w:jc w:val="center"/>
              <w:rPr>
                <w:rFonts w:hint="eastAsia"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892" w:type="dxa"/>
            <w:tcBorders>
              <w:left w:val="single" w:color="000000" w:sz="4" w:space="0"/>
            </w:tcBorders>
          </w:tcPr>
          <w:p>
            <w:pPr>
              <w:rPr>
                <w:rFonts w:hint="eastAsia" w:ascii="Arial"/>
              </w:rPr>
            </w:pPr>
          </w:p>
        </w:tc>
        <w:tc>
          <w:tcPr>
            <w:tcW w:w="1998" w:type="dxa"/>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rPr>
          <w:rFonts w:hint="eastAsia"/>
        </w:rPr>
      </w:pPr>
    </w:p>
    <w:p>
      <w:pPr>
        <w:rPr>
          <w:rFonts w:hint="eastAsia"/>
        </w:rPr>
        <w:sectPr>
          <w:footerReference r:id="rId27" w:type="default"/>
          <w:pgSz w:w="16841" w:h="11907" w:orient="landscape"/>
          <w:pgMar w:top="400" w:right="1387" w:bottom="1168" w:left="1473" w:header="0" w:footer="990" w:gutter="0"/>
          <w:cols w:equalWidth="0" w:num="1">
            <w:col w:w="13980"/>
          </w:cols>
        </w:sectPr>
      </w:pP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8"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hint="eastAsia" w:ascii="宋体" w:hAnsi="宋体" w:eastAsia="宋体" w:cs="宋体"/>
                <w:szCs w:val="21"/>
              </w:rPr>
            </w:pPr>
            <w:r>
              <w:rPr>
                <w:rFonts w:ascii="宋体" w:hAnsi="宋体" w:eastAsia="宋体" w:cs="宋体"/>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spacing w:before="303" w:line="183" w:lineRule="auto"/>
              <w:jc w:val="center"/>
              <w:rPr>
                <w:rFonts w:hint="eastAsia" w:ascii="宋体" w:hAnsi="宋体" w:eastAsia="宋体" w:cs="宋体"/>
                <w:szCs w:val="21"/>
              </w:rPr>
            </w:pPr>
            <w:r>
              <w:rPr>
                <w:rFonts w:ascii="宋体" w:hAnsi="宋体" w:eastAsia="宋体" w:cs="宋体"/>
                <w:szCs w:val="21"/>
              </w:rPr>
              <w:t>3</w:t>
            </w:r>
          </w:p>
        </w:tc>
        <w:tc>
          <w:tcPr>
            <w:tcW w:w="3625" w:type="dxa"/>
            <w:vAlign w:val="center"/>
          </w:tcPr>
          <w:p>
            <w:pPr>
              <w:spacing w:before="266" w:line="221" w:lineRule="auto"/>
              <w:jc w:val="center"/>
              <w:rPr>
                <w:rFonts w:hint="eastAsia"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rPr>
            </w:pPr>
            <w:r>
              <w:rPr>
                <w:rFonts w:hint="eastAsia" w:ascii="宋体" w:hAnsi="宋体" w:eastAsia="宋体" w:cs="宋体"/>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16"/>
        <w:framePr w:wrap="around"/>
        <w:rPr>
          <w:rFonts w:hint="eastAsia"/>
          <w:color w:val="auto"/>
        </w:rPr>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9"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30" w:type="default"/>
          <w:pgSz w:w="16841" w:h="11907"/>
          <w:pgMar w:top="400" w:right="1500" w:bottom="1184" w:left="1480"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6"/>
        <w:framePr w:wrap="around"/>
        <w:rPr>
          <w:rFonts w:hint="eastAsia"/>
          <w:color w:val="auto"/>
        </w:rPr>
      </w:pPr>
    </w:p>
    <w:p>
      <w:pPr>
        <w:pStyle w:val="16"/>
        <w:framePr w:wrap="around"/>
        <w:rPr>
          <w:rFonts w:hint="eastAsia"/>
          <w:color w:val="auto"/>
        </w:rPr>
      </w:pPr>
    </w:p>
    <w:p>
      <w:pPr>
        <w:spacing w:before="140" w:line="220" w:lineRule="auto"/>
        <w:ind w:left="2" w:firstLine="464" w:firstLineChars="200"/>
        <w:rPr>
          <w:rFonts w:hint="eastAsia" w:ascii="宋体" w:hAnsi="宋体" w:eastAsia="宋体" w:cs="宋体"/>
          <w:spacing w:val="-2"/>
          <w:szCs w:val="21"/>
        </w:rPr>
        <w:sectPr>
          <w:footerReference r:id="rId31"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附件10</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商务条款偏离表</w:t>
      </w:r>
    </w:p>
    <w:p>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4"/>
                <w:szCs w:val="24"/>
                <w:u w:val="single"/>
              </w:rPr>
              <w:t>特种车公司车间大屏项目配套弱电施工</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投标人名称：</w:t>
      </w:r>
      <w:r>
        <w:rPr>
          <w:rFonts w:ascii="宋体" w:hAnsi="宋体" w:eastAsia="宋体" w:cs="Times New Roman"/>
          <w:sz w:val="24"/>
          <w:szCs w:val="24"/>
        </w:rPr>
        <w:t xml:space="preserve">                   </w:t>
      </w:r>
      <w:r>
        <w:rPr>
          <w:rFonts w:hint="eastAsia" w:ascii="宋体" w:hAnsi="宋体" w:eastAsia="宋体" w:cs="Times New Roman"/>
          <w:sz w:val="24"/>
          <w:szCs w:val="24"/>
        </w:rPr>
        <w:t>授权代表签字：</w:t>
      </w:r>
      <w:r>
        <w:rPr>
          <w:rFonts w:ascii="宋体" w:hAnsi="宋体" w:eastAsia="宋体" w:cs="Times New Roman"/>
          <w:sz w:val="24"/>
          <w:szCs w:val="24"/>
        </w:rPr>
        <w:t xml:space="preserve">            </w:t>
      </w:r>
      <w:r>
        <w:rPr>
          <w:rFonts w:hint="eastAsia" w:ascii="宋体" w:hAnsi="宋体" w:eastAsia="宋体" w:cs="Times New Roman"/>
          <w:sz w:val="24"/>
          <w:szCs w:val="24"/>
        </w:rPr>
        <w:t>日期：</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sz w:val="24"/>
          <w:szCs w:val="24"/>
        </w:rPr>
        <w:t>附件11 投标人承诺</w:t>
      </w:r>
    </w:p>
    <w:p>
      <w:pPr>
        <w:spacing w:line="272" w:lineRule="auto"/>
        <w:rPr>
          <w:rFonts w:hint="eastAsia" w:ascii="Arial"/>
        </w:rPr>
      </w:pPr>
    </w:p>
    <w:p>
      <w:pPr>
        <w:spacing w:before="75" w:line="228" w:lineRule="auto"/>
        <w:ind w:left="134"/>
        <w:rPr>
          <w:rFonts w:hint="eastAsia"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u w:val="single"/>
        </w:rPr>
        <w:t>特种车公司车间大屏项目配套弱电施工</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32"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附件12</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rPr>
        <w:t>特种车公司车间大屏项目配套弱电施工</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中国重汽集团济南特种车有限公司：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投标人：（盖章）</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法定代表人（委托代理人）：（签字）</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日</w:t>
      </w:r>
      <w:r>
        <w:rPr>
          <w:rFonts w:ascii="宋体" w:hAnsi="宋体" w:eastAsia="宋体" w:cs="Times New Roman"/>
          <w:sz w:val="24"/>
          <w:szCs w:val="24"/>
        </w:rPr>
        <w:t xml:space="preserve">  </w:t>
      </w:r>
      <w:r>
        <w:rPr>
          <w:rFonts w:hint="eastAsia" w:ascii="宋体" w:hAnsi="宋体" w:eastAsia="宋体" w:cs="Times New Roman"/>
          <w:sz w:val="24"/>
          <w:szCs w:val="24"/>
        </w:rPr>
        <w:t>期：</w:t>
      </w:r>
      <w:r>
        <w:rPr>
          <w:rFonts w:ascii="宋体" w:hAnsi="宋体" w:eastAsia="宋体" w:cs="Times New Roman"/>
          <w:sz w:val="24"/>
          <w:szCs w:val="24"/>
        </w:rPr>
        <w:t xml:space="preserve">       </w:t>
      </w:r>
      <w:r>
        <w:rPr>
          <w:rFonts w:hint="eastAsia" w:ascii="宋体" w:hAnsi="宋体" w:eastAsia="宋体" w:cs="Times New Roman"/>
          <w:sz w:val="24"/>
          <w:szCs w:val="24"/>
        </w:rPr>
        <w:t>年</w:t>
      </w:r>
      <w:r>
        <w:rPr>
          <w:rFonts w:ascii="宋体" w:hAnsi="宋体" w:eastAsia="宋体" w:cs="Times New Roman"/>
          <w:sz w:val="24"/>
          <w:szCs w:val="24"/>
        </w:rPr>
        <w:t xml:space="preserve">    </w:t>
      </w:r>
      <w:r>
        <w:rPr>
          <w:rFonts w:hint="eastAsia" w:ascii="宋体" w:hAnsi="宋体" w:eastAsia="宋体" w:cs="Times New Roman"/>
          <w:sz w:val="24"/>
          <w:szCs w:val="24"/>
        </w:rPr>
        <w:t>月</w:t>
      </w:r>
      <w:r>
        <w:rPr>
          <w:rFonts w:ascii="宋体" w:hAnsi="宋体" w:eastAsia="宋体" w:cs="Times New Roman"/>
          <w:sz w:val="24"/>
          <w:szCs w:val="24"/>
        </w:rPr>
        <w:t xml:space="preserve">    </w:t>
      </w:r>
      <w:r>
        <w:rPr>
          <w:rFonts w:hint="eastAsia" w:ascii="宋体" w:hAnsi="宋体" w:eastAsia="宋体" w:cs="Times New Roman"/>
          <w:sz w:val="24"/>
          <w:szCs w:val="24"/>
        </w:rPr>
        <w:t>日</w:t>
      </w:r>
    </w:p>
    <w:p>
      <w:pPr>
        <w:rPr>
          <w:rFonts w:ascii="宋体" w:hAnsi="Calibri" w:eastAsia="宋体" w:cs="宋体"/>
          <w:b/>
          <w:bCs/>
          <w:sz w:val="28"/>
          <w:szCs w:val="20"/>
        </w:rPr>
      </w:pPr>
    </w:p>
    <w:p>
      <w:pPr>
        <w:pStyle w:val="16"/>
        <w:framePr w:wrap="around"/>
        <w:rPr>
          <w:rFonts w:hint="eastAsia"/>
          <w:color w:val="auto"/>
        </w:rPr>
      </w:pPr>
    </w:p>
    <w:p>
      <w:pPr>
        <w:rPr>
          <w:rFonts w:ascii="宋体" w:hAnsi="Calibri" w:eastAsia="宋体" w:cs="宋体"/>
          <w:b/>
          <w:bCs/>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sz w:val="24"/>
          <w:szCs w:val="24"/>
        </w:rPr>
        <w:t>附件13 投标文件封面及封口格式</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u w:val="single"/>
              </w:rPr>
              <w:t>特种车公司车间大屏项目配套弱电施工</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投标人名称：</w:t>
      </w:r>
      <w:r>
        <w:rPr>
          <w:rFonts w:ascii="宋体" w:hAnsi="宋体" w:eastAsia="宋体" w:cs="Times New Roman"/>
          <w:sz w:val="24"/>
          <w:szCs w:val="24"/>
        </w:rPr>
        <w:t xml:space="preserve">                   </w:t>
      </w:r>
      <w:r>
        <w:rPr>
          <w:rFonts w:hint="eastAsia" w:ascii="宋体" w:hAnsi="宋体" w:eastAsia="宋体" w:cs="Times New Roman"/>
          <w:sz w:val="24"/>
          <w:szCs w:val="24"/>
        </w:rPr>
        <w:t>授权代表签字：</w:t>
      </w:r>
      <w:r>
        <w:rPr>
          <w:rFonts w:ascii="宋体" w:hAnsi="宋体" w:eastAsia="宋体" w:cs="Times New Roman"/>
          <w:sz w:val="24"/>
          <w:szCs w:val="24"/>
        </w:rPr>
        <w:t xml:space="preserve">                  </w:t>
      </w:r>
      <w:r>
        <w:rPr>
          <w:rFonts w:hint="eastAsia" w:ascii="宋体" w:hAnsi="宋体" w:eastAsia="宋体" w:cs="Times New Roman"/>
          <w:sz w:val="24"/>
          <w:szCs w:val="24"/>
        </w:rPr>
        <w:t>日期：</w:t>
      </w:r>
    </w:p>
    <w:p>
      <w:pPr>
        <w:pStyle w:val="16"/>
        <w:framePr w:wrap="around"/>
        <w:rPr>
          <w:rFonts w:hint="eastAsia"/>
          <w:color w:val="auto"/>
        </w:rPr>
      </w:pPr>
    </w:p>
    <w:p>
      <w:pPr>
        <w:jc w:val="right"/>
        <w:rPr>
          <w:rFonts w:hint="eastAsia" w:asciiTheme="minorEastAsia" w:hAnsiTheme="minorEastAsia" w:cstheme="minorEastAsia"/>
          <w:sz w:val="20"/>
          <w:szCs w:val="20"/>
        </w:rPr>
      </w:pPr>
    </w:p>
    <w:p>
      <w:pPr>
        <w:jc w:val="right"/>
        <w:rPr>
          <w:rFonts w:hint="eastAsia" w:asciiTheme="minorEastAsia" w:hAnsiTheme="minorEastAsia" w:cstheme="minorEastAsia"/>
          <w:sz w:val="20"/>
          <w:szCs w:val="20"/>
        </w:rPr>
      </w:pPr>
    </w:p>
    <w:p>
      <w:pPr>
        <w:rPr>
          <w:rFonts w:hint="eastAsia"/>
        </w:rPr>
        <w:sectPr>
          <w:headerReference r:id="rId34" w:type="first"/>
          <w:footerReference r:id="rId36" w:type="first"/>
          <w:headerReference r:id="rId33" w:type="default"/>
          <w:footerReference r:id="rId35" w:type="default"/>
          <w:pgSz w:w="11906" w:h="16838"/>
          <w:pgMar w:top="1588" w:right="1418" w:bottom="1134" w:left="1418" w:header="851" w:footer="992" w:gutter="0"/>
          <w:cols w:space="720" w:num="1"/>
          <w:titlePg/>
          <w:docGrid w:type="lines" w:linePitch="312" w:charSpace="0"/>
        </w:sectPr>
      </w:pPr>
    </w:p>
    <w:p>
      <w:pPr>
        <w:outlineLvl w:val="2"/>
        <w:rPr>
          <w:rFonts w:hint="eastAsia" w:ascii="宋体" w:hAnsi="宋体" w:eastAsia="宋体" w:cs="宋体"/>
          <w:b/>
          <w:bCs/>
          <w:sz w:val="24"/>
          <w:szCs w:val="24"/>
        </w:rPr>
      </w:pPr>
      <w:r>
        <w:rPr>
          <w:rFonts w:hint="eastAsia" w:ascii="Times New Roman" w:hAnsi="Times New Roman" w:eastAsia="宋体" w:cs="Times New Roman"/>
          <w:b/>
          <w:bCs/>
          <w:sz w:val="24"/>
          <w:szCs w:val="24"/>
        </w:rPr>
        <w:t>附件14技术标评分标准（无技术标评项目，可忽略此附件）</w:t>
      </w:r>
    </w:p>
    <w:tbl>
      <w:tblPr>
        <w:tblStyle w:val="35"/>
        <w:tblW w:w="98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547"/>
        <w:gridCol w:w="5689"/>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
                <w:bCs/>
                <w:sz w:val="24"/>
                <w:szCs w:val="24"/>
              </w:rPr>
            </w:pPr>
            <w:r>
              <w:rPr>
                <w:rFonts w:hint="eastAsia" w:ascii="宋体" w:hAnsi="宋体" w:eastAsia="宋体" w:cs="宋体"/>
                <w:b/>
                <w:bCs/>
                <w:sz w:val="24"/>
                <w:szCs w:val="24"/>
              </w:rPr>
              <w:t>评分项目</w:t>
            </w:r>
          </w:p>
        </w:tc>
        <w:tc>
          <w:tcPr>
            <w:tcW w:w="1547" w:type="dxa"/>
          </w:tcPr>
          <w:p>
            <w:pPr>
              <w:rPr>
                <w:rFonts w:hint="eastAsia" w:ascii="宋体" w:hAnsi="宋体" w:eastAsia="宋体" w:cs="宋体"/>
                <w:b/>
                <w:bCs/>
                <w:sz w:val="24"/>
                <w:szCs w:val="24"/>
              </w:rPr>
            </w:pPr>
            <w:r>
              <w:rPr>
                <w:rFonts w:hint="eastAsia" w:ascii="宋体" w:hAnsi="宋体" w:eastAsia="宋体" w:cs="宋体"/>
                <w:b/>
                <w:bCs/>
                <w:sz w:val="24"/>
                <w:szCs w:val="24"/>
              </w:rPr>
              <w:t>评分因素</w:t>
            </w:r>
          </w:p>
        </w:tc>
        <w:tc>
          <w:tcPr>
            <w:tcW w:w="5689" w:type="dxa"/>
            <w:vAlign w:val="center"/>
          </w:tcPr>
          <w:p>
            <w:pPr>
              <w:rPr>
                <w:rFonts w:hint="eastAsia" w:ascii="宋体" w:hAnsi="宋体" w:eastAsia="宋体" w:cs="宋体"/>
                <w:b/>
                <w:bCs/>
                <w:sz w:val="24"/>
                <w:szCs w:val="24"/>
              </w:rPr>
            </w:pPr>
            <w:r>
              <w:rPr>
                <w:rFonts w:hint="eastAsia" w:ascii="宋体" w:hAnsi="宋体" w:eastAsia="宋体" w:cs="宋体"/>
                <w:b/>
                <w:bCs/>
                <w:sz w:val="24"/>
                <w:szCs w:val="24"/>
              </w:rPr>
              <w:t>说明</w:t>
            </w:r>
          </w:p>
        </w:tc>
        <w:tc>
          <w:tcPr>
            <w:tcW w:w="1305" w:type="dxa"/>
          </w:tcPr>
          <w:p>
            <w:pPr>
              <w:rPr>
                <w:rFonts w:hint="eastAsia" w:ascii="宋体" w:hAnsi="宋体" w:eastAsia="宋体" w:cs="宋体"/>
                <w:b/>
                <w:bCs/>
                <w:sz w:val="24"/>
                <w:szCs w:val="24"/>
              </w:rPr>
            </w:pPr>
            <w:r>
              <w:rPr>
                <w:rFonts w:hint="eastAsia" w:ascii="宋体" w:hAnsi="宋体" w:eastAsia="宋体" w:cs="宋体"/>
                <w:b/>
                <w:bCs/>
                <w:sz w:val="24"/>
                <w:szCs w:val="24"/>
              </w:rPr>
              <w:t>分值分配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6" w:hRule="atLeast"/>
          <w:jc w:val="center"/>
        </w:trPr>
        <w:tc>
          <w:tcPr>
            <w:tcW w:w="1271" w:type="dxa"/>
            <w:vMerge w:val="restart"/>
            <w:tcBorders>
              <w:left w:val="single" w:color="auto" w:sz="4" w:space="0"/>
              <w:right w:val="single" w:color="auto" w:sz="4" w:space="0"/>
            </w:tcBorders>
            <w:vAlign w:val="center"/>
          </w:tcPr>
          <w:p>
            <w:pPr>
              <w:rPr>
                <w:rFonts w:hint="eastAsia" w:ascii="宋体" w:hAnsi="宋体" w:eastAsia="宋体" w:cs="宋体"/>
                <w:b/>
                <w:bCs/>
                <w:sz w:val="24"/>
                <w:szCs w:val="24"/>
              </w:rPr>
            </w:pPr>
            <w:r>
              <w:rPr>
                <w:rFonts w:hint="eastAsia" w:ascii="宋体" w:hAnsi="宋体" w:eastAsia="宋体" w:cs="宋体"/>
                <w:b/>
                <w:bCs/>
                <w:sz w:val="24"/>
                <w:szCs w:val="24"/>
              </w:rPr>
              <w:t>技术部分</w:t>
            </w:r>
          </w:p>
          <w:p>
            <w:pPr>
              <w:rPr>
                <w:rFonts w:hint="eastAsia" w:ascii="宋体" w:hAnsi="宋体" w:eastAsia="宋体" w:cs="宋体"/>
                <w:b/>
                <w:bCs/>
                <w:sz w:val="24"/>
                <w:szCs w:val="24"/>
              </w:rPr>
            </w:pPr>
            <w:r>
              <w:rPr>
                <w:rFonts w:hint="eastAsia" w:ascii="宋体" w:hAnsi="宋体" w:eastAsia="宋体" w:cs="宋体"/>
                <w:b/>
                <w:bCs/>
                <w:sz w:val="24"/>
                <w:szCs w:val="24"/>
              </w:rPr>
              <w:t>（100分）</w:t>
            </w:r>
          </w:p>
        </w:tc>
        <w:tc>
          <w:tcPr>
            <w:tcW w:w="1547" w:type="dxa"/>
            <w:vAlign w:val="center"/>
          </w:tcPr>
          <w:p>
            <w:pPr>
              <w:rPr>
                <w:rFonts w:hint="eastAsia" w:ascii="宋体" w:hAnsi="宋体" w:eastAsia="宋体" w:cs="宋体"/>
                <w:b/>
                <w:bCs/>
                <w:sz w:val="24"/>
                <w:szCs w:val="24"/>
              </w:rPr>
            </w:pPr>
            <w:r>
              <w:rPr>
                <w:rFonts w:hint="eastAsia" w:ascii="宋体" w:hAnsi="宋体" w:eastAsia="宋体" w:cs="宋体"/>
                <w:b/>
                <w:bCs/>
                <w:sz w:val="24"/>
                <w:szCs w:val="24"/>
              </w:rPr>
              <w:t>实施方案可行性</w:t>
            </w:r>
          </w:p>
        </w:tc>
        <w:tc>
          <w:tcPr>
            <w:tcW w:w="5689" w:type="dxa"/>
          </w:tcPr>
          <w:p>
            <w:pPr>
              <w:rPr>
                <w:rFonts w:hint="eastAsia" w:ascii="宋体" w:hAnsi="宋体" w:eastAsia="宋体" w:cs="宋体"/>
                <w:b/>
                <w:bCs/>
                <w:sz w:val="24"/>
                <w:szCs w:val="24"/>
              </w:rPr>
            </w:pPr>
            <w:r>
              <w:rPr>
                <w:rFonts w:hint="eastAsia" w:ascii="宋体" w:hAnsi="宋体" w:eastAsia="宋体" w:cs="宋体"/>
                <w:b/>
                <w:bCs/>
                <w:sz w:val="24"/>
                <w:szCs w:val="24"/>
              </w:rPr>
              <w:t>考察实施方案的全面性及针对性，从现状调研、线路勘查、系统对接、方案设计、技术培训等方面进行评价。根据实施方案中各分项包含的具体实施内容、实施方式方法、使用的工具等方面，由评标专家根据评分标准进行打分。</w:t>
            </w:r>
          </w:p>
          <w:p>
            <w:pPr>
              <w:rPr>
                <w:rFonts w:hint="eastAsia" w:ascii="宋体" w:hAnsi="宋体" w:eastAsia="宋体" w:cs="宋体"/>
                <w:b/>
                <w:bCs/>
                <w:sz w:val="24"/>
                <w:szCs w:val="24"/>
              </w:rPr>
            </w:pPr>
            <w:r>
              <w:rPr>
                <w:rFonts w:hint="eastAsia" w:ascii="宋体" w:hAnsi="宋体" w:eastAsia="宋体" w:cs="宋体"/>
                <w:b/>
                <w:bCs/>
                <w:sz w:val="24"/>
                <w:szCs w:val="24"/>
              </w:rPr>
              <w:t>项目实施方案有问题或不符合招标人的技术要求，技术路线不清晰，内容不明确。 0分-5分</w:t>
            </w:r>
          </w:p>
          <w:p>
            <w:pPr>
              <w:rPr>
                <w:rFonts w:hint="eastAsia" w:ascii="宋体" w:hAnsi="宋体" w:eastAsia="宋体" w:cs="宋体"/>
                <w:b/>
                <w:bCs/>
                <w:sz w:val="24"/>
                <w:szCs w:val="24"/>
              </w:rPr>
            </w:pPr>
            <w:r>
              <w:rPr>
                <w:rFonts w:hint="eastAsia" w:ascii="宋体" w:hAnsi="宋体" w:eastAsia="宋体" w:cs="宋体"/>
                <w:b/>
                <w:bCs/>
                <w:sz w:val="24"/>
                <w:szCs w:val="24"/>
              </w:rPr>
              <w:t>实施方案基本合理，技术路线较为清晰；25分-40分</w:t>
            </w:r>
          </w:p>
          <w:p>
            <w:pPr>
              <w:rPr>
                <w:rFonts w:hint="eastAsia" w:ascii="宋体" w:hAnsi="宋体" w:eastAsia="宋体" w:cs="宋体"/>
                <w:b/>
                <w:bCs/>
                <w:sz w:val="24"/>
                <w:szCs w:val="24"/>
              </w:rPr>
            </w:pPr>
            <w:r>
              <w:rPr>
                <w:rFonts w:hint="eastAsia" w:ascii="宋体" w:hAnsi="宋体" w:eastAsia="宋体" w:cs="宋体"/>
                <w:b/>
                <w:bCs/>
                <w:sz w:val="24"/>
                <w:szCs w:val="24"/>
              </w:rPr>
              <w:t>实施方案合理可行，技术路线清晰，内容明确，设备核心部件和技术水平先进。 41分-50分</w:t>
            </w:r>
          </w:p>
        </w:tc>
        <w:tc>
          <w:tcPr>
            <w:tcW w:w="1305" w:type="dxa"/>
            <w:vAlign w:val="center"/>
          </w:tcPr>
          <w:p>
            <w:pPr>
              <w:rPr>
                <w:rFonts w:hint="eastAsia" w:ascii="宋体" w:hAnsi="宋体" w:eastAsia="宋体" w:cs="宋体"/>
                <w:b/>
                <w:bCs/>
                <w:sz w:val="24"/>
                <w:szCs w:val="24"/>
              </w:rPr>
            </w:pPr>
            <w:r>
              <w:rPr>
                <w:rFonts w:hint="eastAsia" w:ascii="宋体" w:hAnsi="宋体" w:eastAsia="宋体" w:cs="宋体"/>
                <w:b/>
                <w:bCs/>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3" w:hRule="atLeast"/>
          <w:jc w:val="center"/>
        </w:trPr>
        <w:tc>
          <w:tcPr>
            <w:tcW w:w="1271" w:type="dxa"/>
            <w:vMerge w:val="continue"/>
            <w:tcBorders>
              <w:left w:val="single" w:color="auto" w:sz="4" w:space="0"/>
              <w:right w:val="single" w:color="auto" w:sz="4" w:space="0"/>
            </w:tcBorders>
            <w:vAlign w:val="center"/>
          </w:tcPr>
          <w:p>
            <w:pPr>
              <w:rPr>
                <w:rFonts w:hint="eastAsia" w:ascii="宋体" w:hAnsi="宋体" w:eastAsia="宋体" w:cs="宋体"/>
                <w:b/>
                <w:bCs/>
                <w:sz w:val="24"/>
                <w:szCs w:val="24"/>
              </w:rPr>
            </w:pPr>
          </w:p>
        </w:tc>
        <w:tc>
          <w:tcPr>
            <w:tcW w:w="1547" w:type="dxa"/>
            <w:vAlign w:val="center"/>
          </w:tcPr>
          <w:p>
            <w:pPr>
              <w:rPr>
                <w:rFonts w:hint="eastAsia" w:ascii="宋体" w:hAnsi="宋体" w:eastAsia="宋体" w:cs="宋体"/>
                <w:b/>
                <w:bCs/>
                <w:sz w:val="24"/>
                <w:szCs w:val="24"/>
              </w:rPr>
            </w:pPr>
            <w:r>
              <w:rPr>
                <w:rFonts w:hint="eastAsia" w:ascii="宋体" w:hAnsi="宋体" w:eastAsia="宋体" w:cs="宋体"/>
                <w:b/>
                <w:bCs/>
                <w:sz w:val="24"/>
                <w:szCs w:val="24"/>
              </w:rPr>
              <w:t>技术要求符合标书要求</w:t>
            </w:r>
          </w:p>
        </w:tc>
        <w:tc>
          <w:tcPr>
            <w:tcW w:w="5689" w:type="dxa"/>
            <w:tcBorders>
              <w:bottom w:val="single" w:color="auto" w:sz="4" w:space="0"/>
            </w:tcBorders>
            <w:vAlign w:val="center"/>
          </w:tcPr>
          <w:p>
            <w:pPr>
              <w:rPr>
                <w:rFonts w:hint="eastAsia" w:ascii="宋体" w:hAnsi="宋体" w:eastAsia="宋体" w:cs="宋体"/>
                <w:b/>
                <w:bCs/>
                <w:sz w:val="24"/>
                <w:szCs w:val="24"/>
              </w:rPr>
            </w:pPr>
            <w:r>
              <w:rPr>
                <w:rFonts w:hint="eastAsia" w:ascii="宋体" w:hAnsi="宋体" w:eastAsia="宋体" w:cs="宋体"/>
                <w:b/>
                <w:bCs/>
                <w:sz w:val="24"/>
                <w:szCs w:val="24"/>
              </w:rPr>
              <w:t>技术要求不符合标书要求，0-5分</w:t>
            </w:r>
          </w:p>
          <w:p>
            <w:pPr>
              <w:rPr>
                <w:rFonts w:hint="eastAsia" w:ascii="宋体" w:hAnsi="宋体" w:eastAsia="宋体" w:cs="宋体"/>
                <w:b/>
                <w:bCs/>
                <w:sz w:val="24"/>
                <w:szCs w:val="24"/>
              </w:rPr>
            </w:pPr>
            <w:r>
              <w:rPr>
                <w:rFonts w:hint="eastAsia" w:ascii="宋体" w:hAnsi="宋体" w:eastAsia="宋体" w:cs="宋体"/>
                <w:b/>
                <w:bCs/>
                <w:sz w:val="24"/>
                <w:szCs w:val="24"/>
              </w:rPr>
              <w:t>技术要求偏离标书要求，但能满足使用要求，12-14分</w:t>
            </w:r>
          </w:p>
          <w:p>
            <w:pPr>
              <w:rPr>
                <w:rFonts w:hint="eastAsia" w:ascii="宋体" w:hAnsi="宋体" w:eastAsia="宋体" w:cs="宋体"/>
                <w:b/>
                <w:bCs/>
                <w:sz w:val="24"/>
                <w:szCs w:val="24"/>
              </w:rPr>
            </w:pPr>
            <w:r>
              <w:rPr>
                <w:rFonts w:hint="eastAsia" w:ascii="宋体" w:hAnsi="宋体" w:eastAsia="宋体" w:cs="宋体"/>
                <w:b/>
                <w:bCs/>
                <w:sz w:val="24"/>
                <w:szCs w:val="24"/>
              </w:rPr>
              <w:t>技术要求符合或优于标书要求，15-20分</w:t>
            </w:r>
          </w:p>
        </w:tc>
        <w:tc>
          <w:tcPr>
            <w:tcW w:w="1305" w:type="dxa"/>
            <w:tcBorders>
              <w:bottom w:val="single" w:color="auto" w:sz="4" w:space="0"/>
            </w:tcBorders>
            <w:vAlign w:val="center"/>
          </w:tcPr>
          <w:p>
            <w:pPr>
              <w:rPr>
                <w:rFonts w:hint="eastAsia" w:ascii="宋体" w:hAnsi="宋体" w:eastAsia="宋体" w:cs="宋体"/>
                <w:b/>
                <w:bCs/>
                <w:sz w:val="24"/>
                <w:szCs w:val="24"/>
              </w:rPr>
            </w:pPr>
            <w:r>
              <w:rPr>
                <w:rFonts w:hint="eastAsia" w:ascii="宋体" w:hAnsi="宋体" w:eastAsia="宋体" w:cs="宋体"/>
                <w:b/>
                <w:bCs/>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1271" w:type="dxa"/>
            <w:vMerge w:val="continue"/>
            <w:tcBorders>
              <w:left w:val="single" w:color="auto" w:sz="4" w:space="0"/>
              <w:right w:val="single" w:color="auto" w:sz="4" w:space="0"/>
            </w:tcBorders>
            <w:vAlign w:val="center"/>
          </w:tcPr>
          <w:p>
            <w:pPr>
              <w:rPr>
                <w:rFonts w:hint="eastAsia" w:ascii="宋体" w:hAnsi="宋体" w:eastAsia="宋体" w:cs="宋体"/>
                <w:b/>
                <w:bCs/>
                <w:sz w:val="24"/>
                <w:szCs w:val="24"/>
              </w:rPr>
            </w:pPr>
          </w:p>
        </w:tc>
        <w:tc>
          <w:tcPr>
            <w:tcW w:w="1547" w:type="dxa"/>
            <w:vAlign w:val="center"/>
          </w:tcPr>
          <w:p>
            <w:pPr>
              <w:rPr>
                <w:rFonts w:hint="eastAsia" w:ascii="宋体" w:hAnsi="宋体" w:eastAsia="宋体" w:cs="宋体"/>
                <w:b/>
                <w:bCs/>
                <w:sz w:val="24"/>
                <w:szCs w:val="24"/>
              </w:rPr>
            </w:pPr>
            <w:r>
              <w:rPr>
                <w:rFonts w:hint="eastAsia" w:ascii="宋体" w:hAnsi="宋体" w:eastAsia="宋体" w:cs="宋体"/>
                <w:b/>
                <w:bCs/>
                <w:sz w:val="24"/>
                <w:szCs w:val="24"/>
              </w:rPr>
              <w:t>投标人实力</w:t>
            </w:r>
          </w:p>
        </w:tc>
        <w:tc>
          <w:tcPr>
            <w:tcW w:w="5689" w:type="dxa"/>
            <w:vAlign w:val="center"/>
          </w:tcPr>
          <w:p>
            <w:pPr>
              <w:rPr>
                <w:rFonts w:hint="eastAsia" w:ascii="宋体" w:hAnsi="宋体" w:eastAsia="宋体" w:cs="宋体"/>
                <w:b/>
                <w:bCs/>
                <w:sz w:val="24"/>
                <w:szCs w:val="24"/>
              </w:rPr>
            </w:pPr>
            <w:r>
              <w:rPr>
                <w:rFonts w:hint="eastAsia" w:ascii="宋体" w:hAnsi="宋体" w:eastAsia="宋体" w:cs="宋体"/>
                <w:b/>
                <w:bCs/>
                <w:sz w:val="24"/>
                <w:szCs w:val="24"/>
              </w:rPr>
              <w:t>需提供有效的认证证书复印件并加盖厂商公章，原件备查：</w:t>
            </w:r>
          </w:p>
          <w:p>
            <w:pPr>
              <w:rPr>
                <w:rFonts w:hint="eastAsia" w:ascii="宋体" w:hAnsi="宋体" w:eastAsia="宋体" w:cs="宋体"/>
                <w:b/>
                <w:bCs/>
                <w:sz w:val="24"/>
                <w:szCs w:val="24"/>
              </w:rPr>
            </w:pPr>
            <w:r>
              <w:rPr>
                <w:rFonts w:hint="eastAsia" w:ascii="宋体" w:hAnsi="宋体" w:eastAsia="宋体" w:cs="宋体"/>
                <w:b/>
                <w:bCs/>
                <w:sz w:val="24"/>
                <w:szCs w:val="24"/>
              </w:rPr>
              <w:t>1、ISO9001-质量管理体系认证证书</w:t>
            </w:r>
          </w:p>
          <w:p>
            <w:pPr>
              <w:rPr>
                <w:rFonts w:hint="eastAsia" w:ascii="宋体" w:hAnsi="宋体" w:eastAsia="宋体" w:cs="宋体"/>
                <w:b/>
                <w:bCs/>
                <w:sz w:val="24"/>
                <w:szCs w:val="24"/>
              </w:rPr>
            </w:pPr>
            <w:r>
              <w:rPr>
                <w:rFonts w:hint="eastAsia" w:ascii="宋体" w:hAnsi="宋体" w:eastAsia="宋体" w:cs="宋体"/>
                <w:b/>
                <w:bCs/>
                <w:sz w:val="24"/>
                <w:szCs w:val="24"/>
              </w:rPr>
              <w:t>2、企业信用等级证书-AAA</w:t>
            </w:r>
          </w:p>
          <w:p>
            <w:pPr>
              <w:rPr>
                <w:rFonts w:hint="eastAsia" w:ascii="宋体" w:hAnsi="宋体" w:eastAsia="宋体" w:cs="宋体"/>
                <w:b/>
                <w:bCs/>
                <w:sz w:val="24"/>
                <w:szCs w:val="24"/>
              </w:rPr>
            </w:pPr>
            <w:r>
              <w:rPr>
                <w:rFonts w:hint="eastAsia" w:ascii="宋体" w:hAnsi="宋体" w:eastAsia="宋体" w:cs="宋体"/>
                <w:b/>
                <w:bCs/>
                <w:sz w:val="24"/>
                <w:szCs w:val="24"/>
              </w:rPr>
              <w:t>3、企业的生产规模</w:t>
            </w:r>
          </w:p>
          <w:p>
            <w:pPr>
              <w:rPr>
                <w:rFonts w:hint="eastAsia" w:ascii="宋体" w:hAnsi="宋体" w:eastAsia="宋体" w:cs="宋体"/>
                <w:b/>
                <w:bCs/>
                <w:sz w:val="24"/>
                <w:szCs w:val="24"/>
              </w:rPr>
            </w:pPr>
            <w:r>
              <w:rPr>
                <w:rFonts w:hint="eastAsia" w:ascii="宋体" w:hAnsi="宋体" w:eastAsia="宋体" w:cs="宋体"/>
                <w:b/>
                <w:bCs/>
                <w:sz w:val="24"/>
                <w:szCs w:val="24"/>
              </w:rPr>
              <w:t>4、投标人的装备制造能力、生产设备和加工工艺先进、完善程度</w:t>
            </w:r>
          </w:p>
          <w:p>
            <w:pPr>
              <w:rPr>
                <w:rFonts w:hint="eastAsia" w:ascii="宋体" w:hAnsi="宋体" w:eastAsia="宋体" w:cs="宋体"/>
                <w:b/>
                <w:bCs/>
                <w:sz w:val="24"/>
                <w:szCs w:val="24"/>
              </w:rPr>
            </w:pPr>
          </w:p>
          <w:p>
            <w:pPr>
              <w:rPr>
                <w:rFonts w:hint="eastAsia" w:ascii="宋体" w:hAnsi="宋体" w:eastAsia="宋体" w:cs="宋体"/>
                <w:b/>
                <w:bCs/>
                <w:sz w:val="24"/>
                <w:szCs w:val="24"/>
              </w:rPr>
            </w:pPr>
            <w:r>
              <w:rPr>
                <w:rFonts w:hint="eastAsia" w:ascii="宋体" w:hAnsi="宋体" w:eastAsia="宋体" w:cs="宋体"/>
                <w:b/>
                <w:bCs/>
                <w:sz w:val="24"/>
                <w:szCs w:val="24"/>
              </w:rPr>
              <w:t>证书每提供一项得1分，最高得10分</w:t>
            </w:r>
          </w:p>
        </w:tc>
        <w:tc>
          <w:tcPr>
            <w:tcW w:w="1305" w:type="dxa"/>
            <w:vAlign w:val="center"/>
          </w:tcPr>
          <w:p>
            <w:pPr>
              <w:rPr>
                <w:rFonts w:hint="eastAsia" w:ascii="宋体" w:hAnsi="宋体" w:eastAsia="宋体" w:cs="宋体"/>
                <w:b/>
                <w:bCs/>
                <w:sz w:val="24"/>
                <w:szCs w:val="24"/>
              </w:rPr>
            </w:pPr>
            <w:r>
              <w:rPr>
                <w:rFonts w:hint="eastAsia" w:ascii="宋体" w:hAnsi="宋体" w:eastAsia="宋体" w:cs="宋体"/>
                <w:b/>
                <w:bCs/>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jc w:val="center"/>
        </w:trPr>
        <w:tc>
          <w:tcPr>
            <w:tcW w:w="1271" w:type="dxa"/>
            <w:vMerge w:val="continue"/>
            <w:tcBorders>
              <w:left w:val="single" w:color="auto" w:sz="4" w:space="0"/>
              <w:right w:val="single" w:color="auto" w:sz="4" w:space="0"/>
            </w:tcBorders>
            <w:vAlign w:val="center"/>
          </w:tcPr>
          <w:p>
            <w:pPr>
              <w:rPr>
                <w:rFonts w:hint="eastAsia" w:ascii="宋体" w:hAnsi="宋体" w:eastAsia="宋体" w:cs="宋体"/>
                <w:b/>
                <w:bCs/>
                <w:sz w:val="24"/>
                <w:szCs w:val="24"/>
              </w:rPr>
            </w:pPr>
          </w:p>
        </w:tc>
        <w:tc>
          <w:tcPr>
            <w:tcW w:w="1547" w:type="dxa"/>
            <w:vAlign w:val="center"/>
          </w:tcPr>
          <w:p>
            <w:pPr>
              <w:rPr>
                <w:rFonts w:hint="eastAsia" w:ascii="宋体" w:hAnsi="宋体" w:eastAsia="宋体" w:cs="宋体"/>
                <w:b/>
                <w:bCs/>
                <w:sz w:val="24"/>
                <w:szCs w:val="24"/>
              </w:rPr>
            </w:pPr>
            <w:r>
              <w:rPr>
                <w:rFonts w:hint="eastAsia" w:ascii="宋体" w:hAnsi="宋体" w:eastAsia="宋体" w:cs="宋体"/>
                <w:b/>
                <w:bCs/>
                <w:sz w:val="24"/>
                <w:szCs w:val="24"/>
              </w:rPr>
              <w:t>同类项目业绩</w:t>
            </w:r>
          </w:p>
          <w:p>
            <w:pPr>
              <w:rPr>
                <w:rFonts w:hint="eastAsia" w:ascii="宋体" w:hAnsi="宋体" w:eastAsia="宋体" w:cs="宋体"/>
                <w:b/>
                <w:bCs/>
                <w:sz w:val="24"/>
                <w:szCs w:val="24"/>
              </w:rPr>
            </w:pPr>
          </w:p>
        </w:tc>
        <w:tc>
          <w:tcPr>
            <w:tcW w:w="5689" w:type="dxa"/>
            <w:vAlign w:val="center"/>
          </w:tcPr>
          <w:p>
            <w:pPr>
              <w:rPr>
                <w:rFonts w:hint="eastAsia" w:ascii="宋体" w:hAnsi="宋体" w:eastAsia="宋体" w:cs="宋体"/>
                <w:b/>
                <w:bCs/>
                <w:sz w:val="24"/>
                <w:szCs w:val="24"/>
              </w:rPr>
            </w:pPr>
            <w:r>
              <w:rPr>
                <w:rFonts w:hint="eastAsia" w:ascii="宋体" w:hAnsi="宋体" w:eastAsia="宋体" w:cs="宋体"/>
                <w:b/>
                <w:bCs/>
                <w:sz w:val="24"/>
                <w:szCs w:val="24"/>
              </w:rPr>
              <w:t>1、投标人近三年以来(以合同签订时间为准）承接的大型制造业同类项目案例合同原件扫描件，其中必须包括合同首页、合同金额所在页、签字盖章页及合同标的页，每提供一项得5分，最高得15分。</w:t>
            </w:r>
          </w:p>
        </w:tc>
        <w:tc>
          <w:tcPr>
            <w:tcW w:w="1305" w:type="dxa"/>
            <w:vAlign w:val="center"/>
          </w:tcPr>
          <w:p>
            <w:pPr>
              <w:rPr>
                <w:rFonts w:hint="eastAsia" w:ascii="宋体" w:hAnsi="宋体" w:eastAsia="宋体" w:cs="宋体"/>
                <w:b/>
                <w:bCs/>
                <w:sz w:val="24"/>
                <w:szCs w:val="24"/>
              </w:rPr>
            </w:pPr>
            <w:r>
              <w:rPr>
                <w:rFonts w:hint="eastAsia" w:ascii="宋体" w:hAnsi="宋体" w:eastAsia="宋体" w:cs="宋体"/>
                <w:b/>
                <w:bCs/>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1271" w:type="dxa"/>
            <w:vMerge w:val="continue"/>
            <w:tcBorders>
              <w:left w:val="single" w:color="auto" w:sz="4" w:space="0"/>
              <w:right w:val="single" w:color="auto" w:sz="4" w:space="0"/>
            </w:tcBorders>
            <w:vAlign w:val="center"/>
          </w:tcPr>
          <w:p>
            <w:pPr>
              <w:rPr>
                <w:rFonts w:hint="eastAsia" w:ascii="宋体" w:hAnsi="宋体" w:eastAsia="宋体" w:cs="宋体"/>
                <w:b/>
                <w:bCs/>
                <w:sz w:val="24"/>
                <w:szCs w:val="24"/>
              </w:rPr>
            </w:pPr>
          </w:p>
        </w:tc>
        <w:tc>
          <w:tcPr>
            <w:tcW w:w="1547" w:type="dxa"/>
            <w:vAlign w:val="center"/>
          </w:tcPr>
          <w:p>
            <w:pPr>
              <w:rPr>
                <w:rFonts w:hint="eastAsia" w:ascii="宋体" w:hAnsi="宋体" w:eastAsia="宋体" w:cs="宋体"/>
                <w:b/>
                <w:bCs/>
                <w:sz w:val="24"/>
                <w:szCs w:val="24"/>
              </w:rPr>
            </w:pPr>
            <w:r>
              <w:rPr>
                <w:rFonts w:hint="eastAsia" w:ascii="宋体" w:hAnsi="宋体" w:eastAsia="宋体" w:cs="宋体"/>
                <w:b/>
                <w:bCs/>
                <w:sz w:val="24"/>
                <w:szCs w:val="24"/>
              </w:rPr>
              <w:t>交货期</w:t>
            </w:r>
          </w:p>
        </w:tc>
        <w:tc>
          <w:tcPr>
            <w:tcW w:w="5689" w:type="dxa"/>
            <w:vAlign w:val="center"/>
          </w:tcPr>
          <w:p>
            <w:pPr>
              <w:rPr>
                <w:rFonts w:hint="eastAsia" w:ascii="宋体" w:hAnsi="宋体" w:eastAsia="宋体" w:cs="宋体"/>
                <w:b/>
                <w:bCs/>
                <w:sz w:val="24"/>
                <w:szCs w:val="24"/>
              </w:rPr>
            </w:pPr>
            <w:r>
              <w:rPr>
                <w:rFonts w:hint="eastAsia" w:ascii="宋体" w:hAnsi="宋体" w:eastAsia="宋体" w:cs="宋体"/>
                <w:b/>
                <w:bCs/>
                <w:sz w:val="24"/>
                <w:szCs w:val="24"/>
              </w:rPr>
              <w:t>是否能满足标书和招标人要求的交货期，0-5分</w:t>
            </w:r>
          </w:p>
        </w:tc>
        <w:tc>
          <w:tcPr>
            <w:tcW w:w="1305" w:type="dxa"/>
            <w:vAlign w:val="center"/>
          </w:tcPr>
          <w:p>
            <w:pPr>
              <w:rPr>
                <w:rFonts w:hint="eastAsia" w:ascii="宋体" w:hAnsi="宋体" w:eastAsia="宋体" w:cs="宋体"/>
                <w:b/>
                <w:bCs/>
                <w:sz w:val="24"/>
                <w:szCs w:val="24"/>
              </w:rPr>
            </w:pPr>
            <w:r>
              <w:rPr>
                <w:rFonts w:hint="eastAsia" w:ascii="宋体" w:hAnsi="宋体" w:eastAsia="宋体" w:cs="宋体"/>
                <w:b/>
                <w:bCs/>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271" w:type="dxa"/>
            <w:tcBorders>
              <w:left w:val="single" w:color="auto" w:sz="4" w:space="0"/>
              <w:right w:val="single" w:color="auto" w:sz="4" w:space="0"/>
            </w:tcBorders>
            <w:vAlign w:val="center"/>
          </w:tcPr>
          <w:p>
            <w:pPr>
              <w:rPr>
                <w:rFonts w:hint="eastAsia" w:ascii="宋体" w:hAnsi="宋体" w:eastAsia="宋体" w:cs="宋体"/>
                <w:b/>
                <w:bCs/>
                <w:sz w:val="24"/>
                <w:szCs w:val="24"/>
              </w:rPr>
            </w:pPr>
            <w:r>
              <w:rPr>
                <w:rFonts w:hint="eastAsia" w:ascii="宋体" w:hAnsi="宋体" w:eastAsia="宋体" w:cs="宋体"/>
                <w:b/>
                <w:bCs/>
                <w:sz w:val="24"/>
                <w:szCs w:val="24"/>
              </w:rPr>
              <w:t>合计</w:t>
            </w:r>
          </w:p>
        </w:tc>
        <w:tc>
          <w:tcPr>
            <w:tcW w:w="1547" w:type="dxa"/>
            <w:vAlign w:val="center"/>
          </w:tcPr>
          <w:p>
            <w:pPr>
              <w:rPr>
                <w:rFonts w:hint="eastAsia" w:ascii="宋体" w:hAnsi="宋体" w:eastAsia="宋体" w:cs="宋体"/>
                <w:b/>
                <w:bCs/>
                <w:sz w:val="24"/>
                <w:szCs w:val="24"/>
              </w:rPr>
            </w:pPr>
          </w:p>
        </w:tc>
        <w:tc>
          <w:tcPr>
            <w:tcW w:w="5689" w:type="dxa"/>
            <w:vAlign w:val="center"/>
          </w:tcPr>
          <w:p>
            <w:pPr>
              <w:rPr>
                <w:rFonts w:hint="eastAsia" w:ascii="宋体" w:hAnsi="宋体" w:eastAsia="宋体" w:cs="宋体"/>
                <w:b/>
                <w:bCs/>
                <w:sz w:val="24"/>
                <w:szCs w:val="24"/>
              </w:rPr>
            </w:pPr>
          </w:p>
        </w:tc>
        <w:tc>
          <w:tcPr>
            <w:tcW w:w="1305" w:type="dxa"/>
            <w:vAlign w:val="center"/>
          </w:tcPr>
          <w:p>
            <w:pPr>
              <w:rPr>
                <w:rFonts w:hint="eastAsia" w:ascii="宋体" w:hAnsi="宋体" w:eastAsia="宋体" w:cs="宋体"/>
                <w:b/>
                <w:bCs/>
                <w:sz w:val="24"/>
                <w:szCs w:val="24"/>
              </w:rPr>
            </w:pPr>
            <w:r>
              <w:rPr>
                <w:rFonts w:hint="eastAsia" w:ascii="宋体" w:hAnsi="宋体" w:eastAsia="宋体" w:cs="宋体"/>
                <w:b/>
                <w:bCs/>
                <w:sz w:val="24"/>
                <w:szCs w:val="24"/>
              </w:rPr>
              <w:t>100</w:t>
            </w:r>
          </w:p>
        </w:tc>
      </w:tr>
    </w:tbl>
    <w:p>
      <w:pPr>
        <w:rPr>
          <w:rFonts w:hint="eastAsia" w:ascii="宋体" w:hAnsi="宋体" w:eastAsia="宋体" w:cs="宋体"/>
          <w:b/>
          <w:bCs/>
          <w:sz w:val="24"/>
          <w:szCs w:val="24"/>
        </w:rPr>
      </w:pPr>
    </w:p>
    <w:p>
      <w:pPr>
        <w:pStyle w:val="16"/>
        <w:framePr w:wrap="around"/>
        <w:rPr>
          <w:rFonts w:hint="eastAsia"/>
          <w:color w:val="auto"/>
        </w:rPr>
      </w:pPr>
    </w:p>
    <w:p>
      <w:pPr>
        <w:pStyle w:val="16"/>
        <w:framePr w:wrap="around"/>
        <w:rPr>
          <w:rFonts w:hint="eastAsia"/>
          <w:color w:val="auto"/>
        </w:rPr>
      </w:pPr>
    </w:p>
    <w:p>
      <w:pPr>
        <w:pStyle w:val="16"/>
        <w:framePr w:wrap="around"/>
        <w:rPr>
          <w:rFonts w:hint="eastAsia"/>
          <w:color w:val="auto"/>
        </w:rPr>
      </w:pPr>
    </w:p>
    <w:p>
      <w:pPr>
        <w:pStyle w:val="16"/>
        <w:framePr w:wrap="around"/>
        <w:rPr>
          <w:rFonts w:hint="eastAsia"/>
          <w:color w:val="auto"/>
        </w:rPr>
      </w:pPr>
    </w:p>
    <w:p>
      <w:pPr>
        <w:pStyle w:val="16"/>
        <w:framePr w:wrap="around"/>
        <w:rPr>
          <w:rFonts w:hint="eastAsia"/>
          <w:color w:val="auto"/>
        </w:rPr>
      </w:pPr>
    </w:p>
    <w:p>
      <w:pPr>
        <w:pStyle w:val="16"/>
        <w:framePr w:wrap="around"/>
        <w:rPr>
          <w:rFonts w:hint="eastAsia"/>
          <w:color w:val="auto"/>
        </w:rPr>
      </w:pPr>
    </w:p>
    <w:p>
      <w:pPr>
        <w:pStyle w:val="16"/>
        <w:framePr w:wrap="around"/>
        <w:rPr>
          <w:rFonts w:hint="eastAsia"/>
          <w:color w:val="auto"/>
        </w:rPr>
      </w:pPr>
      <w:r>
        <w:rPr>
          <w:rFonts w:hint="eastAsia"/>
          <w:color w:val="auto"/>
        </w:rPr>
        <w:t>附件15 SRM非生产供应商注册操作手册</w:t>
      </w:r>
    </w:p>
    <w:p>
      <w:pPr>
        <w:pStyle w:val="16"/>
        <w:framePr w:wrap="around"/>
        <w:rPr>
          <w:rFonts w:hint="eastAsia"/>
          <w:color w:val="auto"/>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8"/>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2.</w:t>
      </w:r>
      <w:r>
        <w:rPr>
          <w:rFonts w:ascii="宋体" w:hAnsi="宋体" w:eastAsia="宋体" w:cs="宋体"/>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9"/>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3.</w:t>
      </w:r>
      <w:r>
        <w:rPr>
          <w:rFonts w:ascii="宋体" w:hAnsi="宋体" w:eastAsia="宋体" w:cs="宋体"/>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0"/>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4.</w:t>
      </w:r>
      <w:r>
        <w:rPr>
          <w:rFonts w:ascii="宋体" w:hAnsi="宋体" w:eastAsia="宋体" w:cs="宋体"/>
          <w:sz w:val="24"/>
          <w:szCs w:val="28"/>
        </w:rPr>
        <w:t>点击新增</w:t>
      </w:r>
    </w:p>
    <w:p>
      <w:pPr>
        <w:snapToGrid w:val="0"/>
        <w:spacing w:line="312" w:lineRule="auto"/>
        <w:rPr>
          <w:rFonts w:hint="eastAsia"/>
        </w:rPr>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1"/>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ascii="宋体" w:hAnsi="宋体" w:eastAsia="宋体" w:cs="宋体"/>
          <w:sz w:val="24"/>
          <w:szCs w:val="28"/>
        </w:rPr>
        <w:t>按要求填写所有信息，注意非生产类要填写合作单位，最后提交审批</w:t>
      </w:r>
    </w:p>
    <w:p>
      <w:pPr>
        <w:pStyle w:val="16"/>
        <w:framePr w:wrap="around"/>
        <w:rPr>
          <w:rFonts w:hint="eastAsia"/>
          <w:color w:val="auto"/>
        </w:rPr>
      </w:pPr>
    </w:p>
    <w:p>
      <w:pPr>
        <w:rPr>
          <w:rFonts w:hint="eastAsia"/>
        </w:rPr>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2"/>
                    <a:stretch>
                      <a:fillRect/>
                    </a:stretch>
                  </pic:blipFill>
                  <pic:spPr>
                    <a:xfrm>
                      <a:off x="0" y="0"/>
                      <a:ext cx="5760085" cy="2810122"/>
                    </a:xfrm>
                    <a:prstGeom prst="rect">
                      <a:avLst/>
                    </a:prstGeom>
                  </pic:spPr>
                </pic:pic>
              </a:graphicData>
            </a:graphic>
          </wp:inline>
        </w:drawing>
      </w:r>
    </w:p>
    <w:p>
      <w:pPr>
        <w:pStyle w:val="16"/>
        <w:framePr w:wrap="around"/>
        <w:rPr>
          <w:rFonts w:hint="eastAsia"/>
          <w:color w:val="auto"/>
        </w:rPr>
      </w:pPr>
      <w:r>
        <w:rPr>
          <w:color w:val="auto"/>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3"/>
                    <a:stretch>
                      <a:fillRect/>
                    </a:stretch>
                  </pic:blipFill>
                  <pic:spPr>
                    <a:xfrm>
                      <a:off x="0" y="0"/>
                      <a:ext cx="5760085" cy="2820042"/>
                    </a:xfrm>
                    <a:prstGeom prst="rect">
                      <a:avLst/>
                    </a:prstGeom>
                  </pic:spPr>
                </pic:pic>
              </a:graphicData>
            </a:graphic>
          </wp:inline>
        </w:drawing>
      </w:r>
    </w:p>
    <w:p>
      <w:pPr>
        <w:pStyle w:val="16"/>
        <w:framePr w:wrap="around"/>
        <w:rPr>
          <w:rFonts w:hint="eastAsia"/>
          <w:color w:val="auto"/>
        </w:rPr>
      </w:pPr>
    </w:p>
    <w:p>
      <w:pPr>
        <w:rPr>
          <w:rFonts w:hint="eastAsia" w:ascii="宋体" w:hAnsi="宋体" w:eastAsia="宋体" w:cs="宋体"/>
          <w:b/>
          <w:bCs/>
          <w:sz w:val="24"/>
          <w:szCs w:val="28"/>
          <w:highlight w:val="yellow"/>
        </w:rPr>
      </w:pPr>
      <w:r>
        <w:rPr>
          <w:rFonts w:hint="eastAsia" w:ascii="宋体" w:hAnsi="宋体" w:eastAsia="宋体" w:cs="宋体"/>
          <w:b/>
          <w:bCs/>
          <w:sz w:val="24"/>
          <w:szCs w:val="28"/>
          <w:highlight w:val="yellow"/>
        </w:rPr>
        <w:t>注：</w:t>
      </w:r>
    </w:p>
    <w:p>
      <w:pPr>
        <w:rPr>
          <w:rFonts w:hint="eastAsia" w:ascii="宋体" w:hAnsi="宋体" w:eastAsia="宋体" w:cs="宋体"/>
          <w:b/>
          <w:bCs/>
          <w:sz w:val="24"/>
          <w:szCs w:val="28"/>
          <w:highlight w:val="yellow"/>
        </w:rPr>
      </w:pPr>
      <w:r>
        <w:rPr>
          <w:rFonts w:hint="eastAsia" w:ascii="宋体" w:hAnsi="宋体" w:eastAsia="宋体" w:cs="宋体"/>
          <w:b/>
          <w:bCs/>
          <w:sz w:val="24"/>
          <w:szCs w:val="28"/>
          <w:highlight w:val="yellow"/>
        </w:rPr>
        <w:t>1.“项目名称”和“采购形式编号”见投标须知前附表1.1；</w:t>
      </w:r>
    </w:p>
    <w:p>
      <w:pPr>
        <w:pStyle w:val="16"/>
        <w:framePr w:wrap="around"/>
        <w:rPr>
          <w:rFonts w:hint="eastAsia"/>
          <w:color w:val="auto"/>
        </w:rPr>
      </w:pPr>
      <w:r>
        <w:rPr>
          <w:rFonts w:hint="eastAsia"/>
          <w:color w:val="auto"/>
          <w:highlight w:val="yellow"/>
        </w:rPr>
        <w:t>2.配套能力“供货类别”填“工艺设备类”，业务主管部门选择“工艺研究院”。</w:t>
      </w:r>
    </w:p>
    <w:p>
      <w:pPr>
        <w:pStyle w:val="16"/>
        <w:framePr w:wrap="around"/>
        <w:rPr>
          <w:rFonts w:hint="eastAsia"/>
          <w:color w:val="auto"/>
        </w:rPr>
        <w:sectPr>
          <w:pgSz w:w="11906" w:h="16838"/>
          <w:pgMar w:top="1588" w:right="1418" w:bottom="1134" w:left="1418" w:header="851" w:footer="992" w:gutter="0"/>
          <w:cols w:space="720" w:num="1"/>
          <w:titlePg/>
          <w:docGrid w:type="lines" w:linePitch="312" w:charSpace="0"/>
        </w:sectPr>
      </w:pPr>
    </w:p>
    <w:p>
      <w:pPr>
        <w:pStyle w:val="16"/>
        <w:framePr w:wrap="around"/>
        <w:rPr>
          <w:rFonts w:hint="eastAsia"/>
          <w:color w:val="auto"/>
        </w:rPr>
      </w:pPr>
      <w:r>
        <w:rPr>
          <w:rFonts w:hint="eastAsia"/>
          <w:color w:val="auto"/>
        </w:rPr>
        <w:t>附件16 SRM系统供应商用户手册</w:t>
      </w:r>
    </w:p>
    <w:p>
      <w:pPr>
        <w:spacing w:line="360" w:lineRule="auto"/>
        <w:rPr>
          <w:rFonts w:hint="eastAsia" w:ascii="宋体" w:hAnsi="宋体" w:eastAsia="宋体" w:cs="宋体"/>
          <w:sz w:val="24"/>
          <w:szCs w:val="24"/>
        </w:rPr>
      </w:pPr>
      <w:r>
        <w:rPr>
          <w:rFonts w:hint="eastAsia" w:ascii="宋体" w:hAnsi="宋体" w:eastAsia="宋体" w:cs="宋体"/>
          <w:sz w:val="24"/>
          <w:szCs w:val="24"/>
        </w:rPr>
        <w:t>系统网址：</w:t>
      </w:r>
      <w:r>
        <w:fldChar w:fldCharType="begin"/>
      </w:r>
      <w:r>
        <w:instrText xml:space="preserve"> HYPERLINK "http://ecaitong.sinotruk.com:8012/" \t "dlt" </w:instrText>
      </w:r>
      <w:r>
        <w:fldChar w:fldCharType="separate"/>
      </w:r>
      <w:r>
        <w:rPr>
          <w:rStyle w:val="43"/>
          <w:rFonts w:hint="eastAsia" w:ascii="宋体" w:hAnsi="宋体" w:eastAsia="宋体" w:cs="宋体"/>
          <w:color w:val="auto"/>
          <w:sz w:val="24"/>
          <w:szCs w:val="24"/>
        </w:rPr>
        <w:t>https://ecaitong.sinotruk.com:8012/</w:t>
      </w:r>
      <w:r>
        <w:rPr>
          <w:rStyle w:val="43"/>
          <w:rFonts w:hint="eastAsia" w:ascii="宋体" w:hAnsi="宋体" w:eastAsia="宋体" w:cs="宋体"/>
          <w:color w:val="auto"/>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sz w:val="24"/>
          <w:szCs w:val="24"/>
        </w:rPr>
        <w:t>用 户 名：gys+供应商代码（注意：注册完毕后，用户名不要用手机号登录）</w:t>
      </w:r>
    </w:p>
    <w:p>
      <w:pPr>
        <w:spacing w:line="360" w:lineRule="auto"/>
        <w:rPr>
          <w:rFonts w:hint="eastAsia" w:ascii="宋体" w:hAnsi="宋体" w:eastAsia="宋体" w:cs="宋体"/>
          <w:sz w:val="24"/>
          <w:szCs w:val="24"/>
        </w:rPr>
      </w:pPr>
      <w:r>
        <w:rPr>
          <w:rFonts w:hint="eastAsia" w:ascii="宋体" w:hAnsi="宋体" w:eastAsia="宋体" w:cs="宋体"/>
          <w:sz w:val="24"/>
          <w:szCs w:val="24"/>
        </w:rPr>
        <w:t>初始密码：</w:t>
      </w:r>
      <w:r>
        <w:rPr>
          <w:rFonts w:hint="eastAsia" w:ascii="宋体" w:hAnsi="宋体" w:eastAsia="宋体" w:cs="宋体"/>
          <w:sz w:val="24"/>
          <w:szCs w:val="24"/>
          <w:highlight w:val="yellow"/>
        </w:rPr>
        <w:t>scm@2022</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1.供应商应标</w:t>
      </w:r>
    </w:p>
    <w:p>
      <w:pPr>
        <w:spacing w:line="360" w:lineRule="auto"/>
        <w:rPr>
          <w:rFonts w:hint="eastAsia"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供应商应标</w:t>
      </w:r>
    </w:p>
    <w:p>
      <w:pPr>
        <w:spacing w:line="360" w:lineRule="auto"/>
        <w:rPr>
          <w:rFonts w:hint="eastAsia" w:ascii="宋体" w:hAnsi="宋体" w:eastAsia="宋体" w:cs="宋体"/>
          <w:sz w:val="24"/>
          <w:szCs w:val="24"/>
        </w:rPr>
      </w:pPr>
      <w:r>
        <w:rPr>
          <w:rFonts w:ascii="宋体" w:hAnsi="宋体" w:eastAsia="宋体" w:cs="宋体"/>
          <w:sz w:val="24"/>
          <w:szCs w:val="24"/>
        </w:rPr>
        <w:t>点击应标，上传文件之后点击提交。</w:t>
      </w:r>
    </w:p>
    <w:p>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4"/>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2.供应商投标</w:t>
      </w:r>
    </w:p>
    <w:p>
      <w:pPr>
        <w:spacing w:line="360" w:lineRule="auto"/>
        <w:rPr>
          <w:rFonts w:hint="eastAsia"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供应商投标</w:t>
      </w:r>
    </w:p>
    <w:p>
      <w:pPr>
        <w:rPr>
          <w:rFonts w:hint="eastAsia" w:ascii="宋体" w:hAnsi="宋体" w:eastAsia="宋体" w:cs="宋体"/>
        </w:rPr>
      </w:pPr>
      <w:r>
        <w:rPr>
          <w:rFonts w:ascii="宋体" w:hAnsi="宋体" w:eastAsia="宋体" w:cs="宋体"/>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5"/>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ascii="宋体" w:hAnsi="宋体" w:eastAsia="宋体" w:cs="宋体"/>
          <w:sz w:val="24"/>
          <w:szCs w:val="28"/>
        </w:rPr>
        <w:t>点击投标按钮，进入详情页，输入投标报价并上传相应的附件。</w:t>
      </w:r>
    </w:p>
    <w:p>
      <w:pPr>
        <w:pStyle w:val="16"/>
        <w:framePr w:wrap="around"/>
        <w:rPr>
          <w:rFonts w:hint="eastAsia"/>
          <w:color w:val="auto"/>
        </w:rPr>
      </w:pPr>
      <w:r>
        <w:rPr>
          <w:rFonts w:hint="eastAsia"/>
          <w:color w:val="auto"/>
          <w:highlight w:val="yellow"/>
        </w:rPr>
        <w:t>注意：系统内的投标报价单位为“万元”，如开标现场发现填错报价，即直接淘汰。</w:t>
      </w:r>
    </w:p>
    <w:p>
      <w:pPr>
        <w:pStyle w:val="6"/>
        <w:ind w:left="425" w:hanging="425"/>
        <w:rPr>
          <w:rFonts w:eastAsia="Arial" w:cs="Arial"/>
        </w:rPr>
      </w:pPr>
      <w:r>
        <w:rPr>
          <w:rFonts w:eastAsia="Arial" w:cs="Arial"/>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6"/>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sz w:val="24"/>
          <w:szCs w:val="24"/>
        </w:rPr>
        <w:t>点击编辑按钮进入系统，上传技术标澄清函。</w:t>
      </w:r>
    </w:p>
    <w:p>
      <w:pPr>
        <w:spacing w:line="360" w:lineRule="auto"/>
        <w:rPr>
          <w:rFonts w:ascii="Arial" w:hAnsi="Arial" w:eastAsia="Arial" w:cs="Arial"/>
          <w:sz w:val="28"/>
        </w:rPr>
      </w:pPr>
      <w:r>
        <w:rPr>
          <w:rFonts w:ascii="宋体" w:hAnsi="宋体" w:eastAsia="宋体" w:cs="宋体"/>
          <w:sz w:val="24"/>
          <w:szCs w:val="24"/>
        </w:rPr>
        <w:t>开标之后所有投标的供应商都可编辑提交，技术标入围之后</w:t>
      </w:r>
      <w:r>
        <w:rPr>
          <w:rFonts w:hint="eastAsia" w:ascii="宋体" w:hAnsi="宋体" w:eastAsia="宋体" w:cs="宋体"/>
          <w:sz w:val="24"/>
          <w:szCs w:val="24"/>
        </w:rPr>
        <w:t xml:space="preserve"> </w:t>
      </w:r>
      <w:r>
        <w:rPr>
          <w:rFonts w:ascii="宋体" w:hAnsi="宋体" w:eastAsia="宋体" w:cs="宋体"/>
          <w:sz w:val="24"/>
          <w:szCs w:val="24"/>
        </w:rPr>
        <w:t>都不可编辑</w:t>
      </w:r>
      <w:r>
        <w:rPr>
          <w:rFonts w:ascii="Arial" w:hAnsi="Arial" w:eastAsia="Arial" w:cs="Arial"/>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7"/>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4.供应商报价</w:t>
      </w:r>
    </w:p>
    <w:p>
      <w:pPr>
        <w:spacing w:line="360" w:lineRule="auto"/>
        <w:rPr>
          <w:rFonts w:hint="eastAsia"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供应商报价</w:t>
      </w:r>
    </w:p>
    <w:p>
      <w:pPr>
        <w:spacing w:line="360" w:lineRule="auto"/>
        <w:rPr>
          <w:rFonts w:hint="eastAsia" w:ascii="宋体" w:hAnsi="宋体" w:eastAsia="宋体" w:cs="宋体"/>
          <w:sz w:val="24"/>
          <w:szCs w:val="24"/>
        </w:rPr>
      </w:pPr>
      <w:r>
        <w:rPr>
          <w:rFonts w:ascii="宋体" w:hAnsi="宋体" w:eastAsia="宋体" w:cs="宋体"/>
          <w:sz w:val="24"/>
          <w:szCs w:val="24"/>
        </w:rPr>
        <w:t>点击报价按钮进入报价详情界面，请在此轮报价起止时间内报价，否则无法报价。</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eastAsia="Arial" w:cs="Arial"/>
        </w:rPr>
      </w:pPr>
      <w:r>
        <w:rPr>
          <w:rFonts w:eastAsia="Arial" w:cs="Arial"/>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8"/>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中标项目</w:t>
      </w:r>
    </w:p>
    <w:p>
      <w:pPr>
        <w:spacing w:line="360" w:lineRule="auto"/>
        <w:rPr>
          <w:rFonts w:hint="eastAsia" w:ascii="宋体" w:hAnsi="宋体" w:eastAsia="宋体" w:cs="宋体"/>
          <w:sz w:val="24"/>
          <w:szCs w:val="24"/>
        </w:rPr>
      </w:pPr>
      <w:r>
        <w:rPr>
          <w:rFonts w:ascii="宋体" w:hAnsi="宋体" w:eastAsia="宋体" w:cs="宋体"/>
          <w:sz w:val="24"/>
          <w:szCs w:val="24"/>
        </w:rPr>
        <w:t>点击查看进入查看中标项目详情</w:t>
      </w:r>
    </w:p>
    <w:p>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9"/>
                    <a:stretch>
                      <a:fillRect/>
                    </a:stretch>
                  </pic:blipFill>
                  <pic:spPr>
                    <a:xfrm>
                      <a:off x="0" y="0"/>
                      <a:ext cx="5760085" cy="1956600"/>
                    </a:xfrm>
                    <a:prstGeom prst="rect">
                      <a:avLst/>
                    </a:prstGeom>
                  </pic:spPr>
                </pic:pic>
              </a:graphicData>
            </a:graphic>
          </wp:inline>
        </w:drawing>
      </w:r>
    </w:p>
    <w:p>
      <w:pPr>
        <w:pStyle w:val="16"/>
        <w:framePr w:wrap="around"/>
        <w:rPr>
          <w:rFonts w:hint="eastAsia"/>
          <w:color w:val="auto"/>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新宋体">
    <w:panose1 w:val="02010609030101010101"/>
    <w:charset w:val="86"/>
    <w:family w:val="modern"/>
    <w:pitch w:val="default"/>
    <w:sig w:usb0="00000203" w:usb1="288F0000" w:usb2="00000006" w:usb3="00000000" w:csb0="00040001" w:csb1="00000000"/>
  </w:font>
  <w:font w:name="Courier New">
    <w:panose1 w:val="02070309020205020404"/>
    <w:charset w:val="00"/>
    <w:family w:val="modern"/>
    <w:pitch w:val="default"/>
    <w:sig w:usb0="E0002E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49</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48</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50</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Fonts w:hint="eastAsia"/>
                            </w:rPr>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1"/>
                      <w:rPr>
                        <w:rFonts w:hint="eastAsia"/>
                      </w:rPr>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Fonts w:hint="eastAsia"/>
                            </w:rPr>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1"/>
                      <w:rPr>
                        <w:rFonts w:hint="eastAsia"/>
                      </w:rPr>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70</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1"/>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p>
  <w:p>
    <w:pPr>
      <w:pStyle w:val="21"/>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kzZ3MyAgAAYg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TNnczICAABiBAAADgAAAAAAAAABACAAAAAfAQAAZHJzL2Uyb0RvYy54bWxQSwUG&#10;AAAAAAYABgBZAQAAwwUAAAAA&#10;">
              <v:fill on="f" focussize="0,0"/>
              <v:stroke on="f" weight="0.5pt"/>
              <v:imagedata o:title=""/>
              <o:lock v:ext="edit" aspectratio="f"/>
              <v:textbox inset="0mm,0mm,0mm,0mm" style="mso-fit-shape-to-text:t;">
                <w:txbxContent>
                  <w:p>
                    <w:pPr>
                      <w:pStyle w:val="21"/>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lMNo4rAgAAVg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TDaOKwIAAFYEAAAOAAAAAAAAAAEAIAAAAB8BAABkcnMvZTJvRG9jLnhtbFBLBQYAAAAABgAG&#10;AFkBAAC8BQAAAAA=&#10;">
              <v:fill on="f" focussize="0,0"/>
              <v:stroke on="f" weight="0.5pt"/>
              <v:imagedata o:title=""/>
              <o:lock v:ext="edit" aspectratio="f"/>
              <v:textbox inset="0mm,0mm,0mm,0mm" style="mso-fit-shape-to-text:t;">
                <w:txbxContent>
                  <w:p>
                    <w:pPr>
                      <w:pStyle w:val="21"/>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1"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5926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Cc62IEzAgAAVgQAAA4AAAAAAAAAAQAgAAAAJQEAAGRycy9lMm9Eb2Mu&#10;eG1sUEsFBgAAAAAGAAYAWQEAAMoFAAAAAA==&#10;">
              <v:fill on="f" focussize="0,0"/>
              <v:stroke on="f" weight="0.5pt"/>
              <v:imagedata o:title=""/>
              <o:lock v:ext="edit" aspectratio="f"/>
              <v:textbox inset="0mm,0mm,0mm,0mm">
                <w:txbxContent>
                  <w:p>
                    <w:pPr>
                      <w:pStyle w:val="21"/>
                    </w:pPr>
                  </w:p>
                </w:txbxContent>
              </v:textbox>
            </v:shape>
          </w:pict>
        </mc:Fallback>
      </mc:AlternateContent>
    </w:r>
  </w:p>
  <w:p>
    <w:pPr>
      <w:pStyle w:val="2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ckzAgAAYg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FDckzAgAAYgQAAA4AAAAAAAAAAQAgAAAAHw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ubZ0zAgAAYg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hubZ0zAgAAYgQAAA4AAAAAAAAAAQAgAAAAHwEAAGRycy9lMm9Eb2MueG1sUEsF&#10;BgAAAAAGAAYAWQEAAMQFAAAAAA==&#10;">
              <v:fill on="f" focussize="0,0"/>
              <v:stroke on="f" weight="0.5pt"/>
              <v:imagedata o:title=""/>
              <o:lock v:ext="edit" aspectratio="f"/>
              <v:textbox inset="0mm,0mm,0mm,0mm" style="mso-fit-shape-to-text:t;">
                <w:txbxContent>
                  <w:p>
                    <w:pPr>
                      <w:pStyle w:val="21"/>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2eEQwsAgAAVgQAAA4AAABkcnMvZTJvRG9jLnhtbK1UzY7TMBC+I/EO&#10;lu80aQur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Z4RDCwCAABWBAAADgAAAAAAAAABACAAAAAfAQAAZHJzL2Uyb0RvYy54bWxQSwUGAAAAAAYA&#10;BgBZAQAAvQUAAAAA&#10;">
              <v:fill on="f" focussize="0,0"/>
              <v:stroke on="f" weight="0.5pt"/>
              <v:imagedata o:title=""/>
              <o:lock v:ext="edit" aspectratio="f"/>
              <v:textbox inset="0mm,0mm,0mm,0mm" style="mso-fit-shape-to-text:t;">
                <w:txbxContent>
                  <w:p>
                    <w:pPr>
                      <w:pStyle w:val="21"/>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5"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2336;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Po12mozAgAAVgQAAA4AAAAAAAAAAQAgAAAAJQEAAGRycy9lMm9Eb2Mu&#10;eG1sUEsFBgAAAAAGAAYAWQEAAMoFAAAAAA==&#10;">
              <v:fill on="f" focussize="0,0"/>
              <v:stroke on="f" weight="0.5pt"/>
              <v:imagedata o:title=""/>
              <o:lock v:ext="edit" aspectratio="f"/>
              <v:textbox inset="0mm,0mm,0mm,0mm">
                <w:txbxContent>
                  <w:p>
                    <w:pPr>
                      <w:pStyle w:val="21"/>
                    </w:pPr>
                  </w:p>
                </w:txbxContent>
              </v:textbox>
            </v:shape>
          </w:pict>
        </mc:Fallback>
      </mc:AlternateContent>
    </w:r>
  </w:p>
  <w:p>
    <w:pPr>
      <w:pStyle w:val="2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hint="eastAsia"/>
      </w:rPr>
    </w:pPr>
  </w:p>
  <w:p>
    <w:pPr>
      <w:pStyle w:val="22"/>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0"/>
  </w:num>
  <w:num w:numId="3">
    <w:abstractNumId w:val="8"/>
  </w:num>
  <w:num w:numId="4">
    <w:abstractNumId w:val="4"/>
  </w:num>
  <w:num w:numId="5">
    <w:abstractNumId w:val="2"/>
  </w:num>
  <w:num w:numId="6">
    <w:abstractNumId w:val="6"/>
  </w:num>
  <w:num w:numId="7">
    <w:abstractNumId w:val="1"/>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wOWM0YjY3OWY0MGEyNDM3ZWYyMjNhOTc0MmZhNjE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86CF7"/>
    <w:rsid w:val="001C1EE3"/>
    <w:rsid w:val="001C713C"/>
    <w:rsid w:val="001D75B9"/>
    <w:rsid w:val="00200F05"/>
    <w:rsid w:val="00220056"/>
    <w:rsid w:val="002471CE"/>
    <w:rsid w:val="002626ED"/>
    <w:rsid w:val="00265A40"/>
    <w:rsid w:val="00282FDE"/>
    <w:rsid w:val="0029130A"/>
    <w:rsid w:val="003A4540"/>
    <w:rsid w:val="003B4D7D"/>
    <w:rsid w:val="003E0AB3"/>
    <w:rsid w:val="00401C42"/>
    <w:rsid w:val="004076DE"/>
    <w:rsid w:val="00415E0B"/>
    <w:rsid w:val="00460AFB"/>
    <w:rsid w:val="004643B8"/>
    <w:rsid w:val="00470130"/>
    <w:rsid w:val="00483B0A"/>
    <w:rsid w:val="004B12A2"/>
    <w:rsid w:val="004B5126"/>
    <w:rsid w:val="004F7838"/>
    <w:rsid w:val="00503391"/>
    <w:rsid w:val="00552960"/>
    <w:rsid w:val="0056018A"/>
    <w:rsid w:val="00567344"/>
    <w:rsid w:val="005746E8"/>
    <w:rsid w:val="005829DC"/>
    <w:rsid w:val="00587F0D"/>
    <w:rsid w:val="005C0B4E"/>
    <w:rsid w:val="005C421F"/>
    <w:rsid w:val="005F16F0"/>
    <w:rsid w:val="0065185D"/>
    <w:rsid w:val="00657CC9"/>
    <w:rsid w:val="00662385"/>
    <w:rsid w:val="00680629"/>
    <w:rsid w:val="00686C52"/>
    <w:rsid w:val="006F1414"/>
    <w:rsid w:val="007432BF"/>
    <w:rsid w:val="007525BF"/>
    <w:rsid w:val="007800DC"/>
    <w:rsid w:val="007838AA"/>
    <w:rsid w:val="00783D5E"/>
    <w:rsid w:val="00785FD6"/>
    <w:rsid w:val="007B212D"/>
    <w:rsid w:val="00806A61"/>
    <w:rsid w:val="00824BFD"/>
    <w:rsid w:val="00831A05"/>
    <w:rsid w:val="00840D88"/>
    <w:rsid w:val="008453B3"/>
    <w:rsid w:val="008D3B56"/>
    <w:rsid w:val="008D5CEF"/>
    <w:rsid w:val="009360F9"/>
    <w:rsid w:val="00964F00"/>
    <w:rsid w:val="009B511E"/>
    <w:rsid w:val="009D4310"/>
    <w:rsid w:val="009E0F5E"/>
    <w:rsid w:val="00A21EB2"/>
    <w:rsid w:val="00A31561"/>
    <w:rsid w:val="00A54E95"/>
    <w:rsid w:val="00A80564"/>
    <w:rsid w:val="00A960B2"/>
    <w:rsid w:val="00AB075E"/>
    <w:rsid w:val="00AE6633"/>
    <w:rsid w:val="00B01FF1"/>
    <w:rsid w:val="00B72516"/>
    <w:rsid w:val="00B92C97"/>
    <w:rsid w:val="00BA3C70"/>
    <w:rsid w:val="00BB4E42"/>
    <w:rsid w:val="00BC55BF"/>
    <w:rsid w:val="00BE45F6"/>
    <w:rsid w:val="00BF0E19"/>
    <w:rsid w:val="00C01073"/>
    <w:rsid w:val="00C570BC"/>
    <w:rsid w:val="00C855F6"/>
    <w:rsid w:val="00C909F0"/>
    <w:rsid w:val="00C92F53"/>
    <w:rsid w:val="00CD378D"/>
    <w:rsid w:val="00CD5223"/>
    <w:rsid w:val="00CE5010"/>
    <w:rsid w:val="00CE6E17"/>
    <w:rsid w:val="00D0528A"/>
    <w:rsid w:val="00D10C00"/>
    <w:rsid w:val="00D11B37"/>
    <w:rsid w:val="00D408EF"/>
    <w:rsid w:val="00D5145C"/>
    <w:rsid w:val="00D64DAE"/>
    <w:rsid w:val="00D729A1"/>
    <w:rsid w:val="00D96450"/>
    <w:rsid w:val="00DB5225"/>
    <w:rsid w:val="00DD1E5E"/>
    <w:rsid w:val="00DD4091"/>
    <w:rsid w:val="00DE6417"/>
    <w:rsid w:val="00E05D3A"/>
    <w:rsid w:val="00E16182"/>
    <w:rsid w:val="00E1627A"/>
    <w:rsid w:val="00E34C35"/>
    <w:rsid w:val="00E64AA0"/>
    <w:rsid w:val="00E650A8"/>
    <w:rsid w:val="00E67598"/>
    <w:rsid w:val="00E878B4"/>
    <w:rsid w:val="00EB3D00"/>
    <w:rsid w:val="00F71720"/>
    <w:rsid w:val="00FE040F"/>
    <w:rsid w:val="00FE42B3"/>
    <w:rsid w:val="00FE75B0"/>
    <w:rsid w:val="014832F2"/>
    <w:rsid w:val="014D51C1"/>
    <w:rsid w:val="01714809"/>
    <w:rsid w:val="01C52478"/>
    <w:rsid w:val="01CC7CF9"/>
    <w:rsid w:val="027408EE"/>
    <w:rsid w:val="02963F39"/>
    <w:rsid w:val="02B3095A"/>
    <w:rsid w:val="02BA7274"/>
    <w:rsid w:val="03251978"/>
    <w:rsid w:val="0325718A"/>
    <w:rsid w:val="042921B6"/>
    <w:rsid w:val="043B72BB"/>
    <w:rsid w:val="04461EC1"/>
    <w:rsid w:val="04504B3F"/>
    <w:rsid w:val="04AD02B8"/>
    <w:rsid w:val="04DE51C8"/>
    <w:rsid w:val="04DF17D4"/>
    <w:rsid w:val="05412745"/>
    <w:rsid w:val="05491761"/>
    <w:rsid w:val="05A351AD"/>
    <w:rsid w:val="05F9748A"/>
    <w:rsid w:val="06266F78"/>
    <w:rsid w:val="063E7B7A"/>
    <w:rsid w:val="06582413"/>
    <w:rsid w:val="067E33B8"/>
    <w:rsid w:val="06E82FCB"/>
    <w:rsid w:val="06F34B95"/>
    <w:rsid w:val="07571DAC"/>
    <w:rsid w:val="08DD171B"/>
    <w:rsid w:val="08E64121"/>
    <w:rsid w:val="0942017F"/>
    <w:rsid w:val="09BA1FBB"/>
    <w:rsid w:val="09CB139F"/>
    <w:rsid w:val="0A0106F5"/>
    <w:rsid w:val="0A112AB7"/>
    <w:rsid w:val="0A4E5482"/>
    <w:rsid w:val="0AAA504A"/>
    <w:rsid w:val="0AD71BC7"/>
    <w:rsid w:val="0AF420EB"/>
    <w:rsid w:val="0B2B2BF5"/>
    <w:rsid w:val="0B2F3908"/>
    <w:rsid w:val="0B3F6206"/>
    <w:rsid w:val="0BE12DB6"/>
    <w:rsid w:val="0BFC6504"/>
    <w:rsid w:val="0C345AD1"/>
    <w:rsid w:val="0C626CE4"/>
    <w:rsid w:val="0D030966"/>
    <w:rsid w:val="0D0C2B7B"/>
    <w:rsid w:val="0D9308F8"/>
    <w:rsid w:val="0DE76C3D"/>
    <w:rsid w:val="0E1A1D85"/>
    <w:rsid w:val="0E750568"/>
    <w:rsid w:val="0E9C3C97"/>
    <w:rsid w:val="0F2D7A80"/>
    <w:rsid w:val="0F4277E5"/>
    <w:rsid w:val="0FA75561"/>
    <w:rsid w:val="0FB83603"/>
    <w:rsid w:val="0FCA77F1"/>
    <w:rsid w:val="0FCD5DCC"/>
    <w:rsid w:val="10043197"/>
    <w:rsid w:val="10270545"/>
    <w:rsid w:val="103409DF"/>
    <w:rsid w:val="108A1D4B"/>
    <w:rsid w:val="10A10111"/>
    <w:rsid w:val="10BE093E"/>
    <w:rsid w:val="10E20BD8"/>
    <w:rsid w:val="111B0FE9"/>
    <w:rsid w:val="112C77F4"/>
    <w:rsid w:val="114755AB"/>
    <w:rsid w:val="115F67A8"/>
    <w:rsid w:val="119A7465"/>
    <w:rsid w:val="11C07DA5"/>
    <w:rsid w:val="11C2491E"/>
    <w:rsid w:val="11F36B75"/>
    <w:rsid w:val="12491386"/>
    <w:rsid w:val="12E60579"/>
    <w:rsid w:val="12EB0F02"/>
    <w:rsid w:val="13695B36"/>
    <w:rsid w:val="1372609F"/>
    <w:rsid w:val="13A31682"/>
    <w:rsid w:val="13D73572"/>
    <w:rsid w:val="14504752"/>
    <w:rsid w:val="145A6A37"/>
    <w:rsid w:val="1467440F"/>
    <w:rsid w:val="15400323"/>
    <w:rsid w:val="15433A9B"/>
    <w:rsid w:val="15FC2F04"/>
    <w:rsid w:val="16181FAC"/>
    <w:rsid w:val="168756A0"/>
    <w:rsid w:val="16F94849"/>
    <w:rsid w:val="17045E51"/>
    <w:rsid w:val="172011D4"/>
    <w:rsid w:val="17252C3B"/>
    <w:rsid w:val="173C25C7"/>
    <w:rsid w:val="173F0A2E"/>
    <w:rsid w:val="17770BC2"/>
    <w:rsid w:val="17860E2F"/>
    <w:rsid w:val="17A119AA"/>
    <w:rsid w:val="18586F2B"/>
    <w:rsid w:val="19A766B9"/>
    <w:rsid w:val="19CE76BA"/>
    <w:rsid w:val="19F26070"/>
    <w:rsid w:val="19F97C8B"/>
    <w:rsid w:val="1A1523CE"/>
    <w:rsid w:val="1AA730BD"/>
    <w:rsid w:val="1ADF38C8"/>
    <w:rsid w:val="1B333D5D"/>
    <w:rsid w:val="1B587618"/>
    <w:rsid w:val="1B5F19C7"/>
    <w:rsid w:val="1B610B25"/>
    <w:rsid w:val="1C1C709B"/>
    <w:rsid w:val="1C4F6795"/>
    <w:rsid w:val="1C9F6814"/>
    <w:rsid w:val="1D5C514E"/>
    <w:rsid w:val="1D865D14"/>
    <w:rsid w:val="1D8705EC"/>
    <w:rsid w:val="1DEC0E7D"/>
    <w:rsid w:val="1E43150B"/>
    <w:rsid w:val="1EA93E80"/>
    <w:rsid w:val="1ED33FB6"/>
    <w:rsid w:val="1EE81332"/>
    <w:rsid w:val="1F32415A"/>
    <w:rsid w:val="1F542F9A"/>
    <w:rsid w:val="1F702632"/>
    <w:rsid w:val="1F7E2174"/>
    <w:rsid w:val="20107567"/>
    <w:rsid w:val="207F1070"/>
    <w:rsid w:val="20AB56C6"/>
    <w:rsid w:val="213B749B"/>
    <w:rsid w:val="21547789"/>
    <w:rsid w:val="21621595"/>
    <w:rsid w:val="2176507C"/>
    <w:rsid w:val="21BE35AF"/>
    <w:rsid w:val="21C11174"/>
    <w:rsid w:val="22244B28"/>
    <w:rsid w:val="22467FD4"/>
    <w:rsid w:val="229451FD"/>
    <w:rsid w:val="22A12DB6"/>
    <w:rsid w:val="236356D1"/>
    <w:rsid w:val="23A91C83"/>
    <w:rsid w:val="23C962E8"/>
    <w:rsid w:val="247E4FED"/>
    <w:rsid w:val="24AD78E0"/>
    <w:rsid w:val="24B30BE8"/>
    <w:rsid w:val="24E34060"/>
    <w:rsid w:val="253A0491"/>
    <w:rsid w:val="254E0478"/>
    <w:rsid w:val="25E036B2"/>
    <w:rsid w:val="25E9082A"/>
    <w:rsid w:val="25F42473"/>
    <w:rsid w:val="269C17B8"/>
    <w:rsid w:val="26AF2D79"/>
    <w:rsid w:val="26B34B91"/>
    <w:rsid w:val="270D65A4"/>
    <w:rsid w:val="270D66E8"/>
    <w:rsid w:val="27514612"/>
    <w:rsid w:val="278B0DAB"/>
    <w:rsid w:val="278D3850"/>
    <w:rsid w:val="279C6B0E"/>
    <w:rsid w:val="27A64735"/>
    <w:rsid w:val="27CC4DF2"/>
    <w:rsid w:val="280D64D7"/>
    <w:rsid w:val="281864F2"/>
    <w:rsid w:val="286903EF"/>
    <w:rsid w:val="287B0F24"/>
    <w:rsid w:val="287F5DD3"/>
    <w:rsid w:val="288047CB"/>
    <w:rsid w:val="289E62FA"/>
    <w:rsid w:val="28FD6E90"/>
    <w:rsid w:val="291E2CA6"/>
    <w:rsid w:val="29331862"/>
    <w:rsid w:val="29465F48"/>
    <w:rsid w:val="299741EC"/>
    <w:rsid w:val="299E147F"/>
    <w:rsid w:val="29C32A87"/>
    <w:rsid w:val="29CF26DC"/>
    <w:rsid w:val="2A1C5DA0"/>
    <w:rsid w:val="2A200D39"/>
    <w:rsid w:val="2A507EFF"/>
    <w:rsid w:val="2ADC05A4"/>
    <w:rsid w:val="2AE4076A"/>
    <w:rsid w:val="2AEF2177"/>
    <w:rsid w:val="2B133D16"/>
    <w:rsid w:val="2B6F0D7F"/>
    <w:rsid w:val="2B8716BD"/>
    <w:rsid w:val="2B8B76FF"/>
    <w:rsid w:val="2BD5034F"/>
    <w:rsid w:val="2C792F4D"/>
    <w:rsid w:val="2CEA7532"/>
    <w:rsid w:val="2D025012"/>
    <w:rsid w:val="2D4178F0"/>
    <w:rsid w:val="2D5A5EAB"/>
    <w:rsid w:val="2DAE631A"/>
    <w:rsid w:val="2DD877E0"/>
    <w:rsid w:val="2DE616C9"/>
    <w:rsid w:val="2DFC2451"/>
    <w:rsid w:val="2E3422F8"/>
    <w:rsid w:val="2E6E566D"/>
    <w:rsid w:val="2E7F188E"/>
    <w:rsid w:val="2EB87EA5"/>
    <w:rsid w:val="2EBC0905"/>
    <w:rsid w:val="2EC73739"/>
    <w:rsid w:val="2EFB1B0E"/>
    <w:rsid w:val="2F5C684F"/>
    <w:rsid w:val="2F63756E"/>
    <w:rsid w:val="2FC35CB8"/>
    <w:rsid w:val="307776D1"/>
    <w:rsid w:val="30862574"/>
    <w:rsid w:val="30B631E1"/>
    <w:rsid w:val="311933AA"/>
    <w:rsid w:val="317D15BB"/>
    <w:rsid w:val="31D07E6C"/>
    <w:rsid w:val="31DB10AC"/>
    <w:rsid w:val="323F65DA"/>
    <w:rsid w:val="32412074"/>
    <w:rsid w:val="32A43435"/>
    <w:rsid w:val="32DE0199"/>
    <w:rsid w:val="32FC5B89"/>
    <w:rsid w:val="333C2963"/>
    <w:rsid w:val="335B2774"/>
    <w:rsid w:val="33A4642E"/>
    <w:rsid w:val="33D4039C"/>
    <w:rsid w:val="33D47E05"/>
    <w:rsid w:val="3413677D"/>
    <w:rsid w:val="342B544B"/>
    <w:rsid w:val="345E036E"/>
    <w:rsid w:val="34C47852"/>
    <w:rsid w:val="34DE1E4F"/>
    <w:rsid w:val="34F07DB1"/>
    <w:rsid w:val="359009FB"/>
    <w:rsid w:val="35983181"/>
    <w:rsid w:val="35D354B8"/>
    <w:rsid w:val="35D4025C"/>
    <w:rsid w:val="362666BC"/>
    <w:rsid w:val="368A6B11"/>
    <w:rsid w:val="37085B1F"/>
    <w:rsid w:val="372E04CB"/>
    <w:rsid w:val="381F7E5B"/>
    <w:rsid w:val="38E070F2"/>
    <w:rsid w:val="390D33AB"/>
    <w:rsid w:val="391E6D06"/>
    <w:rsid w:val="39427F44"/>
    <w:rsid w:val="396500D6"/>
    <w:rsid w:val="3A074847"/>
    <w:rsid w:val="3A830B2E"/>
    <w:rsid w:val="3AA90FE6"/>
    <w:rsid w:val="3AA9318F"/>
    <w:rsid w:val="3AB62DA0"/>
    <w:rsid w:val="3B69577B"/>
    <w:rsid w:val="3B702D85"/>
    <w:rsid w:val="3B7D3FD5"/>
    <w:rsid w:val="3B823DDF"/>
    <w:rsid w:val="3BD827B4"/>
    <w:rsid w:val="3C237ED3"/>
    <w:rsid w:val="3C4D2D59"/>
    <w:rsid w:val="3CAA596A"/>
    <w:rsid w:val="3CAF1D22"/>
    <w:rsid w:val="3CB1587B"/>
    <w:rsid w:val="3CB735F2"/>
    <w:rsid w:val="3D186684"/>
    <w:rsid w:val="3D3314F4"/>
    <w:rsid w:val="3D363C36"/>
    <w:rsid w:val="3D8B2178"/>
    <w:rsid w:val="3DB34909"/>
    <w:rsid w:val="3DD115F5"/>
    <w:rsid w:val="3DE435F0"/>
    <w:rsid w:val="3DE5122C"/>
    <w:rsid w:val="3DF37E53"/>
    <w:rsid w:val="3ED26DE9"/>
    <w:rsid w:val="3EED17D0"/>
    <w:rsid w:val="3F0C0304"/>
    <w:rsid w:val="3F774839"/>
    <w:rsid w:val="3FEC147E"/>
    <w:rsid w:val="40376375"/>
    <w:rsid w:val="409917C7"/>
    <w:rsid w:val="40B913B2"/>
    <w:rsid w:val="412732B7"/>
    <w:rsid w:val="4127791F"/>
    <w:rsid w:val="41281794"/>
    <w:rsid w:val="413C1FDF"/>
    <w:rsid w:val="41806A69"/>
    <w:rsid w:val="41B0259C"/>
    <w:rsid w:val="41BC6F1C"/>
    <w:rsid w:val="41EF2363"/>
    <w:rsid w:val="41F77860"/>
    <w:rsid w:val="424A4B98"/>
    <w:rsid w:val="42581D3A"/>
    <w:rsid w:val="42ED2EA4"/>
    <w:rsid w:val="42F6649D"/>
    <w:rsid w:val="42FE0080"/>
    <w:rsid w:val="4303271A"/>
    <w:rsid w:val="43315D2E"/>
    <w:rsid w:val="43670C99"/>
    <w:rsid w:val="43824A1C"/>
    <w:rsid w:val="43D110E1"/>
    <w:rsid w:val="43E873C9"/>
    <w:rsid w:val="44905B1F"/>
    <w:rsid w:val="45316885"/>
    <w:rsid w:val="45A95EE9"/>
    <w:rsid w:val="45FB0F21"/>
    <w:rsid w:val="46167166"/>
    <w:rsid w:val="4636719A"/>
    <w:rsid w:val="463B233E"/>
    <w:rsid w:val="47200EE3"/>
    <w:rsid w:val="47435AC2"/>
    <w:rsid w:val="47544B78"/>
    <w:rsid w:val="47587AF7"/>
    <w:rsid w:val="47745A86"/>
    <w:rsid w:val="47E239AC"/>
    <w:rsid w:val="480F4B73"/>
    <w:rsid w:val="487974BD"/>
    <w:rsid w:val="48DB38E3"/>
    <w:rsid w:val="49001B5E"/>
    <w:rsid w:val="49376DB0"/>
    <w:rsid w:val="49804BB7"/>
    <w:rsid w:val="49826DCB"/>
    <w:rsid w:val="499013E7"/>
    <w:rsid w:val="49C8088A"/>
    <w:rsid w:val="49FB3558"/>
    <w:rsid w:val="4A0F6D68"/>
    <w:rsid w:val="4A301C93"/>
    <w:rsid w:val="4A3302AB"/>
    <w:rsid w:val="4A572A17"/>
    <w:rsid w:val="4A6F2535"/>
    <w:rsid w:val="4AB35EA4"/>
    <w:rsid w:val="4AC85D49"/>
    <w:rsid w:val="4AE308A9"/>
    <w:rsid w:val="4AE37154"/>
    <w:rsid w:val="4B260F2D"/>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A286C"/>
    <w:rsid w:val="4D4C4DB0"/>
    <w:rsid w:val="4D7322D5"/>
    <w:rsid w:val="4DD7034C"/>
    <w:rsid w:val="4DE312CB"/>
    <w:rsid w:val="4DF5318E"/>
    <w:rsid w:val="4E1F4862"/>
    <w:rsid w:val="4E2E4393"/>
    <w:rsid w:val="4E4F14BF"/>
    <w:rsid w:val="4E535EF2"/>
    <w:rsid w:val="4F08773C"/>
    <w:rsid w:val="4F31409F"/>
    <w:rsid w:val="4F5E670E"/>
    <w:rsid w:val="4F846A83"/>
    <w:rsid w:val="50070E2C"/>
    <w:rsid w:val="501112F3"/>
    <w:rsid w:val="504B57F2"/>
    <w:rsid w:val="50850D04"/>
    <w:rsid w:val="50C5433A"/>
    <w:rsid w:val="50C62BC7"/>
    <w:rsid w:val="50F72A66"/>
    <w:rsid w:val="5123368C"/>
    <w:rsid w:val="5130747C"/>
    <w:rsid w:val="515C765A"/>
    <w:rsid w:val="51905BB3"/>
    <w:rsid w:val="51946FCB"/>
    <w:rsid w:val="51DD796B"/>
    <w:rsid w:val="51DF373B"/>
    <w:rsid w:val="52BB08BC"/>
    <w:rsid w:val="52EF4CB5"/>
    <w:rsid w:val="52F959F0"/>
    <w:rsid w:val="5302488E"/>
    <w:rsid w:val="53136173"/>
    <w:rsid w:val="534B12B7"/>
    <w:rsid w:val="539A4AC7"/>
    <w:rsid w:val="542631B6"/>
    <w:rsid w:val="5447483C"/>
    <w:rsid w:val="54481AB1"/>
    <w:rsid w:val="54862A07"/>
    <w:rsid w:val="54942CAE"/>
    <w:rsid w:val="54A61722"/>
    <w:rsid w:val="54B31FAF"/>
    <w:rsid w:val="55326D63"/>
    <w:rsid w:val="55451431"/>
    <w:rsid w:val="555D1A10"/>
    <w:rsid w:val="55C300FC"/>
    <w:rsid w:val="56AC4A78"/>
    <w:rsid w:val="56DB16B9"/>
    <w:rsid w:val="577A3463"/>
    <w:rsid w:val="57F967AD"/>
    <w:rsid w:val="58052975"/>
    <w:rsid w:val="584D1A65"/>
    <w:rsid w:val="584F5C44"/>
    <w:rsid w:val="58E525CA"/>
    <w:rsid w:val="58EE7372"/>
    <w:rsid w:val="593D045A"/>
    <w:rsid w:val="5960739E"/>
    <w:rsid w:val="59896D0A"/>
    <w:rsid w:val="59B72684"/>
    <w:rsid w:val="5A0D539B"/>
    <w:rsid w:val="5A9579AE"/>
    <w:rsid w:val="5AC266B1"/>
    <w:rsid w:val="5AC468CD"/>
    <w:rsid w:val="5B342B9A"/>
    <w:rsid w:val="5B5953B0"/>
    <w:rsid w:val="5B630802"/>
    <w:rsid w:val="5B807F68"/>
    <w:rsid w:val="5BA72CE5"/>
    <w:rsid w:val="5C034D53"/>
    <w:rsid w:val="5C0A43A9"/>
    <w:rsid w:val="5C1578F6"/>
    <w:rsid w:val="5D722852"/>
    <w:rsid w:val="5E0559CD"/>
    <w:rsid w:val="5E1D6F56"/>
    <w:rsid w:val="5E20787C"/>
    <w:rsid w:val="5E52187F"/>
    <w:rsid w:val="5E6567AD"/>
    <w:rsid w:val="5E6A13CD"/>
    <w:rsid w:val="5E705D15"/>
    <w:rsid w:val="5E93326C"/>
    <w:rsid w:val="5E9F1A7A"/>
    <w:rsid w:val="5EAF3818"/>
    <w:rsid w:val="5EFB4BA4"/>
    <w:rsid w:val="5F025452"/>
    <w:rsid w:val="5F5F46B5"/>
    <w:rsid w:val="5FB25360"/>
    <w:rsid w:val="5FBA3CC0"/>
    <w:rsid w:val="5FD90D61"/>
    <w:rsid w:val="60177697"/>
    <w:rsid w:val="602329DB"/>
    <w:rsid w:val="606C2C8F"/>
    <w:rsid w:val="607777D6"/>
    <w:rsid w:val="60BC76A1"/>
    <w:rsid w:val="610B7637"/>
    <w:rsid w:val="612279BA"/>
    <w:rsid w:val="615F5624"/>
    <w:rsid w:val="61B91A88"/>
    <w:rsid w:val="61D215CF"/>
    <w:rsid w:val="625C563D"/>
    <w:rsid w:val="626A1704"/>
    <w:rsid w:val="627921C2"/>
    <w:rsid w:val="62B362C8"/>
    <w:rsid w:val="62C1330E"/>
    <w:rsid w:val="6342085E"/>
    <w:rsid w:val="636F415C"/>
    <w:rsid w:val="64917820"/>
    <w:rsid w:val="64AA1CC5"/>
    <w:rsid w:val="64D34352"/>
    <w:rsid w:val="6528341F"/>
    <w:rsid w:val="656B2909"/>
    <w:rsid w:val="65802BF9"/>
    <w:rsid w:val="65970AF2"/>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D30B32"/>
    <w:rsid w:val="68011379"/>
    <w:rsid w:val="68252C37"/>
    <w:rsid w:val="68817BAC"/>
    <w:rsid w:val="689A5E59"/>
    <w:rsid w:val="68A94E70"/>
    <w:rsid w:val="68EE72DF"/>
    <w:rsid w:val="690B4C92"/>
    <w:rsid w:val="69485FEA"/>
    <w:rsid w:val="69677DC0"/>
    <w:rsid w:val="69937EC7"/>
    <w:rsid w:val="69D64558"/>
    <w:rsid w:val="6A042548"/>
    <w:rsid w:val="6A471EFD"/>
    <w:rsid w:val="6AB57116"/>
    <w:rsid w:val="6B17424A"/>
    <w:rsid w:val="6B2218FA"/>
    <w:rsid w:val="6B686C59"/>
    <w:rsid w:val="6B691672"/>
    <w:rsid w:val="6BE97F42"/>
    <w:rsid w:val="6C5E6A51"/>
    <w:rsid w:val="6C6513C3"/>
    <w:rsid w:val="6C744268"/>
    <w:rsid w:val="6C913746"/>
    <w:rsid w:val="6CD62D03"/>
    <w:rsid w:val="6CD97FB6"/>
    <w:rsid w:val="6D0E5050"/>
    <w:rsid w:val="6D4B22B8"/>
    <w:rsid w:val="6D930013"/>
    <w:rsid w:val="6E1A1656"/>
    <w:rsid w:val="6E231DD6"/>
    <w:rsid w:val="6E5A5288"/>
    <w:rsid w:val="6EE013EE"/>
    <w:rsid w:val="6EE079F1"/>
    <w:rsid w:val="6EE42C42"/>
    <w:rsid w:val="6F7F7CB0"/>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2922C6"/>
    <w:rsid w:val="727176A7"/>
    <w:rsid w:val="72CB03A1"/>
    <w:rsid w:val="732D4B5D"/>
    <w:rsid w:val="73393C88"/>
    <w:rsid w:val="7362513F"/>
    <w:rsid w:val="73771D49"/>
    <w:rsid w:val="73A1354E"/>
    <w:rsid w:val="74A11E7D"/>
    <w:rsid w:val="74B5058A"/>
    <w:rsid w:val="75590B0A"/>
    <w:rsid w:val="7582279F"/>
    <w:rsid w:val="75843EB5"/>
    <w:rsid w:val="75BB71AF"/>
    <w:rsid w:val="75D93C65"/>
    <w:rsid w:val="75F01962"/>
    <w:rsid w:val="760E19DF"/>
    <w:rsid w:val="764E52E0"/>
    <w:rsid w:val="76557F3E"/>
    <w:rsid w:val="76676A53"/>
    <w:rsid w:val="76A3294D"/>
    <w:rsid w:val="76B620A1"/>
    <w:rsid w:val="76F20814"/>
    <w:rsid w:val="77462524"/>
    <w:rsid w:val="779A6594"/>
    <w:rsid w:val="77A21064"/>
    <w:rsid w:val="77E34EB2"/>
    <w:rsid w:val="781564B8"/>
    <w:rsid w:val="78224ACF"/>
    <w:rsid w:val="78CD6DCC"/>
    <w:rsid w:val="78D07CAF"/>
    <w:rsid w:val="78DE12D7"/>
    <w:rsid w:val="79210683"/>
    <w:rsid w:val="79876B53"/>
    <w:rsid w:val="799C3465"/>
    <w:rsid w:val="79B14EC4"/>
    <w:rsid w:val="7A2A6B4A"/>
    <w:rsid w:val="7A681070"/>
    <w:rsid w:val="7A860C7C"/>
    <w:rsid w:val="7AB879FE"/>
    <w:rsid w:val="7B3264DD"/>
    <w:rsid w:val="7B81188A"/>
    <w:rsid w:val="7B9E2902"/>
    <w:rsid w:val="7BA61FF2"/>
    <w:rsid w:val="7BC854E2"/>
    <w:rsid w:val="7C0562EC"/>
    <w:rsid w:val="7C067A45"/>
    <w:rsid w:val="7C27683F"/>
    <w:rsid w:val="7CB14B4D"/>
    <w:rsid w:val="7CF26969"/>
    <w:rsid w:val="7D25523C"/>
    <w:rsid w:val="7D6F3276"/>
    <w:rsid w:val="7DB23041"/>
    <w:rsid w:val="7E253FEC"/>
    <w:rsid w:val="7E5F7809"/>
    <w:rsid w:val="7ED56C53"/>
    <w:rsid w:val="7EEA1BAF"/>
    <w:rsid w:val="7F5460D4"/>
    <w:rsid w:val="7F552892"/>
    <w:rsid w:val="7FD05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45"/>
    <w:qFormat/>
    <w:uiPriority w:val="9"/>
    <w:pPr>
      <w:keepNext/>
      <w:keepLines/>
      <w:jc w:val="center"/>
      <w:outlineLvl w:val="0"/>
    </w:pPr>
    <w:rPr>
      <w:b/>
      <w:bCs/>
      <w:kern w:val="44"/>
      <w:sz w:val="36"/>
      <w:szCs w:val="44"/>
    </w:rPr>
  </w:style>
  <w:style w:type="paragraph" w:styleId="4">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uiPriority w:val="1"/>
  </w:style>
  <w:style w:type="table" w:default="1" w:styleId="35">
    <w:name w:val="Normal Table"/>
    <w:semiHidden/>
    <w:unhideWhenUsed/>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8"/>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59"/>
    <w:qFormat/>
    <w:uiPriority w:val="0"/>
    <w:pPr>
      <w:jc w:val="left"/>
    </w:pPr>
  </w:style>
  <w:style w:type="paragraph" w:styleId="12">
    <w:name w:val="Body Text"/>
    <w:basedOn w:val="1"/>
    <w:next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7"/>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Plain Text"/>
    <w:basedOn w:val="1"/>
    <w:link w:val="70"/>
    <w:qFormat/>
    <w:uiPriority w:val="0"/>
    <w:pPr>
      <w:framePr w:hSpace="180" w:wrap="around" w:vAnchor="text" w:hAnchor="text" w:xAlign="center" w:y="1"/>
      <w:suppressOverlap/>
      <w:ind w:firstLine="480" w:firstLineChars="200"/>
    </w:pPr>
    <w:rPr>
      <w:rFonts w:ascii="宋体" w:hAnsi="宋体" w:eastAsia="宋体" w:cs="宋体"/>
      <w:bCs/>
      <w:snapToGrid w:val="0"/>
      <w:color w:val="FF0000"/>
      <w:kern w:val="0"/>
      <w:sz w:val="24"/>
      <w:szCs w:val="24"/>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0"/>
    <w:qFormat/>
    <w:uiPriority w:val="0"/>
    <w:rPr>
      <w:b/>
    </w:rPr>
  </w:style>
  <w:style w:type="paragraph" w:styleId="34">
    <w:name w:val="Body Text First Indent 2"/>
    <w:basedOn w:val="13"/>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2"/>
    <w:qFormat/>
    <w:uiPriority w:val="9"/>
    <w:rPr>
      <w:rFonts w:ascii="Calibri" w:hAnsi="Calibri" w:eastAsia="宋体" w:cs="Times New Roman"/>
      <w:b/>
      <w:bCs/>
      <w:kern w:val="44"/>
      <w:sz w:val="36"/>
      <w:szCs w:val="44"/>
    </w:rPr>
  </w:style>
  <w:style w:type="character" w:customStyle="1" w:styleId="46">
    <w:name w:val="标题 2 字符"/>
    <w:basedOn w:val="37"/>
    <w:link w:val="4"/>
    <w:qFormat/>
    <w:uiPriority w:val="9"/>
    <w:rPr>
      <w:rFonts w:ascii="Arial" w:hAnsi="Arial" w:eastAsia="宋体" w:cs="Times New Roman"/>
      <w:b/>
      <w:bCs/>
      <w:sz w:val="24"/>
      <w:szCs w:val="32"/>
    </w:rPr>
  </w:style>
  <w:style w:type="character" w:customStyle="1" w:styleId="47">
    <w:name w:val="标题 3 字符"/>
    <w:basedOn w:val="37"/>
    <w:link w:val="5"/>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1"/>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9"/>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6"/>
    <w:qFormat/>
    <w:locked/>
    <w:uiPriority w:val="0"/>
    <w:rPr>
      <w:rFonts w:ascii="宋体" w:hAnsi="宋体" w:cs="宋体"/>
      <w:bCs/>
      <w:snapToGrid w:val="0"/>
      <w:color w:val="FF0000"/>
      <w:sz w:val="24"/>
      <w:szCs w:val="24"/>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3"/>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2"/>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6"/>
    <w:link w:val="113"/>
    <w:qFormat/>
    <w:uiPriority w:val="0"/>
    <w:pPr>
      <w:framePr w:wrap="around"/>
      <w:spacing w:line="360" w:lineRule="auto"/>
      <w:ind w:firstLine="200"/>
    </w:pPr>
    <w:rPr>
      <w:color w:val="000000"/>
    </w:rPr>
  </w:style>
  <w:style w:type="paragraph" w:customStyle="1" w:styleId="112">
    <w:name w:val="标书二级标题"/>
    <w:basedOn w:val="4"/>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5"/>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framePr w:wrap="around"/>
      <w:ind w:firstLine="480"/>
    </w:pPr>
    <w:rPr>
      <w:rFonts w:hAnsiTheme="minorHAnsi"/>
      <w:szCs w:val="22"/>
    </w:rPr>
  </w:style>
  <w:style w:type="paragraph" w:customStyle="1" w:styleId="123">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2"/>
    <w:qFormat/>
    <w:uiPriority w:val="0"/>
    <w:rPr>
      <w:rFonts w:eastAsia="黑体"/>
      <w:b w:val="0"/>
      <w:color w:val="000000"/>
      <w:sz w:val="30"/>
      <w:szCs w:val="24"/>
    </w:rPr>
  </w:style>
  <w:style w:type="paragraph" w:customStyle="1" w:styleId="131">
    <w:name w:val="无间隔1"/>
    <w:qFormat/>
    <w:uiPriority w:val="0"/>
    <w:rPr>
      <w:rFonts w:ascii="Calibri" w:hAnsi="Calibri" w:eastAsia="Calibri" w:cs="Times New Roman"/>
      <w:szCs w:val="22"/>
      <w:lang w:val="en-GB" w:eastAsia="en-US" w:bidi="ar-SA"/>
    </w:rPr>
  </w:style>
  <w:style w:type="character" w:customStyle="1" w:styleId="132">
    <w:name w:val="font21"/>
    <w:basedOn w:val="37"/>
    <w:qFormat/>
    <w:uiPriority w:val="0"/>
    <w:rPr>
      <w:rFonts w:hint="eastAsia" w:ascii="宋体" w:hAnsi="宋体" w:eastAsia="宋体" w:cs="宋体"/>
      <w:color w:val="000000"/>
      <w:sz w:val="24"/>
      <w:szCs w:val="24"/>
      <w:u w:val="none"/>
    </w:rPr>
  </w:style>
  <w:style w:type="character" w:customStyle="1" w:styleId="133">
    <w:name w:val="font01"/>
    <w:basedOn w:val="37"/>
    <w:qFormat/>
    <w:uiPriority w:val="0"/>
    <w:rPr>
      <w:rFonts w:hint="eastAsia" w:ascii="宋体" w:hAnsi="宋体" w:eastAsia="宋体" w:cs="宋体"/>
      <w:color w:val="000000"/>
      <w:sz w:val="18"/>
      <w:szCs w:val="18"/>
      <w:u w:val="none"/>
    </w:rPr>
  </w:style>
  <w:style w:type="character" w:customStyle="1" w:styleId="134">
    <w:name w:val="15"/>
    <w:qFormat/>
    <w:uiPriority w:val="0"/>
    <w:rPr>
      <w:rFonts w:hint="eastAsia" w:ascii="微软雅黑" w:hAnsi="微软雅黑" w:eastAsia="微软雅黑"/>
      <w:color w:val="000000"/>
      <w:sz w:val="22"/>
      <w:szCs w:val="22"/>
    </w:rPr>
  </w:style>
  <w:style w:type="paragraph" w:customStyle="1" w:styleId="135">
    <w:name w:val="Fließtext"/>
    <w:basedOn w:val="1"/>
    <w:qFormat/>
    <w:uiPriority w:val="99"/>
    <w:pPr>
      <w:widowControl/>
      <w:ind w:left="1134"/>
      <w:jc w:val="left"/>
    </w:pPr>
    <w:rPr>
      <w:rFonts w:ascii="Arial" w:hAnsi="Arial"/>
      <w:kern w:val="0"/>
      <w:szCs w:val="20"/>
      <w:lang w:val="de-DE" w:eastAsia="de-DE"/>
    </w:rPr>
  </w:style>
  <w:style w:type="table" w:customStyle="1" w:styleId="136">
    <w:name w:val="网格型2"/>
    <w:basedOn w:val="35"/>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7">
    <w:name w:val="font11"/>
    <w:basedOn w:val="37"/>
    <w:qFormat/>
    <w:uiPriority w:val="0"/>
    <w:rPr>
      <w:rFonts w:hint="eastAsia" w:ascii="仿宋" w:hAnsi="仿宋" w:eastAsia="仿宋" w:cs="仿宋"/>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12.png"/><Relationship Id="rId48" Type="http://schemas.openxmlformats.org/officeDocument/2006/relationships/image" Target="media/image11.png"/><Relationship Id="rId47" Type="http://schemas.openxmlformats.org/officeDocument/2006/relationships/image" Target="media/image10.png"/><Relationship Id="rId46" Type="http://schemas.openxmlformats.org/officeDocument/2006/relationships/image" Target="media/image9.png"/><Relationship Id="rId45" Type="http://schemas.openxmlformats.org/officeDocument/2006/relationships/image" Target="media/image8.png"/><Relationship Id="rId44" Type="http://schemas.openxmlformats.org/officeDocument/2006/relationships/image" Target="media/image7.png"/><Relationship Id="rId43" Type="http://schemas.openxmlformats.org/officeDocument/2006/relationships/image" Target="media/image6.png"/><Relationship Id="rId42" Type="http://schemas.openxmlformats.org/officeDocument/2006/relationships/image" Target="media/image5.png"/><Relationship Id="rId41" Type="http://schemas.openxmlformats.org/officeDocument/2006/relationships/image" Target="media/image4.png"/><Relationship Id="rId40" Type="http://schemas.openxmlformats.org/officeDocument/2006/relationships/image" Target="media/image3.png"/><Relationship Id="rId4" Type="http://schemas.openxmlformats.org/officeDocument/2006/relationships/footer" Target="footer2.xml"/><Relationship Id="rId39" Type="http://schemas.openxmlformats.org/officeDocument/2006/relationships/image" Target="media/image2.png"/><Relationship Id="rId38" Type="http://schemas.openxmlformats.org/officeDocument/2006/relationships/image" Target="media/image1.png"/><Relationship Id="rId37" Type="http://schemas.openxmlformats.org/officeDocument/2006/relationships/theme" Target="theme/theme1.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header" Target="header7.xml"/><Relationship Id="rId33" Type="http://schemas.openxmlformats.org/officeDocument/2006/relationships/header" Target="header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79</Pages>
  <Words>22732</Words>
  <Characters>24324</Characters>
  <Lines>2211</Lines>
  <Paragraphs>2240</Paragraphs>
  <TotalTime>129</TotalTime>
  <ScaleCrop>false</ScaleCrop>
  <LinksUpToDate>false</LinksUpToDate>
  <CharactersWithSpaces>44816</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tzc-2021-10</cp:lastModifiedBy>
  <cp:lastPrinted>2022-07-01T03:19:00Z</cp:lastPrinted>
  <dcterms:modified xsi:type="dcterms:W3CDTF">2025-08-28T05:26:06Z</dcterms:modified>
  <cp:revision>138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52318A6CE81343FCB2AE0503DE44D36B_13</vt:lpwstr>
  </property>
  <property fmtid="{D5CDD505-2E9C-101B-9397-08002B2CF9AE}" pid="4" name="KSOTemplateDocerSaveRecord">
    <vt:lpwstr>eyJoZGlkIjoiN2YwOWM0YjY3OWY0MGEyNDM3ZWYyMjNhOTc0MmZhNjEiLCJ1c2VySWQiOiI0MjY5MDg1OTUifQ==</vt:lpwstr>
  </property>
</Properties>
</file>