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color w:val="000000"/>
          <w:sz w:val="30"/>
          <w:szCs w:val="30"/>
        </w:rPr>
      </w:pPr>
      <w:r>
        <w:rPr>
          <w:rFonts w:hint="eastAsia"/>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重庆大足试验车</w:t>
      </w:r>
      <w:r>
        <w:rPr>
          <w:rFonts w:hint="eastAsia" w:ascii="宋体" w:hAnsi="宋体" w:cs="宋体"/>
          <w:b/>
          <w:bCs/>
          <w:color w:val="000000"/>
          <w:spacing w:val="-8"/>
          <w:sz w:val="48"/>
          <w:szCs w:val="44"/>
          <w:lang w:val="en-US" w:eastAsia="zh-CN"/>
        </w:rPr>
        <w:t>用油</w:t>
      </w:r>
      <w:r>
        <w:rPr>
          <w:rFonts w:hint="eastAsia" w:ascii="宋体" w:hAnsi="宋体" w:eastAsia="宋体" w:cs="宋体"/>
          <w:b/>
          <w:bCs/>
          <w:color w:val="000000"/>
          <w:spacing w:val="-8"/>
          <w:sz w:val="48"/>
          <w:szCs w:val="44"/>
          <w:lang w:val="en-US" w:eastAsia="zh-CN"/>
        </w:rPr>
        <w:t>采购</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重庆大足试验车</w:t>
      </w:r>
      <w:r>
        <w:rPr>
          <w:rFonts w:hint="eastAsia" w:ascii="宋体"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采购形式编号：CGZX2025080004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重庆大足试验车</w:t>
      </w:r>
      <w:r>
        <w:rPr>
          <w:rFonts w:hint="eastAsia"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重庆大足试验车</w:t>
      </w:r>
      <w:r>
        <w:rPr>
          <w:rFonts w:hint="eastAsia"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重庆市双桥经开区邮亭镇天堂村4组</w:t>
      </w:r>
      <w:r>
        <w:rPr>
          <w:rFonts w:hint="eastAsia" w:hAnsi="宋体" w:cs="宋体"/>
          <w:color w:val="000000"/>
          <w:sz w:val="24"/>
          <w:szCs w:val="24"/>
          <w:lang w:val="en-US" w:eastAsia="zh-CN"/>
        </w:rPr>
        <w:t>附近</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电汇(外付网银）</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重庆大足试验车用油采购项目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办理加油卡。由中国重汽集团济南动力有限公司指定管理使用人员按照财务制度进行预算上报请款，并通过公对公转账将申请款项打到中标公司账户，圈存到办理的加油卡上进行使用。加油卡余额使用完后，中标公司提供相应的加油明细，经中国重汽集团济南动力有限公司指定管理使用人员确认无误后,中标公司开具金额为实际消费金额 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0"/>
        <w:rPr>
          <w:rFonts w:hint="eastAsia" w:ascii="宋体" w:hAnsi="宋体" w:eastAsia="宋体" w:cs="宋体"/>
          <w:highlight w:val="green"/>
        </w:rPr>
      </w:pPr>
      <w:r>
        <w:rPr>
          <w:rFonts w:hint="eastAsia" w:ascii="宋体" w:hAnsi="宋体" w:eastAsia="宋体" w:cs="宋体"/>
          <w:highlight w:val="green"/>
        </w:rPr>
        <w:t>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w:t>
      </w:r>
      <w:r>
        <w:rPr>
          <w:rFonts w:hint="eastAsia" w:eastAsia="宋体" w:cs="宋体"/>
          <w:lang w:val="en-US" w:eastAsia="zh-CN"/>
        </w:rPr>
        <w:t>根据要求</w:t>
      </w:r>
      <w:r>
        <w:rPr>
          <w:rFonts w:hint="eastAsia" w:ascii="宋体" w:hAnsi="宋体" w:eastAsia="宋体" w:cs="宋体"/>
        </w:rPr>
        <w:t>，进行合理报价。</w:t>
      </w:r>
      <w:r>
        <w:rPr>
          <w:rFonts w:hint="eastAsia" w:ascii="宋体" w:hAnsi="宋体" w:eastAsia="宋体" w:cs="宋体"/>
          <w:highlight w:val="yellow"/>
          <w:lang w:val="en-US" w:eastAsia="zh-CN"/>
        </w:rPr>
        <w:t>柴油</w:t>
      </w:r>
      <w:r>
        <w:rPr>
          <w:rFonts w:hint="eastAsia" w:ascii="宋体" w:hAnsi="宋体" w:eastAsia="宋体" w:cs="宋体"/>
          <w:highlight w:val="yellow"/>
        </w:rPr>
        <w:t>应按比</w:t>
      </w:r>
      <w:r>
        <w:rPr>
          <w:rFonts w:hint="eastAsia" w:ascii="宋体" w:hAnsi="宋体" w:eastAsia="宋体" w:cs="宋体"/>
          <w:highlight w:val="yellow"/>
          <w:lang w:val="en-US" w:eastAsia="zh-CN"/>
        </w:rPr>
        <w:t>政府指导价</w:t>
      </w:r>
      <w:r>
        <w:rPr>
          <w:rFonts w:hint="eastAsia" w:ascii="宋体" w:hAnsi="宋体" w:eastAsia="宋体" w:cs="宋体"/>
          <w:highlight w:val="yellow"/>
        </w:rPr>
        <w:t>优惠××元/</w:t>
      </w:r>
      <w:r>
        <w:rPr>
          <w:rFonts w:hint="eastAsia" w:ascii="宋体" w:hAnsi="宋体" w:eastAsia="宋体" w:cs="宋体"/>
          <w:highlight w:val="yellow"/>
          <w:lang w:val="en-US" w:eastAsia="zh-CN"/>
        </w:rPr>
        <w:t>升</w:t>
      </w:r>
      <w:r>
        <w:rPr>
          <w:rFonts w:hint="eastAsia" w:ascii="宋体" w:hAnsi="宋体" w:eastAsia="宋体" w:cs="宋体"/>
          <w:highlight w:val="yellow"/>
        </w:rPr>
        <w:t>进行报价，并在开标时提供开标日前一天的单价为：××元/</w:t>
      </w:r>
      <w:r>
        <w:rPr>
          <w:rFonts w:hint="eastAsia" w:eastAsia="宋体" w:cs="宋体"/>
          <w:highlight w:val="yellow"/>
          <w:lang w:val="en-US" w:eastAsia="zh-CN"/>
        </w:rPr>
        <w:t>升</w:t>
      </w:r>
      <w:r>
        <w:rPr>
          <w:rFonts w:hint="eastAsia" w:ascii="宋体" w:hAnsi="宋体" w:eastAsia="宋体" w:cs="宋体"/>
          <w:highlight w:val="yellow"/>
        </w:rPr>
        <w:t>，同时提供证明。</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比</w:t>
      </w:r>
      <w:r>
        <w:rPr>
          <w:rFonts w:hint="eastAsia" w:ascii="宋体" w:hAnsi="宋体" w:eastAsia="宋体" w:cs="宋体"/>
          <w:b/>
          <w:u w:val="single"/>
          <w:lang w:val="en-US" w:eastAsia="zh-CN"/>
        </w:rPr>
        <w:t>政府指导价</w:t>
      </w:r>
      <w:r>
        <w:rPr>
          <w:rFonts w:hint="eastAsia" w:ascii="宋体" w:hAnsi="宋体" w:eastAsia="宋体" w:cs="宋体"/>
          <w:b/>
          <w:u w:val="single"/>
        </w:rPr>
        <w:t>优惠××元/</w:t>
      </w:r>
      <w:r>
        <w:rPr>
          <w:rFonts w:hint="eastAsia" w:eastAsia="宋体" w:cs="宋体"/>
          <w:b/>
          <w:u w:val="single"/>
          <w:lang w:val="en-US" w:eastAsia="zh-CN"/>
        </w:rPr>
        <w:t>升</w:t>
      </w:r>
      <w:r>
        <w:rPr>
          <w:rFonts w:hint="eastAsia" w:ascii="宋体" w:hAnsi="宋体" w:eastAsia="宋体" w:cs="宋体"/>
          <w:b/>
          <w:u w:val="single"/>
        </w:rPr>
        <w:t>（人民币）元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woUserID w:val="2"/>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2"/>
        </w:rPr>
        <w:t>8</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woUserID w:val="2"/>
        </w:rPr>
        <w:t>5</w:t>
      </w:r>
      <w:r>
        <w:rPr>
          <w:rFonts w:hint="eastAsia" w:ascii="宋体" w:hAnsi="宋体" w:eastAsia="宋体" w:cs="宋体"/>
          <w:bCs/>
        </w:rPr>
        <w:t>年</w:t>
      </w:r>
      <w:r>
        <w:rPr>
          <w:rFonts w:hint="default" w:eastAsia="宋体" w:cs="宋体"/>
          <w:bCs/>
          <w:woUserID w:val="1"/>
        </w:rPr>
        <w:t>9</w:t>
      </w:r>
      <w:r>
        <w:rPr>
          <w:rFonts w:hint="eastAsia" w:ascii="宋体" w:hAnsi="宋体" w:eastAsia="宋体" w:cs="宋体"/>
          <w:bCs/>
        </w:rPr>
        <w:t>月</w:t>
      </w:r>
      <w:r>
        <w:rPr>
          <w:rFonts w:hint="default" w:eastAsia="宋体" w:cs="宋体"/>
          <w:bCs/>
          <w:woUserID w:val="1"/>
        </w:rPr>
        <w:t>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9</w:t>
      </w:r>
      <w:r>
        <w:rPr>
          <w:rFonts w:hint="eastAsia" w:ascii="宋体" w:hAnsi="宋体" w:eastAsia="宋体" w:cs="宋体"/>
          <w:bCs/>
          <w:woUserID w:val="1"/>
        </w:rPr>
        <w:t>月</w:t>
      </w:r>
      <w:r>
        <w:rPr>
          <w:rFonts w:hint="default" w:eastAsia="宋体" w:cs="宋体"/>
          <w:bCs/>
          <w:woUserID w:val="1"/>
        </w:rPr>
        <w:t>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孟浩</w:t>
      </w:r>
    </w:p>
    <w:p>
      <w:pPr>
        <w:pStyle w:val="78"/>
        <w:ind w:firstLine="480"/>
        <w:rPr>
          <w:rFonts w:hint="default" w:ascii="宋体" w:hAnsi="宋体" w:eastAsia="宋体" w:cs="宋体"/>
          <w:lang w:val="en-US" w:eastAsia="zh-CN"/>
        </w:rPr>
      </w:pPr>
      <w:r>
        <w:rPr>
          <w:rFonts w:hint="eastAsia" w:ascii="宋体" w:hAnsi="宋体" w:eastAsia="宋体" w:cs="宋体"/>
        </w:rPr>
        <w:t>电    话：1</w:t>
      </w:r>
      <w:r>
        <w:rPr>
          <w:rFonts w:hint="eastAsia" w:eastAsia="宋体" w:cs="宋体"/>
          <w:lang w:val="en-US" w:eastAsia="zh-CN"/>
        </w:rPr>
        <w:t>3305459022</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2470953264</w:t>
      </w:r>
      <w:r>
        <w:rPr>
          <w:rFonts w:hint="eastAsia" w:ascii="宋体" w:hAnsi="宋体" w:eastAsia="宋体" w:cs="宋体"/>
        </w:rPr>
        <w:t xml:space="preserve">@qq.com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woUserID w:val="2"/>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2"/>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2"/>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w:t>
      </w:r>
      <w:r>
        <w:rPr>
          <w:rFonts w:hint="default" w:ascii="宋体" w:hAnsi="宋体" w:cs="宋体"/>
          <w:b/>
          <w:sz w:val="24"/>
          <w:szCs w:val="24"/>
          <w:woUserID w:val="2"/>
        </w:rPr>
        <w:t>（技术标评分＞80分）</w:t>
      </w:r>
      <w:r>
        <w:rPr>
          <w:rFonts w:hint="eastAsia" w:ascii="宋体" w:hAnsi="宋体" w:eastAsia="宋体" w:cs="宋体"/>
          <w:b/>
          <w:sz w:val="24"/>
          <w:szCs w:val="24"/>
        </w:rPr>
        <w:t>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jc w:val="center"/>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p>
          <w:p>
            <w:pPr>
              <w:pStyle w:val="82"/>
              <w:jc w:val="both"/>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投标方加油站应优先满足招标方试验车辆的加油需要，并能满足3辆及以上试验车同时加油的需要(但遇国家整体供应调控造成无法保供情形除外)</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投标方所供的货物，必须符合中国最新版的法律、法规和相关标准、规范的要求，符合项目所在地政府有关特殊要求。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exac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tc>
        <w:tc>
          <w:tcPr>
            <w:tcW w:w="1903" w:type="pct"/>
            <w:vMerge w:val="restart"/>
          </w:tcPr>
          <w:p>
            <w:pPr>
              <w:pStyle w:val="82"/>
              <w:rPr>
                <w:rFonts w:hint="eastAsia" w:ascii="宋体" w:hAnsi="宋体" w:eastAsia="宋体" w:cs="宋体"/>
                <w:sz w:val="24"/>
              </w:rPr>
            </w:pPr>
            <w:r>
              <w:rPr>
                <w:rFonts w:hint="eastAsia" w:ascii="宋体" w:hAnsi="宋体" w:cs="宋体"/>
                <w:sz w:val="24"/>
                <w:szCs w:val="24"/>
                <w:lang w:val="en-US" w:eastAsia="zh-CN"/>
              </w:rPr>
              <w:t>投标方应对招标方采购的货物所涉及的技术、产能等信息负有保密义务，招标方拥有追究投标方泄密责任的权利；招标方如有需要，投标方应无条件签署保密协议。</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vMerge w:val="continue"/>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tc>
        <w:tc>
          <w:tcPr>
            <w:tcW w:w="1903" w:type="pct"/>
          </w:tcPr>
          <w:p>
            <w:pPr>
              <w:pStyle w:val="82"/>
              <w:rPr>
                <w:rFonts w:hint="eastAsia" w:ascii="宋体" w:hAnsi="宋体" w:eastAsia="宋体" w:cs="宋体"/>
                <w:sz w:val="24"/>
              </w:rPr>
            </w:pPr>
            <w:r>
              <w:rPr>
                <w:rFonts w:hint="eastAsia" w:ascii="宋体" w:hAnsi="宋体" w:cs="宋体"/>
                <w:sz w:val="24"/>
                <w:szCs w:val="24"/>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r>
              <w:rPr>
                <w:rFonts w:hint="eastAsia" w:ascii="宋体" w:hAnsi="宋体" w:cs="宋体"/>
                <w:sz w:val="24"/>
                <w:szCs w:val="24"/>
                <w:lang w:val="it-IT" w:eastAsia="zh-CN"/>
              </w:rPr>
              <w:t>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执行。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57"/>
        <w:gridCol w:w="2322"/>
        <w:gridCol w:w="1128"/>
        <w:gridCol w:w="1860"/>
        <w:gridCol w:w="1484"/>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857"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货物</w:t>
            </w:r>
          </w:p>
          <w:p>
            <w:pPr>
              <w:pStyle w:val="82"/>
              <w:rPr>
                <w:rFonts w:hint="eastAsia" w:ascii="宋体" w:hAnsi="宋体" w:eastAsia="宋体" w:cs="宋体"/>
                <w:b w:val="0"/>
                <w:bCs/>
                <w:sz w:val="18"/>
                <w:szCs w:val="18"/>
              </w:rPr>
            </w:pPr>
            <w:r>
              <w:rPr>
                <w:rFonts w:hint="eastAsia" w:ascii="宋体" w:hAnsi="宋体" w:eastAsia="宋体" w:cs="宋体"/>
                <w:b w:val="0"/>
                <w:bCs/>
                <w:sz w:val="18"/>
                <w:szCs w:val="18"/>
              </w:rPr>
              <w:t>名称</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预估用量</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优惠后总价</w:t>
            </w:r>
          </w:p>
        </w:tc>
        <w:tc>
          <w:tcPr>
            <w:tcW w:w="1484"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付款方式及比例如何响应</w:t>
            </w:r>
          </w:p>
        </w:tc>
        <w:tc>
          <w:tcPr>
            <w:tcW w:w="1178"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857"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柴油0#</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28.6万升</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rPr>
              <w:t>不含税</w:t>
            </w:r>
            <w:r>
              <w:rPr>
                <w:rFonts w:hint="eastAsia" w:ascii="宋体" w:hAnsi="宋体" w:eastAsia="宋体" w:cs="宋体"/>
                <w:b w:val="0"/>
                <w:bCs/>
                <w:sz w:val="18"/>
                <w:szCs w:val="18"/>
                <w:lang w:val="en-US" w:eastAsia="zh-CN"/>
              </w:rPr>
              <w:t>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eastAsia="zh-CN"/>
              </w:rPr>
              <w:t>，</w:t>
            </w:r>
            <w:r>
              <w:rPr>
                <w:rFonts w:hint="eastAsia" w:ascii="宋体" w:hAnsi="宋体" w:eastAsia="宋体" w:cs="宋体"/>
                <w:b w:val="0"/>
                <w:bCs/>
                <w:sz w:val="18"/>
                <w:szCs w:val="18"/>
                <w:lang w:val="en-US" w:eastAsia="zh-CN"/>
              </w:rPr>
              <w:t>含税总价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484" w:type="dxa"/>
            <w:noWrap w:val="0"/>
            <w:vAlign w:val="center"/>
          </w:tcPr>
          <w:p>
            <w:pPr>
              <w:pStyle w:val="82"/>
              <w:rPr>
                <w:rFonts w:hint="eastAsia" w:ascii="宋体" w:hAnsi="宋体" w:eastAsia="宋体" w:cs="宋体"/>
                <w:b w:val="0"/>
                <w:bCs/>
                <w:sz w:val="18"/>
                <w:szCs w:val="18"/>
              </w:rPr>
            </w:pPr>
          </w:p>
        </w:tc>
        <w:tc>
          <w:tcPr>
            <w:tcW w:w="1178" w:type="dxa"/>
            <w:noWrap w:val="0"/>
            <w:vAlign w:val="center"/>
          </w:tcPr>
          <w:p>
            <w:pPr>
              <w:pStyle w:val="82"/>
              <w:rPr>
                <w:rFonts w:hint="eastAsia" w:ascii="宋体" w:hAnsi="宋体" w:eastAsia="宋体" w:cs="宋体"/>
                <w:b w:val="0"/>
                <w:bCs/>
                <w:sz w:val="18"/>
                <w:szCs w:val="18"/>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w:t>
      </w:r>
      <w:r>
        <w:rPr>
          <w:rFonts w:hint="eastAsia" w:ascii="宋体" w:hAnsi="宋体" w:cs="宋体"/>
          <w:b/>
          <w:bCs/>
          <w:szCs w:val="21"/>
          <w:lang w:val="en-US" w:eastAsia="zh-CN"/>
        </w:rPr>
        <w:t>进行总价计算时，政府指导价请按2025年8月6日价格6.99元/升（含税）进行计算。</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3</w:t>
      </w:r>
      <w:r>
        <w:rPr>
          <w:rFonts w:hint="eastAsia" w:ascii="宋体" w:hAnsi="宋体" w:eastAsia="宋体" w:cs="宋体"/>
          <w:b/>
          <w:bCs/>
          <w:szCs w:val="21"/>
        </w:rPr>
        <w:t>、附件78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4</w:t>
      </w:r>
      <w:r>
        <w:rPr>
          <w:rFonts w:hint="eastAsia" w:ascii="宋体" w:hAnsi="宋体" w:eastAsia="宋体" w:cs="宋体"/>
          <w:b/>
          <w:bCs/>
          <w:szCs w:val="21"/>
        </w:rPr>
        <w:t>、需写明含税价、不含税价格、税率。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5、本项目报价上限为200万元（含税）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7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916"/>
        <w:gridCol w:w="998"/>
        <w:gridCol w:w="895"/>
        <w:gridCol w:w="1123"/>
        <w:gridCol w:w="2843"/>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81" w:hRule="atLeast"/>
          <w:jc w:val="center"/>
        </w:trPr>
        <w:tc>
          <w:tcPr>
            <w:tcW w:w="530"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 号</w:t>
            </w:r>
          </w:p>
        </w:tc>
        <w:tc>
          <w:tcPr>
            <w:tcW w:w="577" w:type="pct"/>
            <w:noWrap w:val="0"/>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货物</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517"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规格</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w:t>
            </w:r>
          </w:p>
        </w:tc>
        <w:tc>
          <w:tcPr>
            <w:tcW w:w="649" w:type="pct"/>
            <w:noWrap w:val="0"/>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预估用</w:t>
            </w:r>
            <w:r>
              <w:rPr>
                <w:rFonts w:hint="eastAsia" w:ascii="宋体" w:hAnsi="宋体" w:eastAsia="宋体" w:cs="宋体"/>
                <w:kern w:val="0"/>
                <w:sz w:val="18"/>
                <w:szCs w:val="18"/>
              </w:rPr>
              <w:t>量</w:t>
            </w:r>
          </w:p>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eastAsia="zh-CN"/>
              </w:rPr>
              <w:t>（</w:t>
            </w:r>
            <w:r>
              <w:rPr>
                <w:rFonts w:hint="eastAsia" w:ascii="宋体" w:hAnsi="宋体" w:cs="宋体"/>
                <w:kern w:val="0"/>
                <w:sz w:val="18"/>
                <w:szCs w:val="18"/>
                <w:lang w:val="en-US" w:eastAsia="zh-CN"/>
              </w:rPr>
              <w:t>万升）</w:t>
            </w:r>
          </w:p>
        </w:tc>
        <w:tc>
          <w:tcPr>
            <w:tcW w:w="1643" w:type="pct"/>
            <w:noWrap w:val="0"/>
            <w:vAlign w:val="center"/>
          </w:tcPr>
          <w:p>
            <w:pPr>
              <w:pStyle w:val="82"/>
              <w:rPr>
                <w:rFonts w:hint="default" w:ascii="宋体" w:hAnsi="宋体" w:eastAsia="宋体" w:cs="宋体"/>
                <w:kern w:val="0"/>
                <w:sz w:val="18"/>
                <w:szCs w:val="18"/>
                <w:lang w:val="en-US" w:eastAsia="zh-CN"/>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079"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577"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柴油</w:t>
            </w:r>
          </w:p>
        </w:tc>
        <w:tc>
          <w:tcPr>
            <w:tcW w:w="517"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649"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28.6</w:t>
            </w:r>
          </w:p>
        </w:tc>
        <w:tc>
          <w:tcPr>
            <w:tcW w:w="1643" w:type="pct"/>
            <w:noWrap w:val="0"/>
            <w:vAlign w:val="center"/>
          </w:tcPr>
          <w:p>
            <w:pPr>
              <w:pStyle w:val="82"/>
              <w:rPr>
                <w:rFonts w:hint="eastAsia" w:ascii="宋体" w:hAnsi="宋体" w:eastAsia="宋体" w:cs="宋体"/>
                <w:kern w:val="0"/>
                <w:sz w:val="18"/>
                <w:szCs w:val="18"/>
                <w:lang w:val="en-US" w:eastAsia="zh-CN"/>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079" w:type="pct"/>
            <w:noWrap w:val="0"/>
            <w:vAlign w:val="center"/>
          </w:tcPr>
          <w:p>
            <w:pPr>
              <w:widowControl/>
              <w:jc w:val="center"/>
              <w:rPr>
                <w:rFonts w:hint="eastAsia" w:ascii="宋体" w:hAnsi="宋体" w:eastAsia="宋体" w:cs="宋体"/>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38"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bl>
    <w:p>
      <w:pPr>
        <w:pStyle w:val="78"/>
        <w:ind w:left="0" w:leftChars="0" w:firstLine="0" w:firstLineChars="0"/>
        <w:rPr>
          <w:rFonts w:hint="eastAsia" w:ascii="宋体" w:hAnsi="宋体" w:eastAsia="宋体" w:cs="宋体"/>
          <w:b/>
        </w:r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是否偏离</w:t>
            </w:r>
          </w:p>
          <w:p>
            <w:pPr>
              <w:pStyle w:val="82"/>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交货时间及地点</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按合同要求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r>
              <w:rPr>
                <w:rFonts w:hint="eastAsia" w:ascii="宋体" w:hAnsi="宋体" w:eastAsia="宋体" w:cs="宋体"/>
                <w:color w:val="000000"/>
                <w:kern w:val="2"/>
                <w:sz w:val="24"/>
                <w:szCs w:val="24"/>
                <w:lang w:val="en-US" w:eastAsia="zh-CN" w:bidi="ar-SA"/>
              </w:rPr>
              <w:t>银行转账</w:t>
            </w:r>
          </w:p>
        </w:tc>
        <w:tc>
          <w:tcPr>
            <w:tcW w:w="1593"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按技术协议书要求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4"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服务</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default" w:ascii="宋体" w:hAnsi="宋体" w:eastAsia="宋体" w:cs="宋体"/>
                <w:bCs/>
                <w:szCs w:val="21"/>
                <w:lang w:val="en-US" w:eastAsia="zh-CN"/>
              </w:rPr>
            </w:pPr>
            <w:r>
              <w:rPr>
                <w:rFonts w:hint="eastAsia" w:ascii="宋体" w:hAnsi="宋体" w:eastAsia="宋体" w:cs="宋体"/>
                <w:bCs/>
                <w:szCs w:val="21"/>
                <w:lang w:val="en-US" w:eastAsia="zh-CN"/>
              </w:rPr>
              <w:t>1.投标方加油站应优先满足招标方试验车辆的加油需要，并能满足3辆及以上试验车同时加油的需要(但遇国家整体供应调控造成无法保供情形除外)。0-10分。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2.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3.投标方所供的货物，必须符合中国最新版的法律、法规和相关标准、规范的要求，符合项目所在地政府有关特殊要求。0-10分。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4.投标方应对招标方采购的货物所涉及的技术、产能等信息负有保密义务，招标方拥有追究投标方泄密责任的权利；招标方如有需要，投标方应无条件签署保密协议。0-10分。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5.</w:t>
            </w:r>
            <w:r>
              <w:rPr>
                <w:rFonts w:hint="eastAsia" w:ascii="宋体" w:hAnsi="宋体" w:eastAsia="宋体" w:cs="宋体"/>
                <w:bCs/>
                <w:szCs w:val="21"/>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r>
              <w:rPr>
                <w:rFonts w:hint="eastAsia" w:ascii="宋体" w:hAnsi="宋体" w:eastAsia="宋体" w:cs="宋体"/>
                <w:bCs/>
                <w:szCs w:val="21"/>
                <w:lang w:val="en-US" w:eastAsia="zh-CN"/>
              </w:rPr>
              <w:t>0-10分。</w:t>
            </w:r>
          </w:p>
          <w:p>
            <w:pPr>
              <w:spacing w:line="360" w:lineRule="auto"/>
              <w:rPr>
                <w:rFonts w:hint="eastAsia" w:ascii="宋体" w:hAnsi="宋体" w:eastAsia="宋体" w:cs="宋体"/>
                <w:szCs w:val="21"/>
              </w:rPr>
            </w:pPr>
            <w:r>
              <w:rPr>
                <w:rFonts w:hint="eastAsia" w:ascii="宋体" w:hAnsi="宋体" w:eastAsia="宋体" w:cs="宋体"/>
                <w:bCs/>
                <w:szCs w:val="21"/>
                <w:lang w:val="en-US" w:eastAsia="zh-CN"/>
              </w:rPr>
              <w:t>6.</w:t>
            </w:r>
            <w:r>
              <w:rPr>
                <w:rFonts w:hint="eastAsia" w:ascii="宋体" w:hAnsi="宋体" w:eastAsia="宋体" w:cs="宋体"/>
                <w:bCs/>
                <w:szCs w:val="21"/>
                <w:lang w:val="it-IT" w:eastAsia="zh-CN"/>
              </w:rPr>
              <w:t>定价方式：可以根据国家规定的调价时间进行价格</w:t>
            </w:r>
            <w:r>
              <w:rPr>
                <w:rFonts w:hint="eastAsia" w:ascii="宋体" w:hAnsi="宋体" w:eastAsia="宋体" w:cs="宋体"/>
                <w:bCs/>
                <w:szCs w:val="21"/>
                <w:lang w:val="en-US" w:eastAsia="zh-CN"/>
              </w:rPr>
              <w:t>浮动</w:t>
            </w:r>
            <w:r>
              <w:rPr>
                <w:rFonts w:hint="eastAsia" w:ascii="宋体" w:hAnsi="宋体" w:eastAsia="宋体" w:cs="宋体"/>
                <w:bCs/>
                <w:szCs w:val="21"/>
                <w:lang w:val="it-IT" w:eastAsia="zh-CN"/>
              </w:rPr>
              <w:t>调整，但</w:t>
            </w:r>
            <w:r>
              <w:rPr>
                <w:rFonts w:hint="eastAsia" w:ascii="宋体" w:hAnsi="宋体" w:eastAsia="宋体" w:cs="宋体"/>
                <w:bCs/>
                <w:szCs w:val="21"/>
                <w:lang w:val="en-US" w:eastAsia="zh-CN"/>
              </w:rPr>
              <w:t>给与招标方的</w:t>
            </w:r>
            <w:r>
              <w:rPr>
                <w:rFonts w:hint="eastAsia" w:ascii="宋体" w:hAnsi="宋体" w:eastAsia="宋体" w:cs="宋体"/>
                <w:bCs/>
                <w:szCs w:val="21"/>
                <w:lang w:val="it-IT" w:eastAsia="zh-CN"/>
              </w:rPr>
              <w:t>优惠</w:t>
            </w:r>
            <w:r>
              <w:rPr>
                <w:rFonts w:hint="eastAsia" w:ascii="宋体" w:hAnsi="宋体" w:eastAsia="宋体" w:cs="宋体"/>
                <w:bCs/>
                <w:szCs w:val="21"/>
                <w:lang w:val="en-US" w:eastAsia="zh-CN"/>
              </w:rPr>
              <w:t>需按合同正常</w:t>
            </w:r>
            <w:r>
              <w:rPr>
                <w:rFonts w:hint="eastAsia" w:ascii="宋体" w:hAnsi="宋体" w:eastAsia="宋体" w:cs="宋体"/>
                <w:bCs/>
                <w:szCs w:val="21"/>
                <w:lang w:val="it-IT" w:eastAsia="zh-CN"/>
              </w:rPr>
              <w:t>执行。</w:t>
            </w:r>
            <w:r>
              <w:rPr>
                <w:rFonts w:hint="eastAsia" w:ascii="宋体" w:hAnsi="宋体" w:eastAsia="宋体" w:cs="宋体"/>
                <w:bCs/>
                <w:szCs w:val="21"/>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便利性</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lang w:eastAsia="zh-CN"/>
              </w:rPr>
              <w:t>投标方</w:t>
            </w:r>
            <w:r>
              <w:rPr>
                <w:rFonts w:hint="eastAsia" w:ascii="宋体" w:hAnsi="宋体" w:eastAsia="宋体" w:cs="宋体"/>
                <w:bCs/>
                <w:sz w:val="21"/>
                <w:szCs w:val="21"/>
                <w:lang w:val="en-US" w:eastAsia="zh-CN"/>
              </w:rPr>
              <w:t>加油站到招标方</w:t>
            </w:r>
            <w:r>
              <w:rPr>
                <w:rFonts w:hint="eastAsia" w:ascii="宋体" w:hAnsi="宋体" w:eastAsia="宋体" w:cs="宋体"/>
                <w:bCs/>
                <w:sz w:val="21"/>
                <w:szCs w:val="21"/>
              </w:rPr>
              <w:t>驻地所在地</w:t>
            </w:r>
            <w:r>
              <w:rPr>
                <w:rFonts w:hint="eastAsia" w:ascii="宋体" w:hAnsi="宋体" w:eastAsia="宋体" w:cs="宋体"/>
                <w:bCs/>
                <w:sz w:val="21"/>
                <w:szCs w:val="21"/>
                <w:lang w:eastAsia="zh-CN"/>
              </w:rPr>
              <w:t>（</w:t>
            </w:r>
            <w:r>
              <w:rPr>
                <w:rFonts w:hint="eastAsia" w:ascii="宋体" w:hAnsi="宋体" w:eastAsia="宋体" w:cs="宋体"/>
                <w:bCs/>
                <w:sz w:val="21"/>
                <w:szCs w:val="21"/>
              </w:rPr>
              <w:t>重庆市双桥经开区邮亭镇</w:t>
            </w:r>
            <w:r>
              <w:rPr>
                <w:rFonts w:hint="eastAsia" w:ascii="宋体" w:hAnsi="宋体" w:eastAsia="宋体" w:cs="宋体"/>
                <w:bCs/>
                <w:sz w:val="21"/>
                <w:szCs w:val="21"/>
                <w:lang w:val="en-US" w:eastAsia="zh-CN"/>
              </w:rPr>
              <w:t>中国汽车工程研究院大足试验基地）</w:t>
            </w:r>
            <w:r>
              <w:rPr>
                <w:rFonts w:hint="eastAsia" w:ascii="宋体" w:hAnsi="宋体" w:eastAsia="宋体" w:cs="宋体"/>
                <w:bCs/>
                <w:sz w:val="21"/>
                <w:szCs w:val="21"/>
              </w:rPr>
              <w:t>的实际行车距离</w:t>
            </w:r>
            <w:r>
              <w:rPr>
                <w:rFonts w:hint="eastAsia" w:ascii="宋体" w:hAnsi="宋体" w:eastAsia="宋体" w:cs="宋体"/>
                <w:bCs/>
                <w:sz w:val="21"/>
                <w:szCs w:val="21"/>
                <w:lang w:val="en-US" w:eastAsia="zh-CN"/>
              </w:rPr>
              <w:t>。0-20分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b w:val="0"/>
                <w:bCs/>
                <w:color w:val="000000"/>
                <w:sz w:val="21"/>
                <w:szCs w:val="21"/>
              </w:rPr>
              <w:t>同类项目业绩证明</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rPr>
              <w:t>企业近三年以来已交付使用的与本次招标项目类似产品的业绩。0-</w:t>
            </w:r>
            <w:r>
              <w:rPr>
                <w:rFonts w:hint="eastAsia" w:ascii="宋体" w:hAnsi="宋体" w:cs="宋体"/>
                <w:bCs/>
                <w:sz w:val="21"/>
                <w:szCs w:val="21"/>
                <w:lang w:val="en-US" w:eastAsia="zh-CN"/>
              </w:rPr>
              <w:t>10</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rPr>
              <w:t>投标</w:t>
            </w:r>
            <w:r>
              <w:rPr>
                <w:rFonts w:hint="eastAsia" w:ascii="宋体" w:hAnsi="宋体" w:cs="宋体"/>
                <w:bCs/>
                <w:sz w:val="21"/>
                <w:szCs w:val="21"/>
                <w:lang w:val="en-US" w:eastAsia="zh-CN"/>
              </w:rPr>
              <w:t>方</w:t>
            </w:r>
            <w:r>
              <w:rPr>
                <w:rFonts w:hint="eastAsia" w:ascii="宋体" w:hAnsi="宋体" w:eastAsia="宋体" w:cs="宋体"/>
                <w:bCs/>
                <w:sz w:val="21"/>
                <w:szCs w:val="21"/>
              </w:rPr>
              <w:t>代表对方案、技术优势的讲解，以及就该项目难点回答评标专家现场提问</w:t>
            </w:r>
            <w:r>
              <w:rPr>
                <w:rFonts w:hint="eastAsia" w:ascii="宋体" w:hAnsi="宋体" w:cs="宋体"/>
                <w:sz w:val="21"/>
                <w:szCs w:val="21"/>
                <w:lang w:val="en-US" w:eastAsia="zh-CN"/>
              </w:rPr>
              <w:t>。</w:t>
            </w:r>
            <w:r>
              <w:rPr>
                <w:rFonts w:hint="eastAsia" w:ascii="宋体" w:hAnsi="宋体" w:eastAsia="宋体" w:cs="宋体"/>
                <w:bCs/>
                <w:sz w:val="21"/>
                <w:szCs w:val="21"/>
              </w:rPr>
              <w:t>0-10分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重庆大足试验车</w:t>
      </w:r>
      <w:r>
        <w:rPr>
          <w:rFonts w:hint="eastAsia" w:ascii="宋体" w:hAnsi="宋体" w:cs="宋体"/>
          <w:color w:val="000000"/>
          <w:sz w:val="24"/>
          <w:szCs w:val="24"/>
          <w:u w:val="single"/>
          <w:lang w:val="en-US" w:eastAsia="zh-CN"/>
        </w:rPr>
        <w:t>用油</w:t>
      </w:r>
      <w:r>
        <w:rPr>
          <w:rFonts w:hint="eastAsia" w:ascii="宋体" w:hAnsi="宋体" w:eastAsia="宋体" w:cs="宋体"/>
          <w:color w:val="000000"/>
          <w:sz w:val="24"/>
          <w:szCs w:val="24"/>
          <w:u w:val="single"/>
          <w:lang w:val="en-US" w:eastAsia="zh-CN"/>
        </w:rPr>
        <w:t>采购</w:t>
      </w:r>
      <w:r>
        <w:rPr>
          <w:rFonts w:hint="eastAsia" w:ascii="宋体" w:hAnsi="宋体" w:cs="宋体"/>
          <w:color w:val="000000"/>
          <w:sz w:val="24"/>
          <w:szCs w:val="24"/>
          <w:u w:val="single"/>
          <w:lang w:val="en-US" w:eastAsia="zh-CN"/>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重庆市大足区邮亭镇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047"/>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名称</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型号规格</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柴油</w:t>
            </w:r>
          </w:p>
        </w:tc>
        <w:tc>
          <w:tcPr>
            <w:tcW w:w="2047" w:type="dxa"/>
            <w:noWrap w:val="0"/>
            <w:vAlign w:val="center"/>
          </w:tcPr>
          <w:p>
            <w:pPr>
              <w:spacing w:line="360" w:lineRule="exac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柴油0#</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升</w:t>
            </w:r>
          </w:p>
        </w:tc>
      </w:tr>
    </w:tbl>
    <w:p>
      <w:pPr>
        <w:pStyle w:val="80"/>
        <w:rPr>
          <w:rFonts w:hint="eastAsia" w:ascii="宋体" w:hAnsi="宋体" w:eastAsia="宋体" w:cs="宋体"/>
        </w:rPr>
      </w:pP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lang w:bidi="ar"/>
        </w:rPr>
      </w:pPr>
      <w:bookmarkStart w:id="23" w:name="_Toc490750820"/>
      <w:bookmarkStart w:id="24" w:name="_Toc31558"/>
      <w:bookmarkStart w:id="25" w:name="_Toc385411768"/>
      <w:bookmarkStart w:id="26" w:name="_Toc10152"/>
      <w:bookmarkStart w:id="27" w:name="_Toc24049"/>
      <w:bookmarkStart w:id="28" w:name="_Toc26699"/>
      <w:r>
        <w:rPr>
          <w:rFonts w:hint="eastAsia" w:ascii="宋体" w:hAnsi="宋体" w:cs="宋体"/>
          <w:sz w:val="24"/>
          <w:szCs w:val="24"/>
          <w:lang w:val="en-US" w:eastAsia="zh-CN"/>
        </w:rPr>
        <w:t>1.</w:t>
      </w:r>
      <w:r>
        <w:rPr>
          <w:rFonts w:hint="eastAsia" w:ascii="宋体" w:hAnsi="宋体" w:cs="宋体"/>
          <w:sz w:val="24"/>
          <w:szCs w:val="24"/>
          <w:lang w:eastAsia="zh-CN" w:bidi="ar"/>
        </w:rPr>
        <w:t>投标方</w:t>
      </w:r>
      <w:r>
        <w:rPr>
          <w:rFonts w:hint="eastAsia" w:ascii="宋体" w:hAnsi="宋体" w:eastAsia="宋体" w:cs="宋体"/>
          <w:sz w:val="24"/>
          <w:szCs w:val="24"/>
          <w:lang w:bidi="ar"/>
        </w:rPr>
        <w:t>应按合同约定的履行地点(即:到</w:t>
      </w:r>
      <w:r>
        <w:rPr>
          <w:rFonts w:hint="eastAsia" w:ascii="宋体" w:hAnsi="宋体" w:cs="宋体"/>
          <w:sz w:val="24"/>
          <w:szCs w:val="24"/>
          <w:lang w:eastAsia="zh-CN" w:bidi="ar"/>
        </w:rPr>
        <w:t>招标方</w:t>
      </w:r>
      <w:r>
        <w:rPr>
          <w:rFonts w:hint="eastAsia" w:ascii="宋体" w:hAnsi="宋体" w:eastAsia="宋体" w:cs="宋体"/>
          <w:sz w:val="24"/>
          <w:szCs w:val="24"/>
          <w:lang w:bidi="ar"/>
        </w:rPr>
        <w:t>重庆大足试验点驻地所在地的实际行车距离≤</w:t>
      </w:r>
      <w:r>
        <w:rPr>
          <w:rFonts w:hint="eastAsia" w:ascii="宋体" w:hAnsi="宋体" w:cs="宋体"/>
          <w:sz w:val="24"/>
          <w:szCs w:val="24"/>
          <w:lang w:val="en-US" w:eastAsia="zh-CN" w:bidi="ar"/>
        </w:rPr>
        <w:t>1</w:t>
      </w:r>
      <w:r>
        <w:rPr>
          <w:rFonts w:hint="eastAsia" w:ascii="宋体" w:hAnsi="宋体" w:eastAsia="宋体" w:cs="宋体"/>
          <w:sz w:val="24"/>
          <w:szCs w:val="24"/>
          <w:lang w:bidi="ar"/>
        </w:rPr>
        <w:t>km 的</w:t>
      </w:r>
      <w:r>
        <w:rPr>
          <w:rFonts w:hint="eastAsia" w:ascii="宋体" w:hAnsi="宋体" w:cs="宋体"/>
          <w:sz w:val="24"/>
          <w:szCs w:val="24"/>
          <w:lang w:eastAsia="zh-CN" w:bidi="ar"/>
        </w:rPr>
        <w:t>投标方</w:t>
      </w:r>
      <w:r>
        <w:rPr>
          <w:rFonts w:hint="eastAsia" w:ascii="宋体" w:hAnsi="宋体" w:eastAsia="宋体" w:cs="宋体"/>
          <w:sz w:val="24"/>
          <w:szCs w:val="24"/>
          <w:lang w:bidi="ar"/>
        </w:rPr>
        <w:t>加油站位置: 重庆市双桥经开区邮亭镇天堂村4组)组织试验车辆完成加油。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2.投标方应按时为招标方提供满足使用要求的合格柴油。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3.投标方加油站应优先满足招标方试验车辆的加油需要，并能满足 5辆及以上试验车同时加油的需要(但遇国家整体供应调控造成无法保供情形除外)。</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应按其向招标方所承诺的提供以下服务:1)油量统计。为车辆提供包括加油时间、地点、油量进行每日、每月的单车数据统计和全部车辆的汇总统计。2)费用统计。根据当期重庆市成品油调控价，提供车辆每日、每月的单车数据统计和全部车辆的汇总统计。3)加油功能锁止。油卡功能只保留加油项目，不得开放购买其他物品功能。4)投标方提供的加油明细需体现当日其对外市场价和承诺给重汽的优惠后的价格各是多少。</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5.投标方可以根据国家发改委等政府部门规定的成品油调价时间对价格进行同步调整，但单价优惠幅度不得低于第4条的约定。</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6.投标方所供的货物，必须符合中国最新版的法律、法规和相关标准、规范的要求，符合项目所在地政府有关特殊要求。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7.投标方所供货物涉及的专利权技术以及知识产权保护的其它技术等，应保证招标方不因此受到任何侵权指控以及实际损失。</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8.投标方应保证所供货物的先进性、可靠性、经济性和实用性，并为全新货物（或设备）。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9.投标方应满足招标方提出的各项技术要求，必要时应当免费提供技术承诺或担保。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10.投标方应保证所供货物（或设备）为中国政府指定或规定的主管部门公布的非淘汰货物（或设备），并尽力提供中国政府指定或规定的主管部门认可的环保型和节能型货物（或设备）。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11.投标方应保证所供货物的完整性和成套性，提供货物便携转运箱，能保证货物的正常运行、使用。</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12.投标方应对招标方采购的货物所涉及的技术、产能等信息负有保密义务，招标方拥有追究投标方泄密责任的权利；招标方如有需要，投标方应无条件签署保密协议。</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等线" w:hAnsi="等线" w:eastAsia="等线" w:cs="等线"/>
          <w:b/>
          <w:color w:val="000000"/>
          <w:sz w:val="24"/>
          <w:szCs w:val="24"/>
        </w:rPr>
      </w:pPr>
      <w:bookmarkStart w:id="29" w:name="_Toc465187641"/>
      <w:bookmarkStart w:id="30" w:name="_Toc283814116"/>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1 所供柴油必须满足GB 19147-2016中表3车用柴油(VI)技术要求，并定期提供油品相关证明材料。买方可随时对卖方所供油品进行抽样检测，若发现检测不合格，第一次罚款5000元，并赔偿由油品质量问题对买方试验车辆造成的损失；第二次检测不合格，暂停柴油供应。</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2 以方便</w:t>
      </w:r>
      <w:r>
        <w:rPr>
          <w:rFonts w:hint="eastAsia" w:ascii="宋体" w:hAnsi="宋体" w:cs="宋体"/>
          <w:sz w:val="24"/>
          <w:szCs w:val="24"/>
          <w:lang w:val="en-US" w:eastAsia="zh-CN"/>
        </w:rPr>
        <w:t>重庆大足试验点</w:t>
      </w:r>
      <w:r>
        <w:rPr>
          <w:rFonts w:hint="eastAsia" w:ascii="宋体" w:hAnsi="宋体" w:cs="宋体"/>
          <w:sz w:val="24"/>
          <w:szCs w:val="24"/>
          <w:lang w:val="it-IT" w:eastAsia="zh-CN"/>
        </w:rPr>
        <w:t>试验车辆加油为前提，可通过试验车辆自行到加油站加油的方式进行供油。</w:t>
      </w:r>
      <w:r>
        <w:rPr>
          <w:rFonts w:hint="eastAsia" w:ascii="宋体" w:hAnsi="宋体" w:cs="宋体"/>
          <w:sz w:val="24"/>
          <w:szCs w:val="24"/>
          <w:lang w:val="en-US" w:eastAsia="zh-CN"/>
        </w:rPr>
        <w:t>投标方</w:t>
      </w:r>
      <w:r>
        <w:rPr>
          <w:rFonts w:hint="eastAsia" w:ascii="宋体" w:hAnsi="宋体" w:cs="宋体"/>
          <w:sz w:val="24"/>
          <w:szCs w:val="24"/>
          <w:lang w:val="it-IT" w:eastAsia="zh-CN"/>
        </w:rPr>
        <w:t>需提供相关加油计量设备，并提供检定合格证明。</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 xml:space="preserve">*3 </w:t>
      </w:r>
      <w:r>
        <w:rPr>
          <w:rFonts w:hint="eastAsia" w:ascii="宋体" w:hAnsi="宋体" w:cs="宋体"/>
          <w:sz w:val="24"/>
          <w:szCs w:val="24"/>
          <w:lang w:val="it-IT" w:eastAsia="zh-CN"/>
        </w:rPr>
        <w:t>采用试验车辆自行到加油站加油的方式供油，加油站到基地出入口的距离需≤</w:t>
      </w:r>
      <w:r>
        <w:rPr>
          <w:rFonts w:hint="eastAsia" w:ascii="宋体" w:hAnsi="宋体" w:cs="宋体"/>
          <w:sz w:val="24"/>
          <w:szCs w:val="24"/>
          <w:lang w:val="en-US" w:eastAsia="zh-CN"/>
        </w:rPr>
        <w:t>1</w:t>
      </w:r>
      <w:r>
        <w:rPr>
          <w:rFonts w:hint="eastAsia" w:ascii="宋体" w:hAnsi="宋体" w:cs="宋体"/>
          <w:sz w:val="24"/>
          <w:szCs w:val="24"/>
          <w:lang w:val="it-IT" w:eastAsia="zh-CN"/>
        </w:rPr>
        <w:t>km，基地到加油站的交通状况应良好（路口少、社会车辆少、最好无交通信号灯），加油站应能满足汽车列车加油的需要，且能满足</w:t>
      </w:r>
      <w:r>
        <w:rPr>
          <w:rFonts w:hint="eastAsia" w:ascii="宋体" w:hAnsi="宋体" w:cs="宋体"/>
          <w:sz w:val="24"/>
          <w:szCs w:val="24"/>
          <w:lang w:val="en-US" w:eastAsia="zh-CN"/>
        </w:rPr>
        <w:t>5</w:t>
      </w:r>
      <w:r>
        <w:rPr>
          <w:rFonts w:hint="eastAsia" w:ascii="宋体" w:hAnsi="宋体" w:cs="宋体"/>
          <w:sz w:val="24"/>
          <w:szCs w:val="24"/>
          <w:lang w:val="it-IT" w:eastAsia="zh-CN"/>
        </w:rPr>
        <w:t>辆及以上试验车同时加油的需要；加油站应协调与当地交警、路政的关系，保证试验车辆通过顺畅，</w:t>
      </w:r>
      <w:r>
        <w:rPr>
          <w:rFonts w:hint="eastAsia" w:ascii="宋体" w:hAnsi="宋体" w:cs="宋体"/>
          <w:sz w:val="24"/>
          <w:szCs w:val="24"/>
          <w:lang w:val="en-US" w:eastAsia="zh-CN"/>
        </w:rPr>
        <w:t>并能在发生交通事故时协助出面处理事故，</w:t>
      </w:r>
      <w:r>
        <w:rPr>
          <w:rFonts w:hint="eastAsia" w:ascii="宋体" w:hAnsi="宋体" w:cs="宋体"/>
          <w:sz w:val="24"/>
          <w:szCs w:val="24"/>
          <w:lang w:val="it-IT" w:eastAsia="zh-CN"/>
        </w:rPr>
        <w:t>附</w:t>
      </w:r>
      <w:r>
        <w:rPr>
          <w:rFonts w:hint="eastAsia" w:ascii="宋体" w:hAnsi="宋体" w:cs="宋体"/>
          <w:sz w:val="24"/>
          <w:szCs w:val="24"/>
          <w:lang w:val="en-US" w:eastAsia="zh-CN"/>
        </w:rPr>
        <w:t>重庆大足试验点驻地及试验场地</w:t>
      </w:r>
      <w:r>
        <w:rPr>
          <w:rFonts w:hint="eastAsia" w:ascii="宋体" w:hAnsi="宋体" w:cs="宋体"/>
          <w:sz w:val="24"/>
          <w:szCs w:val="24"/>
          <w:lang w:val="it-IT" w:eastAsia="zh-CN"/>
        </w:rPr>
        <w:t>位置照片</w:t>
      </w:r>
      <w:r>
        <w:rPr>
          <w:rFonts w:hint="eastAsia" w:ascii="宋体" w:hAnsi="宋体" w:cs="宋体"/>
          <w:sz w:val="24"/>
          <w:szCs w:val="24"/>
          <w:lang w:val="en-US" w:eastAsia="zh-CN"/>
        </w:rPr>
        <w:t>（重庆市大足区邮亭镇宋家坡 中国汽车工程研究院股份有限公司大足试验基地）</w:t>
      </w:r>
    </w:p>
    <w:p>
      <w:pPr>
        <w:spacing w:line="360" w:lineRule="auto"/>
        <w:ind w:firstLine="480" w:firstLineChars="200"/>
        <w:jc w:val="left"/>
        <w:rPr>
          <w:rFonts w:hint="eastAsia" w:ascii="宋体" w:hAnsi="宋体" w:cs="宋体"/>
          <w:sz w:val="24"/>
          <w:szCs w:val="24"/>
          <w:lang w:val="it-IT" w:eastAsia="zh-CN"/>
        </w:rPr>
      </w:pPr>
    </w:p>
    <w:p>
      <w:pPr>
        <w:spacing w:line="360" w:lineRule="auto"/>
        <w:ind w:firstLine="480" w:firstLineChars="200"/>
        <w:jc w:val="left"/>
        <w:rPr>
          <w:rFonts w:hint="eastAsia" w:ascii="宋体" w:hAnsi="宋体" w:cs="宋体"/>
          <w:sz w:val="24"/>
          <w:szCs w:val="24"/>
          <w:lang w:val="it-IT" w:eastAsia="zh-CN"/>
        </w:rPr>
      </w:pPr>
    </w:p>
    <w:p>
      <w:pPr>
        <w:spacing w:line="360" w:lineRule="auto"/>
        <w:ind w:firstLine="480" w:firstLineChars="200"/>
        <w:jc w:val="center"/>
        <w:rPr>
          <w:rFonts w:hint="eastAsia" w:ascii="宋体" w:hAnsi="宋体" w:cs="宋体"/>
          <w:sz w:val="24"/>
          <w:szCs w:val="24"/>
          <w:lang w:val="it-IT" w:eastAsia="zh-CN"/>
        </w:rPr>
      </w:pPr>
      <w:bookmarkStart w:id="31" w:name="_GoBack"/>
      <w:r>
        <w:rPr>
          <w:rFonts w:hint="eastAsia" w:ascii="宋体" w:hAnsi="宋体" w:cs="宋体"/>
          <w:sz w:val="24"/>
          <w:szCs w:val="24"/>
          <w:lang w:val="it-IT" w:eastAsia="zh-CN"/>
        </w:rPr>
        <w:drawing>
          <wp:inline distT="0" distB="0" distL="114300" distR="114300">
            <wp:extent cx="2433955" cy="5004435"/>
            <wp:effectExtent l="0" t="0" r="4445" b="9525"/>
            <wp:docPr id="5" name="图片 5" descr="C:/Users/Administrator/Desktop/b3eb511e69c90d7baa8649f0f71cac1.pngb3eb511e69c90d7baa8649f0f71c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b3eb511e69c90d7baa8649f0f71cac1.pngb3eb511e69c90d7baa8649f0f71cac1"/>
                    <pic:cNvPicPr>
                      <a:picLocks noChangeAspect="1"/>
                    </pic:cNvPicPr>
                  </pic:nvPicPr>
                  <pic:blipFill>
                    <a:blip r:embed="rId26"/>
                    <a:srcRect t="2570" b="2570"/>
                    <a:stretch>
                      <a:fillRect/>
                    </a:stretch>
                  </pic:blipFill>
                  <pic:spPr>
                    <a:xfrm>
                      <a:off x="0" y="0"/>
                      <a:ext cx="2433955" cy="5004435"/>
                    </a:xfrm>
                    <a:prstGeom prst="rect">
                      <a:avLst/>
                    </a:prstGeom>
                  </pic:spPr>
                </pic:pic>
              </a:graphicData>
            </a:graphic>
          </wp:inline>
        </w:drawing>
      </w:r>
      <w:bookmarkEnd w:id="31"/>
    </w:p>
    <w:p>
      <w:pPr>
        <w:spacing w:line="360" w:lineRule="auto"/>
        <w:ind w:firstLine="420" w:firstLineChars="200"/>
        <w:jc w:val="center"/>
        <w:rPr>
          <w:rFonts w:hint="eastAsia" w:ascii="宋体" w:hAnsi="宋体" w:cs="宋体"/>
          <w:sz w:val="21"/>
          <w:szCs w:val="21"/>
          <w:lang w:val="en-US" w:eastAsia="zh-CN"/>
        </w:rPr>
      </w:pPr>
      <w:r>
        <w:rPr>
          <w:rFonts w:hint="eastAsia" w:ascii="宋体" w:hAnsi="宋体" w:cs="宋体"/>
          <w:sz w:val="21"/>
          <w:szCs w:val="21"/>
          <w:lang w:val="it-IT" w:eastAsia="zh-CN"/>
        </w:rPr>
        <w:t>照片1 重庆大足试验点驻地及试验场地位置</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*4</w:t>
      </w:r>
      <w:r>
        <w:rPr>
          <w:rFonts w:hint="eastAsia" w:ascii="宋体" w:hAnsi="宋体" w:cs="宋体"/>
          <w:sz w:val="24"/>
          <w:szCs w:val="24"/>
          <w:lang w:val="it-IT" w:eastAsia="zh-CN"/>
        </w:rPr>
        <w:t xml:space="preserve"> 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调整，但同期价格不得高于中石化、中石油在售同类油品的市场价格</w:t>
      </w:r>
      <w:r>
        <w:rPr>
          <w:rFonts w:hint="eastAsia" w:ascii="宋体" w:hAnsi="宋体" w:cs="宋体"/>
          <w:sz w:val="24"/>
          <w:szCs w:val="24"/>
          <w:lang w:val="en-US" w:eastAsia="zh-CN"/>
        </w:rPr>
        <w:t>且</w:t>
      </w:r>
      <w:r>
        <w:rPr>
          <w:rFonts w:hint="eastAsia" w:ascii="宋体" w:hAnsi="宋体" w:cs="宋体"/>
          <w:sz w:val="24"/>
          <w:szCs w:val="24"/>
          <w:lang w:val="it-IT" w:eastAsia="zh-CN"/>
        </w:rPr>
        <w:t>仍按</w:t>
      </w:r>
      <w:r>
        <w:rPr>
          <w:rFonts w:hint="eastAsia" w:ascii="宋体" w:hAnsi="宋体" w:cs="宋体"/>
          <w:sz w:val="24"/>
          <w:szCs w:val="24"/>
          <w:lang w:val="en-US" w:eastAsia="zh-CN"/>
        </w:rPr>
        <w:t>承诺招标方的</w:t>
      </w:r>
      <w:r>
        <w:rPr>
          <w:rFonts w:hint="eastAsia" w:ascii="宋体" w:hAnsi="宋体" w:cs="宋体"/>
          <w:sz w:val="24"/>
          <w:szCs w:val="24"/>
          <w:lang w:val="it-IT" w:eastAsia="zh-CN"/>
        </w:rPr>
        <w:t xml:space="preserve">优惠执行。 </w:t>
      </w:r>
    </w:p>
    <w:p>
      <w:pPr>
        <w:pStyle w:val="80"/>
        <w:rPr>
          <w:rFonts w:hint="eastAsia" w:ascii="宋体" w:hAnsi="宋体" w:eastAsia="宋体" w:cs="宋体"/>
          <w:lang w:val="en-US" w:eastAsia="zh-CN"/>
        </w:rPr>
      </w:pPr>
      <w:r>
        <w:rPr>
          <w:rFonts w:hint="eastAsia" w:ascii="宋体" w:hAnsi="宋体" w:eastAsia="宋体" w:cs="宋体"/>
          <w:lang w:val="en-US" w:eastAsia="zh-CN"/>
        </w:rPr>
        <w:t>四、执行标准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2、投标方需要执行的标准，应当采用所供货物通过买方组织的最终验收之日已经开始执行的最新标准。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3、采购货物的产品质量、技术标准如在招投标文件中无相应说明，则按中华人民共和国有关部门颁发的最新的国标或专业（部）标准执行。</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4、采购货物没有国家或专业（部）标准的，按企业标准执行时，卖方应在合同签署之前，将所涉及的企业标准提供给买方确认。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5、采购货物如果采用国际标准，其执行标准由投标方提供、招标方确认。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6、采购货物所涉及的标准不统一时，原则上按照最严格标准执行。</w:t>
      </w:r>
      <w:bookmarkEnd w:id="29"/>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it-IT" w:eastAsia="zh-CN"/>
        </w:rPr>
        <w:t>7、涉及的主要标准表</w:t>
      </w:r>
      <w:r>
        <w:rPr>
          <w:rFonts w:hint="eastAsia" w:ascii="宋体" w:hAnsi="宋体" w:cs="宋体"/>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r>
    </w:tbl>
    <w:p>
      <w:pPr>
        <w:pStyle w:val="2"/>
        <w:jc w:val="both"/>
      </w:pPr>
    </w:p>
    <w:p>
      <w:pPr>
        <w:pStyle w:val="78"/>
        <w:ind w:left="0" w:leftChars="0" w:firstLine="0" w:firstLineChars="0"/>
        <w:rPr>
          <w:rFonts w:hint="eastAsia" w:ascii="宋体" w:hAnsi="宋体" w:eastAsia="宋体" w:cs="宋体"/>
        </w:rPr>
      </w:pPr>
    </w:p>
    <w:bookmarkEnd w:id="30"/>
    <w:p>
      <w:pPr>
        <w:spacing w:line="360" w:lineRule="auto"/>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8E7169"/>
    <w:rsid w:val="034D0622"/>
    <w:rsid w:val="03EF1D3B"/>
    <w:rsid w:val="047E2524"/>
    <w:rsid w:val="0ACC0D02"/>
    <w:rsid w:val="0F283078"/>
    <w:rsid w:val="118B17C0"/>
    <w:rsid w:val="14A15C19"/>
    <w:rsid w:val="152E4A94"/>
    <w:rsid w:val="17EC378B"/>
    <w:rsid w:val="1B0E2C71"/>
    <w:rsid w:val="2EB771D0"/>
    <w:rsid w:val="31946A67"/>
    <w:rsid w:val="347E0C7B"/>
    <w:rsid w:val="34F7633C"/>
    <w:rsid w:val="35A3072E"/>
    <w:rsid w:val="35C67F79"/>
    <w:rsid w:val="3B3D2A8B"/>
    <w:rsid w:val="48A64365"/>
    <w:rsid w:val="4AFD5D93"/>
    <w:rsid w:val="4BF6185C"/>
    <w:rsid w:val="4C3A530E"/>
    <w:rsid w:val="4E2F6BAB"/>
    <w:rsid w:val="520D3BC4"/>
    <w:rsid w:val="56D976B4"/>
    <w:rsid w:val="57062473"/>
    <w:rsid w:val="60AE53F2"/>
    <w:rsid w:val="636F4F70"/>
    <w:rsid w:val="64D3442A"/>
    <w:rsid w:val="65AD6236"/>
    <w:rsid w:val="66410DD2"/>
    <w:rsid w:val="699A3928"/>
    <w:rsid w:val="6B563571"/>
    <w:rsid w:val="6FFF6209"/>
    <w:rsid w:val="718744CA"/>
    <w:rsid w:val="720E4873"/>
    <w:rsid w:val="74B54E81"/>
    <w:rsid w:val="77EF6C01"/>
    <w:rsid w:val="7D4635F6"/>
    <w:rsid w:val="7E91379D"/>
    <w:rsid w:val="7EAFFA4B"/>
    <w:rsid w:val="DAFF76A4"/>
    <w:rsid w:val="FBFD4A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7348</Words>
  <Characters>7558</Characters>
  <Lines>247</Lines>
  <Paragraphs>69</Paragraphs>
  <TotalTime>0</TotalTime>
  <ScaleCrop>false</ScaleCrop>
  <LinksUpToDate>false</LinksUpToDate>
  <CharactersWithSpaces>8991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2025-08-26T17:24:46Z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D7FEBDCB12F54597B9956508FE006C73_13</vt:lpwstr>
  </property>
  <property fmtid="{D5CDD505-2E9C-101B-9397-08002B2CF9AE}" pid="4" name="KSOTemplateDocerSaveRecord">
    <vt:lpwstr>eyJoZGlkIjoiN2ZiZjhjZjUxYjg2N2Y1ZjY0NTc5ZGMxYTcwNjRmNWYiLCJ1c2VySWQiOiIzMDg0MzUwNTAifQ==</vt:lpwstr>
  </property>
</Properties>
</file>