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宋体" w:eastAsia="方正小标宋简体"/>
          <w:b/>
          <w:bCs/>
          <w:sz w:val="52"/>
          <w:szCs w:val="52"/>
          <w:highlight w:val="none"/>
        </w:rPr>
      </w:pPr>
    </w:p>
    <w:p>
      <w:pPr>
        <w:spacing w:line="360" w:lineRule="auto"/>
        <w:jc w:val="center"/>
        <w:rPr>
          <w:rFonts w:hint="eastAsia" w:ascii="宋体" w:hAnsi="宋体"/>
          <w:sz w:val="48"/>
          <w:szCs w:val="48"/>
          <w:highlight w:val="none"/>
        </w:rPr>
      </w:pPr>
      <w:r>
        <w:rPr>
          <w:rFonts w:hint="eastAsia" w:ascii="宋体" w:hAnsi="宋体"/>
          <w:sz w:val="48"/>
          <w:szCs w:val="48"/>
          <w:highlight w:val="none"/>
        </w:rPr>
        <w:t>国有企业董监高的履职责任风险及应对</w:t>
      </w:r>
    </w:p>
    <w:p>
      <w:pPr>
        <w:jc w:val="center"/>
        <w:rPr>
          <w:rFonts w:hint="default" w:ascii="方正小标宋简体" w:hAnsi="宋体" w:eastAsia="方正小标宋简体"/>
          <w:b/>
          <w:bCs/>
          <w:sz w:val="56"/>
          <w:szCs w:val="56"/>
          <w:highlight w:val="none"/>
          <w:lang w:val="en-US" w:eastAsia="zh-CN"/>
        </w:rPr>
      </w:pPr>
      <w:r>
        <w:rPr>
          <w:rFonts w:hint="eastAsia" w:ascii="宋体" w:hAnsi="宋体"/>
          <w:sz w:val="48"/>
          <w:szCs w:val="48"/>
          <w:highlight w:val="none"/>
        </w:rPr>
        <w:t>措施</w:t>
      </w:r>
      <w:r>
        <w:rPr>
          <w:rFonts w:hint="eastAsia" w:ascii="宋体" w:hAnsi="宋体"/>
          <w:sz w:val="48"/>
          <w:szCs w:val="48"/>
          <w:highlight w:val="none"/>
          <w:lang w:val="en-US" w:eastAsia="zh-CN"/>
        </w:rPr>
        <w:t>培训项目</w:t>
      </w:r>
    </w:p>
    <w:p>
      <w:pPr>
        <w:rPr>
          <w:sz w:val="28"/>
          <w:szCs w:val="28"/>
          <w:highlight w:val="none"/>
        </w:rPr>
      </w:pPr>
    </w:p>
    <w:p>
      <w:pPr>
        <w:rPr>
          <w:sz w:val="28"/>
          <w:szCs w:val="28"/>
          <w:highlight w:val="none"/>
        </w:rPr>
      </w:pPr>
    </w:p>
    <w:p>
      <w:pPr>
        <w:rPr>
          <w:highlight w:val="none"/>
        </w:rPr>
      </w:pPr>
    </w:p>
    <w:p>
      <w:pPr>
        <w:jc w:val="center"/>
        <w:rPr>
          <w:rFonts w:ascii="黑体" w:hAnsi="宋体" w:eastAsia="黑体"/>
          <w:sz w:val="84"/>
          <w:szCs w:val="84"/>
          <w:highlight w:val="none"/>
        </w:rPr>
      </w:pPr>
      <w:r>
        <w:rPr>
          <w:rFonts w:hint="eastAsia" w:ascii="黑体" w:hAnsi="宋体" w:eastAsia="黑体"/>
          <w:sz w:val="84"/>
          <w:szCs w:val="84"/>
          <w:highlight w:val="none"/>
        </w:rPr>
        <w:t>招</w:t>
      </w:r>
    </w:p>
    <w:p>
      <w:pPr>
        <w:jc w:val="center"/>
        <w:rPr>
          <w:rFonts w:ascii="黑体" w:hAnsi="宋体" w:eastAsia="黑体"/>
          <w:sz w:val="84"/>
          <w:szCs w:val="84"/>
          <w:highlight w:val="none"/>
        </w:rPr>
      </w:pPr>
      <w:r>
        <w:rPr>
          <w:rFonts w:hint="eastAsia" w:ascii="黑体" w:hAnsi="宋体" w:eastAsia="黑体"/>
          <w:sz w:val="84"/>
          <w:szCs w:val="84"/>
          <w:highlight w:val="none"/>
        </w:rPr>
        <w:t>标</w:t>
      </w:r>
    </w:p>
    <w:p>
      <w:pPr>
        <w:jc w:val="center"/>
        <w:rPr>
          <w:rFonts w:ascii="黑体" w:hAnsi="宋体" w:eastAsia="黑体"/>
          <w:sz w:val="84"/>
          <w:szCs w:val="84"/>
          <w:highlight w:val="none"/>
        </w:rPr>
      </w:pPr>
      <w:r>
        <w:rPr>
          <w:rFonts w:hint="eastAsia" w:ascii="黑体" w:hAnsi="宋体" w:eastAsia="黑体"/>
          <w:sz w:val="84"/>
          <w:szCs w:val="84"/>
          <w:highlight w:val="none"/>
        </w:rPr>
        <w:t>文</w:t>
      </w:r>
    </w:p>
    <w:p>
      <w:pPr>
        <w:jc w:val="center"/>
        <w:rPr>
          <w:rFonts w:ascii="黑体" w:hAnsi="黑体" w:eastAsia="黑体"/>
          <w:sz w:val="96"/>
          <w:highlight w:val="none"/>
        </w:rPr>
      </w:pPr>
      <w:r>
        <w:rPr>
          <w:rFonts w:hint="eastAsia" w:ascii="黑体" w:hAnsi="宋体" w:eastAsia="黑体"/>
          <w:sz w:val="84"/>
          <w:szCs w:val="84"/>
          <w:highlight w:val="none"/>
        </w:rPr>
        <w:t>件</w:t>
      </w:r>
    </w:p>
    <w:p>
      <w:pPr>
        <w:jc w:val="center"/>
        <w:rPr>
          <w:rFonts w:ascii="黑体" w:hAnsi="黑体" w:eastAsia="黑体"/>
          <w:b/>
          <w:sz w:val="96"/>
          <w:highlight w:val="none"/>
        </w:rPr>
      </w:pPr>
    </w:p>
    <w:p>
      <w:pPr>
        <w:pStyle w:val="12"/>
        <w:rPr>
          <w:rFonts w:ascii="黑体" w:hAnsi="黑体" w:eastAsia="黑体"/>
          <w:b/>
          <w:sz w:val="32"/>
          <w:szCs w:val="32"/>
          <w:highlight w:val="none"/>
        </w:rPr>
      </w:pPr>
      <w:r>
        <w:rPr>
          <w:rFonts w:ascii="黑体" w:hAnsi="黑体" w:eastAsia="黑体"/>
          <w:b/>
          <w:sz w:val="32"/>
          <w:szCs w:val="32"/>
          <w:highlight w:val="none"/>
        </w:rPr>
        <w:br w:type="textWrapping"/>
      </w:r>
    </w:p>
    <w:p>
      <w:pPr>
        <w:rPr>
          <w:rFonts w:ascii="黑体" w:hAnsi="黑体" w:eastAsia="黑体"/>
          <w:b/>
          <w:sz w:val="32"/>
          <w:szCs w:val="32"/>
          <w:highlight w:val="none"/>
        </w:rPr>
      </w:pPr>
    </w:p>
    <w:p>
      <w:pPr>
        <w:jc w:val="center"/>
        <w:rPr>
          <w:rFonts w:ascii="宋体" w:hAnsi="宋体"/>
          <w:sz w:val="28"/>
          <w:szCs w:val="28"/>
          <w:highlight w:val="none"/>
        </w:rPr>
      </w:pPr>
      <w:r>
        <w:rPr>
          <w:rFonts w:hint="eastAsia" w:ascii="宋体" w:hAnsi="宋体"/>
          <w:sz w:val="28"/>
          <w:szCs w:val="28"/>
          <w:highlight w:val="none"/>
        </w:rPr>
        <w:t>招标人：中国重汽集团济南动力有限公司</w:t>
      </w:r>
    </w:p>
    <w:p>
      <w:pPr>
        <w:jc w:val="center"/>
        <w:rPr>
          <w:rFonts w:ascii="宋体" w:hAnsi="宋体"/>
          <w:sz w:val="28"/>
          <w:szCs w:val="28"/>
          <w:highlight w:val="none"/>
        </w:rPr>
      </w:pPr>
      <w:r>
        <w:rPr>
          <w:rFonts w:hint="eastAsia" w:ascii="宋体" w:hAnsi="宋体"/>
          <w:sz w:val="28"/>
          <w:szCs w:val="28"/>
          <w:highlight w:val="none"/>
        </w:rPr>
        <w:t>2</w:t>
      </w:r>
      <w:r>
        <w:rPr>
          <w:rFonts w:ascii="宋体" w:hAnsi="宋体"/>
          <w:sz w:val="28"/>
          <w:szCs w:val="28"/>
          <w:highlight w:val="none"/>
        </w:rPr>
        <w:t>02</w:t>
      </w:r>
      <w:r>
        <w:rPr>
          <w:rFonts w:hint="eastAsia" w:ascii="宋体" w:hAnsi="宋体"/>
          <w:sz w:val="28"/>
          <w:szCs w:val="28"/>
          <w:highlight w:val="none"/>
          <w:lang w:val="en-US" w:eastAsia="zh-CN"/>
        </w:rPr>
        <w:t>5</w:t>
      </w:r>
      <w:r>
        <w:rPr>
          <w:rFonts w:hint="eastAsia" w:ascii="宋体" w:hAnsi="宋体"/>
          <w:sz w:val="28"/>
          <w:szCs w:val="28"/>
          <w:highlight w:val="none"/>
        </w:rPr>
        <w:t>年</w:t>
      </w:r>
      <w:r>
        <w:rPr>
          <w:rFonts w:hint="eastAsia" w:ascii="宋体" w:hAnsi="宋体"/>
          <w:sz w:val="28"/>
          <w:szCs w:val="28"/>
          <w:highlight w:val="none"/>
          <w:lang w:val="en-US" w:eastAsia="zh-CN"/>
        </w:rPr>
        <w:t>7</w:t>
      </w:r>
      <w:r>
        <w:rPr>
          <w:rFonts w:hint="eastAsia" w:ascii="宋体" w:hAnsi="宋体"/>
          <w:sz w:val="28"/>
          <w:szCs w:val="28"/>
          <w:highlight w:val="none"/>
        </w:rPr>
        <w:t>月</w:t>
      </w:r>
    </w:p>
    <w:p>
      <w:pPr>
        <w:rPr>
          <w:highlight w:val="none"/>
        </w:rPr>
      </w:pPr>
    </w:p>
    <w:p>
      <w:pPr>
        <w:jc w:val="center"/>
        <w:rPr>
          <w:rFonts w:ascii="宋体" w:hAnsi="宋体"/>
          <w:highlight w:val="none"/>
        </w:rPr>
      </w:pPr>
    </w:p>
    <w:p>
      <w:pPr>
        <w:spacing w:line="500" w:lineRule="exact"/>
        <w:jc w:val="center"/>
        <w:rPr>
          <w:rFonts w:ascii="宋体" w:hAnsi="宋体" w:cs="宋体"/>
          <w:b/>
          <w:bCs/>
          <w:sz w:val="44"/>
          <w:szCs w:val="44"/>
          <w:highlight w:val="none"/>
        </w:rPr>
        <w:sectPr>
          <w:footerReference r:id="rId4" w:type="first"/>
          <w:headerReference r:id="rId3" w:type="default"/>
          <w:pgSz w:w="11906" w:h="16838"/>
          <w:pgMar w:top="1588" w:right="1418" w:bottom="1134" w:left="1418" w:header="851" w:footer="992" w:gutter="0"/>
          <w:pgNumType w:fmt="decimal"/>
          <w:cols w:space="720" w:num="1"/>
          <w:titlePg/>
          <w:docGrid w:type="lines" w:linePitch="312" w:charSpace="0"/>
        </w:sectPr>
      </w:pPr>
    </w:p>
    <w:p>
      <w:pPr>
        <w:pStyle w:val="12"/>
        <w:rPr>
          <w:highlight w:val="none"/>
        </w:rPr>
      </w:pPr>
    </w:p>
    <w:p>
      <w:pPr>
        <w:spacing w:line="500" w:lineRule="exact"/>
        <w:jc w:val="center"/>
        <w:rPr>
          <w:rFonts w:ascii="宋体" w:hAnsi="宋体" w:cs="宋体"/>
          <w:b/>
          <w:bCs/>
          <w:sz w:val="44"/>
          <w:szCs w:val="44"/>
          <w:highlight w:val="none"/>
        </w:rPr>
      </w:pPr>
      <w:r>
        <w:rPr>
          <w:rFonts w:hint="eastAsia" w:ascii="宋体" w:hAnsi="宋体" w:cs="宋体"/>
          <w:b/>
          <w:bCs/>
          <w:sz w:val="44"/>
          <w:szCs w:val="44"/>
          <w:highlight w:val="none"/>
        </w:rPr>
        <w:t>目录</w:t>
      </w:r>
    </w:p>
    <w:p>
      <w:pPr>
        <w:pStyle w:val="12"/>
        <w:spacing w:line="500" w:lineRule="exact"/>
        <w:rPr>
          <w:rFonts w:ascii="宋体" w:hAnsi="宋体" w:cs="宋体"/>
          <w:b/>
          <w:bCs/>
          <w:sz w:val="30"/>
          <w:szCs w:val="30"/>
          <w:highlight w:val="none"/>
        </w:rPr>
      </w:pPr>
    </w:p>
    <w:p>
      <w:pPr>
        <w:pStyle w:val="12"/>
        <w:spacing w:line="500" w:lineRule="exact"/>
        <w:rPr>
          <w:rFonts w:ascii="宋体" w:hAnsi="宋体" w:cs="宋体"/>
          <w:b/>
          <w:bCs/>
          <w:sz w:val="30"/>
          <w:szCs w:val="30"/>
          <w:highlight w:val="none"/>
        </w:rPr>
      </w:pPr>
    </w:p>
    <w:p>
      <w:pPr>
        <w:pStyle w:val="40"/>
        <w:tabs>
          <w:tab w:val="right" w:leader="dot" w:pos="9070"/>
        </w:tabs>
        <w:spacing w:line="500" w:lineRule="exact"/>
        <w:rPr>
          <w:rFonts w:ascii="仿宋_GB2312" w:hAnsi="仿宋_GB2312" w:eastAsia="仿宋_GB2312" w:cs="仿宋_GB2312"/>
          <w:bCs/>
          <w:sz w:val="30"/>
          <w:szCs w:val="30"/>
          <w:highlight w:val="none"/>
        </w:rPr>
      </w:pPr>
      <w:r>
        <w:rPr>
          <w:highlight w:val="none"/>
        </w:rPr>
        <w:fldChar w:fldCharType="begin"/>
      </w:r>
      <w:r>
        <w:rPr>
          <w:highlight w:val="none"/>
        </w:rPr>
        <w:instrText xml:space="preserve"> HYPERLINK \l "_Toc14413" </w:instrText>
      </w:r>
      <w:r>
        <w:rPr>
          <w:highlight w:val="none"/>
        </w:rPr>
        <w:fldChar w:fldCharType="separate"/>
      </w:r>
      <w:r>
        <w:rPr>
          <w:rFonts w:hint="eastAsia" w:ascii="仿宋_GB2312" w:hAnsi="仿宋_GB2312" w:eastAsia="仿宋_GB2312" w:cs="仿宋_GB2312"/>
          <w:bCs/>
          <w:sz w:val="30"/>
          <w:szCs w:val="30"/>
          <w:highlight w:val="none"/>
        </w:rPr>
        <w:t>一、投标人须知</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2</w:t>
      </w:r>
      <w:r>
        <w:rPr>
          <w:rFonts w:hint="eastAsia" w:ascii="仿宋_GB2312" w:hAnsi="仿宋_GB2312" w:eastAsia="仿宋_GB2312" w:cs="仿宋_GB2312"/>
          <w:bCs/>
          <w:sz w:val="30"/>
          <w:szCs w:val="30"/>
          <w:highlight w:val="none"/>
        </w:rPr>
        <w:fldChar w:fldCharType="end"/>
      </w:r>
    </w:p>
    <w:p>
      <w:pPr>
        <w:pStyle w:val="40"/>
        <w:tabs>
          <w:tab w:val="right" w:leader="dot" w:pos="9070"/>
        </w:tabs>
        <w:spacing w:line="500" w:lineRule="exact"/>
        <w:rPr>
          <w:rFonts w:ascii="仿宋_GB2312" w:hAnsi="仿宋_GB2312" w:eastAsia="仿宋_GB2312" w:cs="仿宋_GB2312"/>
          <w:bCs/>
          <w:sz w:val="30"/>
          <w:szCs w:val="30"/>
          <w:highlight w:val="none"/>
        </w:rPr>
      </w:pPr>
      <w:r>
        <w:rPr>
          <w:highlight w:val="none"/>
        </w:rPr>
        <w:fldChar w:fldCharType="begin"/>
      </w:r>
      <w:r>
        <w:rPr>
          <w:highlight w:val="none"/>
        </w:rPr>
        <w:instrText xml:space="preserve"> HYPERLINK \l "_Toc26596" </w:instrText>
      </w:r>
      <w:r>
        <w:rPr>
          <w:highlight w:val="none"/>
        </w:rPr>
        <w:fldChar w:fldCharType="separate"/>
      </w:r>
      <w:r>
        <w:rPr>
          <w:rFonts w:hint="eastAsia" w:ascii="仿宋_GB2312" w:hAnsi="仿宋_GB2312" w:eastAsia="仿宋_GB2312" w:cs="仿宋_GB2312"/>
          <w:bCs/>
          <w:sz w:val="30"/>
          <w:szCs w:val="30"/>
          <w:highlight w:val="none"/>
        </w:rPr>
        <w:t>二、投标人资格条件及要求</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2</w:t>
      </w:r>
      <w:r>
        <w:rPr>
          <w:rFonts w:hint="eastAsia" w:ascii="仿宋_GB2312" w:hAnsi="仿宋_GB2312" w:eastAsia="仿宋_GB2312" w:cs="仿宋_GB2312"/>
          <w:bCs/>
          <w:sz w:val="30"/>
          <w:szCs w:val="30"/>
          <w:highlight w:val="none"/>
        </w:rPr>
        <w:fldChar w:fldCharType="end"/>
      </w:r>
    </w:p>
    <w:p>
      <w:pPr>
        <w:pStyle w:val="40"/>
        <w:tabs>
          <w:tab w:val="right" w:leader="dot" w:pos="9070"/>
        </w:tabs>
        <w:spacing w:line="500" w:lineRule="exact"/>
        <w:rPr>
          <w:rFonts w:ascii="仿宋_GB2312" w:hAnsi="仿宋_GB2312" w:eastAsia="仿宋_GB2312" w:cs="仿宋_GB2312"/>
          <w:bCs/>
          <w:sz w:val="30"/>
          <w:szCs w:val="30"/>
          <w:highlight w:val="none"/>
        </w:rPr>
      </w:pPr>
      <w:r>
        <w:rPr>
          <w:highlight w:val="none"/>
        </w:rPr>
        <w:fldChar w:fldCharType="begin"/>
      </w:r>
      <w:r>
        <w:rPr>
          <w:highlight w:val="none"/>
        </w:rPr>
        <w:instrText xml:space="preserve"> HYPERLINK \l "_Toc25722" </w:instrText>
      </w:r>
      <w:r>
        <w:rPr>
          <w:highlight w:val="none"/>
        </w:rPr>
        <w:fldChar w:fldCharType="separate"/>
      </w:r>
      <w:r>
        <w:rPr>
          <w:rFonts w:hint="eastAsia" w:ascii="仿宋_GB2312" w:hAnsi="仿宋_GB2312" w:eastAsia="仿宋_GB2312" w:cs="仿宋_GB2312"/>
          <w:bCs/>
          <w:sz w:val="30"/>
          <w:szCs w:val="30"/>
          <w:highlight w:val="none"/>
        </w:rPr>
        <w:t>三、投标说明</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4</w:t>
      </w:r>
      <w:r>
        <w:rPr>
          <w:rFonts w:hint="eastAsia" w:ascii="仿宋_GB2312" w:hAnsi="仿宋_GB2312" w:eastAsia="仿宋_GB2312" w:cs="仿宋_GB2312"/>
          <w:bCs/>
          <w:sz w:val="30"/>
          <w:szCs w:val="30"/>
          <w:highlight w:val="none"/>
        </w:rPr>
        <w:fldChar w:fldCharType="end"/>
      </w:r>
    </w:p>
    <w:p>
      <w:pPr>
        <w:pStyle w:val="40"/>
        <w:tabs>
          <w:tab w:val="right" w:leader="dot" w:pos="9070"/>
        </w:tabs>
        <w:spacing w:line="500" w:lineRule="exact"/>
        <w:rPr>
          <w:rFonts w:ascii="仿宋_GB2312" w:hAnsi="仿宋_GB2312" w:eastAsia="仿宋_GB2312" w:cs="仿宋_GB2312"/>
          <w:bCs/>
          <w:sz w:val="30"/>
          <w:szCs w:val="30"/>
          <w:highlight w:val="none"/>
        </w:rPr>
      </w:pPr>
      <w:r>
        <w:rPr>
          <w:highlight w:val="none"/>
        </w:rPr>
        <w:fldChar w:fldCharType="begin"/>
      </w:r>
      <w:r>
        <w:rPr>
          <w:highlight w:val="none"/>
        </w:rPr>
        <w:instrText xml:space="preserve"> HYPERLINK \l "_Toc30928" </w:instrText>
      </w:r>
      <w:r>
        <w:rPr>
          <w:highlight w:val="none"/>
        </w:rPr>
        <w:fldChar w:fldCharType="separate"/>
      </w:r>
      <w:r>
        <w:rPr>
          <w:rFonts w:hint="eastAsia" w:ascii="仿宋_GB2312" w:hAnsi="仿宋_GB2312" w:eastAsia="仿宋_GB2312" w:cs="仿宋_GB2312"/>
          <w:bCs/>
          <w:sz w:val="30"/>
          <w:szCs w:val="30"/>
          <w:highlight w:val="none"/>
        </w:rPr>
        <w:t>四、投标文件</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9</w:t>
      </w:r>
      <w:r>
        <w:rPr>
          <w:rFonts w:hint="eastAsia" w:ascii="仿宋_GB2312" w:hAnsi="仿宋_GB2312" w:eastAsia="仿宋_GB2312" w:cs="仿宋_GB2312"/>
          <w:bCs/>
          <w:sz w:val="30"/>
          <w:szCs w:val="30"/>
          <w:highlight w:val="none"/>
        </w:rPr>
        <w:fldChar w:fldCharType="end"/>
      </w:r>
    </w:p>
    <w:p>
      <w:pPr>
        <w:pStyle w:val="40"/>
        <w:tabs>
          <w:tab w:val="right" w:leader="dot" w:pos="9070"/>
        </w:tabs>
        <w:spacing w:line="500" w:lineRule="exact"/>
        <w:rPr>
          <w:rFonts w:hint="eastAsia" w:ascii="仿宋_GB2312" w:hAnsi="仿宋_GB2312" w:eastAsia="仿宋_GB2312" w:cs="仿宋_GB2312"/>
          <w:bCs/>
          <w:sz w:val="30"/>
          <w:szCs w:val="30"/>
          <w:highlight w:val="none"/>
          <w:lang w:val="en-US" w:eastAsia="zh-CN"/>
        </w:rPr>
      </w:pPr>
      <w:r>
        <w:rPr>
          <w:highlight w:val="none"/>
        </w:rPr>
        <w:fldChar w:fldCharType="begin"/>
      </w:r>
      <w:r>
        <w:rPr>
          <w:highlight w:val="none"/>
        </w:rPr>
        <w:instrText xml:space="preserve"> HYPERLINK \l "_Toc22774" </w:instrText>
      </w:r>
      <w:r>
        <w:rPr>
          <w:highlight w:val="none"/>
        </w:rPr>
        <w:fldChar w:fldCharType="separate"/>
      </w:r>
      <w:r>
        <w:rPr>
          <w:rFonts w:hint="eastAsia" w:ascii="仿宋_GB2312" w:hAnsi="仿宋_GB2312" w:eastAsia="仿宋_GB2312" w:cs="仿宋_GB2312"/>
          <w:bCs/>
          <w:sz w:val="30"/>
          <w:szCs w:val="30"/>
          <w:highlight w:val="none"/>
        </w:rPr>
        <w:t>五、合同签订</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w:t>
      </w:r>
      <w:r>
        <w:rPr>
          <w:rFonts w:hint="eastAsia" w:ascii="仿宋_GB2312" w:hAnsi="仿宋_GB2312" w:eastAsia="仿宋_GB2312" w:cs="仿宋_GB2312"/>
          <w:bCs/>
          <w:sz w:val="30"/>
          <w:szCs w:val="30"/>
          <w:highlight w:val="none"/>
        </w:rPr>
        <w:fldChar w:fldCharType="end"/>
      </w:r>
      <w:r>
        <w:rPr>
          <w:rFonts w:hint="eastAsia" w:ascii="仿宋_GB2312" w:hAnsi="仿宋_GB2312" w:eastAsia="仿宋_GB2312" w:cs="仿宋_GB2312"/>
          <w:bCs/>
          <w:sz w:val="30"/>
          <w:szCs w:val="30"/>
          <w:highlight w:val="none"/>
          <w:lang w:val="en-US" w:eastAsia="zh-CN"/>
        </w:rPr>
        <w:t>1</w:t>
      </w:r>
    </w:p>
    <w:p>
      <w:pPr>
        <w:pStyle w:val="40"/>
        <w:tabs>
          <w:tab w:val="right" w:leader="dot" w:pos="9070"/>
        </w:tabs>
        <w:spacing w:line="500" w:lineRule="exact"/>
        <w:rPr>
          <w:rFonts w:hint="eastAsia" w:ascii="仿宋_GB2312" w:hAnsi="仿宋_GB2312" w:eastAsia="仿宋_GB2312" w:cs="仿宋_GB2312"/>
          <w:bCs/>
          <w:sz w:val="30"/>
          <w:szCs w:val="30"/>
          <w:highlight w:val="none"/>
          <w:lang w:val="en-US" w:eastAsia="zh-CN"/>
        </w:rPr>
      </w:pPr>
      <w:r>
        <w:rPr>
          <w:highlight w:val="none"/>
        </w:rPr>
        <w:fldChar w:fldCharType="begin"/>
      </w:r>
      <w:r>
        <w:rPr>
          <w:highlight w:val="none"/>
        </w:rPr>
        <w:instrText xml:space="preserve"> HYPERLINK \l "_Toc28350" </w:instrText>
      </w:r>
      <w:r>
        <w:rPr>
          <w:highlight w:val="none"/>
        </w:rPr>
        <w:fldChar w:fldCharType="separate"/>
      </w:r>
      <w:r>
        <w:rPr>
          <w:rFonts w:hint="eastAsia" w:ascii="仿宋_GB2312" w:hAnsi="仿宋_GB2312" w:eastAsia="仿宋_GB2312" w:cs="仿宋_GB2312"/>
          <w:bCs/>
          <w:sz w:val="30"/>
          <w:szCs w:val="30"/>
          <w:highlight w:val="none"/>
        </w:rPr>
        <w:t>六、废标及终止招标</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w:t>
      </w:r>
      <w:r>
        <w:rPr>
          <w:rFonts w:hint="eastAsia" w:ascii="仿宋_GB2312" w:hAnsi="仿宋_GB2312" w:eastAsia="仿宋_GB2312" w:cs="仿宋_GB2312"/>
          <w:bCs/>
          <w:sz w:val="30"/>
          <w:szCs w:val="30"/>
          <w:highlight w:val="none"/>
        </w:rPr>
        <w:fldChar w:fldCharType="end"/>
      </w:r>
      <w:r>
        <w:rPr>
          <w:rFonts w:hint="eastAsia" w:ascii="仿宋_GB2312" w:hAnsi="仿宋" w:eastAsia="仿宋_GB2312" w:cs="Times New Roman"/>
          <w:bCs w:val="0"/>
          <w:kern w:val="2"/>
          <w:sz w:val="30"/>
          <w:szCs w:val="30"/>
          <w:highlight w:val="none"/>
          <w:lang w:val="en-US" w:eastAsia="zh-CN"/>
        </w:rPr>
        <w:t>2</w:t>
      </w:r>
    </w:p>
    <w:p>
      <w:pPr>
        <w:pStyle w:val="40"/>
        <w:tabs>
          <w:tab w:val="right" w:leader="dot" w:pos="9070"/>
        </w:tabs>
        <w:spacing w:line="500" w:lineRule="exact"/>
        <w:rPr>
          <w:rFonts w:hint="eastAsia" w:ascii="仿宋_GB2312" w:hAnsi="仿宋_GB2312" w:eastAsia="仿宋_GB2312" w:cs="仿宋_GB2312"/>
          <w:bCs/>
          <w:sz w:val="30"/>
          <w:szCs w:val="30"/>
          <w:highlight w:val="none"/>
          <w:lang w:val="en-US" w:eastAsia="zh-CN"/>
        </w:rPr>
      </w:pPr>
      <w:r>
        <w:rPr>
          <w:highlight w:val="none"/>
        </w:rPr>
        <w:fldChar w:fldCharType="begin"/>
      </w:r>
      <w:r>
        <w:rPr>
          <w:highlight w:val="none"/>
        </w:rPr>
        <w:instrText xml:space="preserve"> HYPERLINK \l "_Toc8621" </w:instrText>
      </w:r>
      <w:r>
        <w:rPr>
          <w:highlight w:val="none"/>
        </w:rPr>
        <w:fldChar w:fldCharType="separate"/>
      </w:r>
      <w:r>
        <w:rPr>
          <w:rFonts w:hint="eastAsia" w:ascii="仿宋_GB2312" w:hAnsi="仿宋_GB2312" w:eastAsia="仿宋_GB2312" w:cs="仿宋_GB2312"/>
          <w:bCs/>
          <w:sz w:val="30"/>
          <w:szCs w:val="30"/>
          <w:highlight w:val="none"/>
        </w:rPr>
        <w:t>七、中标人瑕疵滞后发现的处理原则</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w:t>
      </w:r>
      <w:r>
        <w:rPr>
          <w:rFonts w:hint="eastAsia" w:ascii="仿宋_GB2312" w:hAnsi="仿宋_GB2312" w:eastAsia="仿宋_GB2312" w:cs="仿宋_GB2312"/>
          <w:bCs/>
          <w:sz w:val="30"/>
          <w:szCs w:val="30"/>
          <w:highlight w:val="none"/>
        </w:rPr>
        <w:fldChar w:fldCharType="end"/>
      </w:r>
      <w:r>
        <w:rPr>
          <w:rFonts w:hint="eastAsia" w:ascii="仿宋_GB2312" w:hAnsi="仿宋_GB2312" w:eastAsia="仿宋_GB2312" w:cs="仿宋_GB2312"/>
          <w:bCs/>
          <w:sz w:val="30"/>
          <w:szCs w:val="30"/>
          <w:highlight w:val="none"/>
          <w:lang w:val="en-US" w:eastAsia="zh-CN"/>
        </w:rPr>
        <w:t>3</w:t>
      </w:r>
    </w:p>
    <w:p>
      <w:pPr>
        <w:pStyle w:val="40"/>
        <w:tabs>
          <w:tab w:val="right" w:leader="dot" w:pos="9070"/>
        </w:tabs>
        <w:spacing w:line="500" w:lineRule="exact"/>
        <w:rPr>
          <w:rFonts w:hint="eastAsia" w:ascii="仿宋_GB2312" w:hAnsi="仿宋_GB2312" w:eastAsia="仿宋_GB2312" w:cs="仿宋_GB2312"/>
          <w:bCs/>
          <w:sz w:val="30"/>
          <w:szCs w:val="30"/>
          <w:highlight w:val="none"/>
          <w:lang w:val="en-US" w:eastAsia="zh-CN"/>
        </w:rPr>
      </w:pPr>
      <w:r>
        <w:rPr>
          <w:highlight w:val="none"/>
        </w:rPr>
        <w:fldChar w:fldCharType="begin"/>
      </w:r>
      <w:r>
        <w:rPr>
          <w:highlight w:val="none"/>
        </w:rPr>
        <w:instrText xml:space="preserve"> HYPERLINK \l "_Toc10048" </w:instrText>
      </w:r>
      <w:r>
        <w:rPr>
          <w:highlight w:val="none"/>
        </w:rPr>
        <w:fldChar w:fldCharType="separate"/>
      </w:r>
      <w:r>
        <w:rPr>
          <w:rFonts w:hint="eastAsia" w:ascii="仿宋_GB2312" w:hAnsi="仿宋_GB2312" w:eastAsia="仿宋_GB2312" w:cs="仿宋_GB2312"/>
          <w:bCs/>
          <w:sz w:val="30"/>
          <w:szCs w:val="30"/>
          <w:highlight w:val="none"/>
        </w:rPr>
        <w:t>八、投标文件格式</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w:t>
      </w:r>
      <w:r>
        <w:rPr>
          <w:rFonts w:hint="eastAsia" w:ascii="仿宋_GB2312" w:hAnsi="仿宋_GB2312" w:eastAsia="仿宋_GB2312" w:cs="仿宋_GB2312"/>
          <w:bCs/>
          <w:sz w:val="30"/>
          <w:szCs w:val="30"/>
          <w:highlight w:val="none"/>
        </w:rPr>
        <w:fldChar w:fldCharType="end"/>
      </w:r>
      <w:r>
        <w:rPr>
          <w:rFonts w:hint="eastAsia" w:ascii="仿宋_GB2312" w:hAnsi="仿宋_GB2312" w:eastAsia="仿宋_GB2312" w:cs="仿宋_GB2312"/>
          <w:bCs/>
          <w:sz w:val="30"/>
          <w:szCs w:val="30"/>
          <w:highlight w:val="none"/>
          <w:lang w:val="en-US" w:eastAsia="zh-CN"/>
        </w:rPr>
        <w:t>3</w:t>
      </w:r>
    </w:p>
    <w:p>
      <w:pPr>
        <w:pStyle w:val="40"/>
        <w:tabs>
          <w:tab w:val="right" w:leader="dot" w:pos="9070"/>
        </w:tabs>
        <w:spacing w:line="500" w:lineRule="exact"/>
        <w:rPr>
          <w:rFonts w:hint="eastAsia" w:ascii="仿宋_GB2312" w:hAnsi="仿宋_GB2312" w:eastAsia="仿宋_GB2312" w:cs="仿宋_GB2312"/>
          <w:bCs/>
          <w:sz w:val="30"/>
          <w:szCs w:val="30"/>
          <w:highlight w:val="none"/>
          <w:lang w:val="en-US" w:eastAsia="zh-CN"/>
        </w:rPr>
      </w:pPr>
      <w:r>
        <w:rPr>
          <w:highlight w:val="none"/>
        </w:rPr>
        <w:fldChar w:fldCharType="begin"/>
      </w:r>
      <w:r>
        <w:rPr>
          <w:highlight w:val="none"/>
        </w:rPr>
        <w:instrText xml:space="preserve"> HYPERLINK \l "_Toc2515" </w:instrText>
      </w:r>
      <w:r>
        <w:rPr>
          <w:highlight w:val="none"/>
        </w:rPr>
        <w:fldChar w:fldCharType="separate"/>
      </w:r>
      <w:r>
        <w:rPr>
          <w:rFonts w:hint="eastAsia" w:ascii="仿宋_GB2312" w:hAnsi="仿宋_GB2312" w:eastAsia="仿宋_GB2312" w:cs="仿宋_GB2312"/>
          <w:bCs/>
          <w:sz w:val="30"/>
          <w:szCs w:val="30"/>
          <w:highlight w:val="none"/>
        </w:rPr>
        <w:t>九、技术协议书</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w:t>
      </w:r>
      <w:r>
        <w:rPr>
          <w:rFonts w:hint="eastAsia" w:ascii="仿宋_GB2312" w:hAnsi="仿宋_GB2312" w:eastAsia="仿宋_GB2312" w:cs="仿宋_GB2312"/>
          <w:bCs/>
          <w:sz w:val="30"/>
          <w:szCs w:val="30"/>
          <w:highlight w:val="none"/>
        </w:rPr>
        <w:fldChar w:fldCharType="end"/>
      </w:r>
      <w:r>
        <w:rPr>
          <w:rFonts w:hint="eastAsia" w:ascii="仿宋_GB2312" w:hAnsi="仿宋_GB2312" w:eastAsia="仿宋_GB2312" w:cs="仿宋_GB2312"/>
          <w:bCs/>
          <w:sz w:val="30"/>
          <w:szCs w:val="30"/>
          <w:highlight w:val="none"/>
          <w:lang w:val="en-US" w:eastAsia="zh-CN"/>
        </w:rPr>
        <w:t>3</w:t>
      </w:r>
    </w:p>
    <w:p>
      <w:pPr>
        <w:pStyle w:val="40"/>
        <w:tabs>
          <w:tab w:val="right" w:leader="dot" w:pos="9070"/>
        </w:tabs>
        <w:spacing w:line="500" w:lineRule="exact"/>
        <w:rPr>
          <w:rFonts w:hint="eastAsia" w:ascii="仿宋_GB2312" w:hAnsi="仿宋_GB2312" w:eastAsia="仿宋_GB2312" w:cs="仿宋_GB2312"/>
          <w:bCs/>
          <w:sz w:val="30"/>
          <w:szCs w:val="30"/>
          <w:highlight w:val="none"/>
          <w:lang w:val="en-US" w:eastAsia="zh-CN"/>
        </w:rPr>
      </w:pPr>
      <w:r>
        <w:rPr>
          <w:highlight w:val="none"/>
        </w:rPr>
        <w:fldChar w:fldCharType="begin"/>
      </w:r>
      <w:r>
        <w:rPr>
          <w:highlight w:val="none"/>
        </w:rPr>
        <w:instrText xml:space="preserve"> HYPERLINK \l "_Toc23780" </w:instrText>
      </w:r>
      <w:r>
        <w:rPr>
          <w:highlight w:val="none"/>
        </w:rPr>
        <w:fldChar w:fldCharType="separate"/>
      </w:r>
      <w:r>
        <w:rPr>
          <w:rFonts w:hint="eastAsia" w:ascii="仿宋_GB2312" w:hAnsi="仿宋_GB2312" w:eastAsia="仿宋_GB2312" w:cs="仿宋_GB2312"/>
          <w:bCs/>
          <w:sz w:val="30"/>
          <w:szCs w:val="30"/>
          <w:highlight w:val="none"/>
        </w:rPr>
        <w:t>十、解释权</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w:t>
      </w:r>
      <w:r>
        <w:rPr>
          <w:rFonts w:hint="eastAsia" w:ascii="仿宋_GB2312" w:hAnsi="仿宋_GB2312" w:eastAsia="仿宋_GB2312" w:cs="仿宋_GB2312"/>
          <w:bCs/>
          <w:sz w:val="30"/>
          <w:szCs w:val="30"/>
          <w:highlight w:val="none"/>
        </w:rPr>
        <w:fldChar w:fldCharType="end"/>
      </w:r>
      <w:r>
        <w:rPr>
          <w:rFonts w:hint="eastAsia" w:ascii="仿宋_GB2312" w:hAnsi="仿宋_GB2312" w:eastAsia="仿宋_GB2312" w:cs="仿宋_GB2312"/>
          <w:bCs/>
          <w:sz w:val="30"/>
          <w:szCs w:val="30"/>
          <w:highlight w:val="none"/>
          <w:lang w:val="en-US" w:eastAsia="zh-CN"/>
        </w:rPr>
        <w:t>3</w:t>
      </w:r>
    </w:p>
    <w:p>
      <w:pPr>
        <w:pStyle w:val="40"/>
        <w:tabs>
          <w:tab w:val="right" w:leader="dot" w:pos="9070"/>
        </w:tabs>
        <w:spacing w:line="500" w:lineRule="exact"/>
        <w:rPr>
          <w:rFonts w:hint="default" w:ascii="仿宋_GB2312" w:hAnsi="仿宋_GB2312" w:eastAsia="仿宋_GB2312" w:cs="仿宋_GB2312"/>
          <w:bCs/>
          <w:sz w:val="30"/>
          <w:szCs w:val="30"/>
          <w:highlight w:val="none"/>
          <w:lang w:val="en-US" w:eastAsia="zh-CN"/>
        </w:rPr>
      </w:pPr>
      <w:r>
        <w:rPr>
          <w:rFonts w:hint="eastAsia" w:ascii="仿宋_GB2312" w:hAnsi="仿宋_GB2312" w:eastAsia="仿宋_GB2312" w:cs="仿宋_GB2312"/>
          <w:bCs/>
          <w:sz w:val="30"/>
          <w:szCs w:val="30"/>
          <w:highlight w:val="none"/>
        </w:rPr>
        <w:t>附件：</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14</w:t>
      </w:r>
    </w:p>
    <w:p>
      <w:pPr>
        <w:spacing w:line="500" w:lineRule="exact"/>
        <w:ind w:firstLine="602" w:firstLineChars="200"/>
        <w:jc w:val="left"/>
        <w:rPr>
          <w:rFonts w:ascii="黑体" w:hAnsi="黑体" w:eastAsia="黑体" w:cs="黑体"/>
          <w:b/>
          <w:bCs/>
          <w:sz w:val="30"/>
          <w:szCs w:val="30"/>
          <w:highlight w:val="none"/>
        </w:rPr>
      </w:pPr>
    </w:p>
    <w:p>
      <w:pPr>
        <w:spacing w:line="500" w:lineRule="exact"/>
        <w:ind w:firstLine="602" w:firstLineChars="200"/>
        <w:jc w:val="left"/>
        <w:rPr>
          <w:rFonts w:ascii="黑体" w:hAnsi="黑体" w:eastAsia="黑体" w:cs="黑体"/>
          <w:b/>
          <w:bCs/>
          <w:sz w:val="30"/>
          <w:szCs w:val="30"/>
          <w:highlight w:val="none"/>
        </w:rPr>
      </w:pPr>
    </w:p>
    <w:p>
      <w:pPr>
        <w:spacing w:line="500" w:lineRule="exact"/>
        <w:ind w:firstLine="602" w:firstLineChars="200"/>
        <w:jc w:val="left"/>
        <w:rPr>
          <w:rFonts w:ascii="黑体" w:hAnsi="黑体" w:eastAsia="黑体" w:cs="黑体"/>
          <w:b/>
          <w:bCs/>
          <w:sz w:val="30"/>
          <w:szCs w:val="30"/>
          <w:highlight w:val="none"/>
        </w:rPr>
      </w:pPr>
    </w:p>
    <w:p>
      <w:pPr>
        <w:spacing w:line="500" w:lineRule="exact"/>
        <w:ind w:firstLine="602" w:firstLineChars="200"/>
        <w:jc w:val="left"/>
        <w:rPr>
          <w:rFonts w:ascii="黑体" w:hAnsi="黑体" w:eastAsia="黑体" w:cs="黑体"/>
          <w:b/>
          <w:bCs/>
          <w:sz w:val="30"/>
          <w:szCs w:val="30"/>
          <w:highlight w:val="none"/>
        </w:rPr>
      </w:pPr>
    </w:p>
    <w:p>
      <w:pPr>
        <w:pStyle w:val="40"/>
        <w:tabs>
          <w:tab w:val="right" w:leader="dot" w:pos="9070"/>
        </w:tabs>
        <w:spacing w:line="500" w:lineRule="exact"/>
        <w:rPr>
          <w:rFonts w:ascii="黑体" w:hAnsi="黑体" w:eastAsia="黑体" w:cs="黑体"/>
          <w:b/>
          <w:bCs/>
          <w:sz w:val="30"/>
          <w:szCs w:val="30"/>
          <w:highlight w:val="none"/>
        </w:rPr>
      </w:pPr>
    </w:p>
    <w:p>
      <w:pPr>
        <w:pStyle w:val="40"/>
        <w:tabs>
          <w:tab w:val="right" w:leader="dot" w:pos="9070"/>
        </w:tabs>
        <w:spacing w:line="500" w:lineRule="exact"/>
        <w:rPr>
          <w:rFonts w:ascii="黑体" w:hAnsi="黑体" w:eastAsia="黑体" w:cs="黑体"/>
          <w:b/>
          <w:bCs/>
          <w:sz w:val="30"/>
          <w:szCs w:val="30"/>
          <w:highlight w:val="none"/>
        </w:rPr>
      </w:pPr>
    </w:p>
    <w:p>
      <w:pPr>
        <w:pStyle w:val="40"/>
        <w:tabs>
          <w:tab w:val="right" w:leader="dot" w:pos="9070"/>
        </w:tabs>
        <w:spacing w:line="500" w:lineRule="exact"/>
        <w:rPr>
          <w:rFonts w:ascii="黑体" w:hAnsi="黑体" w:eastAsia="黑体" w:cs="黑体"/>
          <w:b/>
          <w:bCs/>
          <w:sz w:val="30"/>
          <w:szCs w:val="30"/>
          <w:highlight w:val="none"/>
        </w:rPr>
      </w:pPr>
    </w:p>
    <w:p>
      <w:pPr>
        <w:pStyle w:val="40"/>
        <w:tabs>
          <w:tab w:val="right" w:leader="dot" w:pos="9070"/>
        </w:tabs>
        <w:spacing w:line="500" w:lineRule="exact"/>
        <w:rPr>
          <w:rFonts w:ascii="黑体" w:hAnsi="黑体" w:eastAsia="黑体" w:cs="黑体"/>
          <w:b/>
          <w:bCs/>
          <w:sz w:val="30"/>
          <w:szCs w:val="30"/>
          <w:highlight w:val="none"/>
        </w:rPr>
      </w:pPr>
    </w:p>
    <w:p>
      <w:pPr>
        <w:pStyle w:val="40"/>
        <w:tabs>
          <w:tab w:val="right" w:leader="dot" w:pos="9070"/>
        </w:tabs>
        <w:spacing w:line="500" w:lineRule="exact"/>
        <w:rPr>
          <w:rFonts w:ascii="黑体" w:hAnsi="黑体" w:eastAsia="黑体" w:cs="黑体"/>
          <w:b/>
          <w:bCs/>
          <w:sz w:val="30"/>
          <w:szCs w:val="30"/>
          <w:highlight w:val="none"/>
        </w:rPr>
      </w:pPr>
    </w:p>
    <w:p>
      <w:pPr>
        <w:pStyle w:val="40"/>
        <w:tabs>
          <w:tab w:val="right" w:leader="dot" w:pos="9070"/>
        </w:tabs>
        <w:spacing w:line="500" w:lineRule="exact"/>
        <w:rPr>
          <w:rFonts w:ascii="黑体" w:hAnsi="黑体" w:eastAsia="黑体" w:cs="黑体"/>
          <w:b/>
          <w:bCs/>
          <w:sz w:val="30"/>
          <w:szCs w:val="30"/>
          <w:highlight w:val="none"/>
        </w:rPr>
      </w:pPr>
    </w:p>
    <w:p>
      <w:pPr>
        <w:pStyle w:val="40"/>
        <w:tabs>
          <w:tab w:val="right" w:leader="dot" w:pos="9070"/>
        </w:tabs>
        <w:spacing w:line="500" w:lineRule="exact"/>
        <w:rPr>
          <w:rFonts w:ascii="黑体" w:hAnsi="黑体" w:eastAsia="黑体" w:cs="黑体"/>
          <w:b/>
          <w:bCs/>
          <w:sz w:val="30"/>
          <w:szCs w:val="30"/>
          <w:highlight w:val="none"/>
        </w:rPr>
      </w:pPr>
    </w:p>
    <w:p>
      <w:pPr>
        <w:pStyle w:val="40"/>
        <w:tabs>
          <w:tab w:val="right" w:leader="dot" w:pos="9070"/>
        </w:tabs>
        <w:spacing w:line="500" w:lineRule="exact"/>
        <w:rPr>
          <w:rFonts w:ascii="黑体" w:hAnsi="黑体" w:eastAsia="黑体" w:cs="黑体"/>
          <w:b/>
          <w:bCs/>
          <w:sz w:val="30"/>
          <w:szCs w:val="30"/>
          <w:highlight w:val="none"/>
        </w:rPr>
      </w:pPr>
    </w:p>
    <w:p>
      <w:pPr>
        <w:spacing w:line="500" w:lineRule="exact"/>
        <w:jc w:val="left"/>
        <w:rPr>
          <w:rFonts w:ascii="黑体" w:hAnsi="黑体" w:eastAsia="黑体" w:cs="黑体"/>
          <w:b/>
          <w:bCs/>
          <w:sz w:val="30"/>
          <w:szCs w:val="30"/>
          <w:highlight w:val="none"/>
        </w:rPr>
      </w:pPr>
    </w:p>
    <w:p>
      <w:pPr>
        <w:spacing w:line="500" w:lineRule="exact"/>
        <w:ind w:firstLine="602" w:firstLineChars="200"/>
        <w:jc w:val="left"/>
        <w:outlineLvl w:val="0"/>
        <w:rPr>
          <w:rFonts w:ascii="黑体" w:hAnsi="黑体" w:eastAsia="黑体" w:cs="黑体"/>
          <w:b/>
          <w:bCs/>
          <w:sz w:val="30"/>
          <w:szCs w:val="30"/>
          <w:highlight w:val="none"/>
        </w:rPr>
      </w:pPr>
      <w:bookmarkStart w:id="0" w:name="_Toc14413"/>
      <w:r>
        <w:rPr>
          <w:rFonts w:hint="eastAsia" w:ascii="黑体" w:hAnsi="黑体" w:eastAsia="黑体" w:cs="黑体"/>
          <w:b/>
          <w:bCs/>
          <w:sz w:val="30"/>
          <w:szCs w:val="30"/>
          <w:highlight w:val="none"/>
        </w:rPr>
        <w:t>一、投标人须知</w:t>
      </w:r>
      <w:bookmarkEnd w:id="0"/>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1.招标人：中国重汽集团济南动力有限公司</w:t>
      </w:r>
    </w:p>
    <w:p>
      <w:pPr>
        <w:spacing w:line="500" w:lineRule="exact"/>
        <w:ind w:firstLine="600" w:firstLineChars="200"/>
        <w:jc w:val="left"/>
        <w:rPr>
          <w:rFonts w:hint="default" w:ascii="仿宋_GB2312" w:hAnsi="仿宋" w:eastAsia="仿宋_GB2312"/>
          <w:sz w:val="30"/>
          <w:szCs w:val="30"/>
          <w:highlight w:val="none"/>
          <w:lang w:val="en-US" w:eastAsia="zh-CN"/>
        </w:rPr>
      </w:pPr>
      <w:r>
        <w:rPr>
          <w:rFonts w:hint="eastAsia" w:ascii="仿宋_GB2312" w:hAnsi="仿宋" w:eastAsia="仿宋_GB2312"/>
          <w:sz w:val="30"/>
          <w:szCs w:val="30"/>
          <w:highlight w:val="none"/>
        </w:rPr>
        <w:t>2.项目名称：</w:t>
      </w:r>
      <w:r>
        <w:rPr>
          <w:rFonts w:hint="eastAsia" w:ascii="仿宋_GB2312" w:hAnsi="仿宋" w:eastAsia="仿宋_GB2312"/>
          <w:sz w:val="30"/>
          <w:szCs w:val="30"/>
          <w:highlight w:val="none"/>
          <w:lang w:val="en-US" w:eastAsia="zh-CN"/>
        </w:rPr>
        <w:t>国有企业董监高的履职责任风险及应对措施培训项目</w:t>
      </w:r>
    </w:p>
    <w:p>
      <w:pPr>
        <w:spacing w:line="500" w:lineRule="exact"/>
        <w:ind w:firstLine="600" w:firstLineChars="200"/>
        <w:jc w:val="left"/>
        <w:rPr>
          <w:rFonts w:hint="default" w:ascii="仿宋_GB2312" w:hAnsi="仿宋" w:eastAsia="仿宋_GB2312"/>
          <w:sz w:val="30"/>
          <w:szCs w:val="30"/>
          <w:highlight w:val="none"/>
          <w:lang w:val="en-US" w:eastAsia="zh-CN"/>
        </w:rPr>
      </w:pPr>
      <w:r>
        <w:rPr>
          <w:rFonts w:hint="eastAsia" w:ascii="仿宋_GB2312" w:hAnsi="仿宋" w:eastAsia="仿宋_GB2312"/>
          <w:sz w:val="30"/>
          <w:szCs w:val="30"/>
          <w:highlight w:val="none"/>
          <w:lang w:val="en-US" w:eastAsia="zh-CN"/>
        </w:rPr>
        <w:t>3.项目编号：</w:t>
      </w:r>
      <w:r>
        <w:rPr>
          <w:rFonts w:hint="eastAsia" w:ascii="仿宋_GB2312" w:hAnsi="仿宋" w:eastAsia="仿宋_GB2312"/>
          <w:sz w:val="30"/>
          <w:szCs w:val="30"/>
          <w:highlight w:val="none"/>
          <w:lang w:val="en-US" w:eastAsia="zh-CN"/>
        </w:rPr>
        <w:t>CGZX2025060176</w:t>
      </w:r>
    </w:p>
    <w:p>
      <w:pPr>
        <w:spacing w:line="500" w:lineRule="exact"/>
        <w:ind w:firstLine="600" w:firstLineChars="200"/>
        <w:jc w:val="left"/>
        <w:rPr>
          <w:rFonts w:hint="eastAsia" w:ascii="仿宋_GB2312" w:hAnsi="仿宋" w:eastAsia="仿宋_GB2312"/>
          <w:sz w:val="30"/>
          <w:szCs w:val="30"/>
          <w:highlight w:val="none"/>
          <w:lang w:val="en-US" w:eastAsia="zh-CN"/>
        </w:rPr>
      </w:pPr>
      <w:r>
        <w:rPr>
          <w:rFonts w:hint="eastAsia" w:ascii="仿宋_GB2312" w:hAnsi="仿宋" w:eastAsia="仿宋_GB2312"/>
          <w:sz w:val="30"/>
          <w:szCs w:val="30"/>
          <w:highlight w:val="none"/>
          <w:lang w:val="en-US" w:eastAsia="zh-CN"/>
        </w:rPr>
        <w:t>4.招标内容：</w:t>
      </w:r>
      <w:r>
        <w:rPr>
          <w:rFonts w:hint="eastAsia" w:ascii="仿宋_GB2312" w:hAnsi="仿宋" w:eastAsia="仿宋_GB2312" w:cs="Times New Roman"/>
          <w:kern w:val="2"/>
          <w:sz w:val="30"/>
          <w:szCs w:val="30"/>
          <w:highlight w:val="none"/>
          <w:lang w:val="en-US" w:eastAsia="zh-CN" w:bidi="ar-SA"/>
        </w:rPr>
        <w:t>项目共1期，1个班/期，约180人/班。</w:t>
      </w:r>
      <w:r>
        <w:rPr>
          <w:rFonts w:hint="eastAsia" w:ascii="仿宋_GB2312" w:hAnsi="仿宋" w:eastAsia="仿宋_GB2312"/>
          <w:sz w:val="30"/>
          <w:szCs w:val="30"/>
          <w:highlight w:val="none"/>
          <w:lang w:val="en-US" w:eastAsia="zh-CN"/>
        </w:rPr>
        <w:t>具体内容如下：</w:t>
      </w:r>
    </w:p>
    <w:p>
      <w:pPr>
        <w:spacing w:line="500" w:lineRule="exact"/>
        <w:ind w:firstLine="600" w:firstLineChars="200"/>
        <w:jc w:val="left"/>
        <w:rPr>
          <w:rFonts w:hint="default" w:ascii="仿宋_GB2312" w:hAnsi="仿宋" w:eastAsia="仿宋_GB2312"/>
          <w:sz w:val="30"/>
          <w:szCs w:val="30"/>
          <w:highlight w:val="none"/>
          <w:lang w:val="en-US" w:eastAsia="zh-CN"/>
        </w:rPr>
      </w:pPr>
      <w:r>
        <w:rPr>
          <w:rFonts w:hint="eastAsia" w:ascii="仿宋_GB2312" w:hAnsi="仿宋" w:eastAsia="仿宋_GB2312"/>
          <w:sz w:val="30"/>
          <w:szCs w:val="30"/>
          <w:highlight w:val="none"/>
          <w:lang w:val="en-US" w:eastAsia="zh-CN"/>
        </w:rPr>
        <w:t>系统讲解国有企业公司治理与董监高履职规范，着力提升公司治理运作质效；《公司法》重点修订事项解析；新《公司法》下，董监高的责任风险及应对措施；新《公司法》实施下对国有企业公司治理及董监高职责重塑与挑战等公司治理相关课程培训。</w:t>
      </w:r>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lang w:val="en-US" w:eastAsia="zh-CN"/>
        </w:rPr>
        <w:t>5</w:t>
      </w:r>
      <w:r>
        <w:rPr>
          <w:rFonts w:hint="eastAsia" w:ascii="仿宋_GB2312" w:hAnsi="仿宋" w:eastAsia="仿宋_GB2312"/>
          <w:sz w:val="30"/>
          <w:szCs w:val="30"/>
          <w:highlight w:val="none"/>
        </w:rPr>
        <w:t>.项目周期：</w:t>
      </w:r>
      <w:r>
        <w:rPr>
          <w:rFonts w:hint="eastAsia" w:ascii="仿宋_GB2312" w:hAnsi="仿宋" w:eastAsia="仿宋_GB2312"/>
          <w:sz w:val="30"/>
          <w:szCs w:val="30"/>
          <w:highlight w:val="none"/>
          <w:lang w:val="en-US" w:eastAsia="zh-CN"/>
        </w:rPr>
        <w:t>考虑招标人工作实际，项目周期暂定</w:t>
      </w:r>
      <w:r>
        <w:rPr>
          <w:rFonts w:hint="eastAsia" w:ascii="仿宋_GB2312" w:hAnsi="仿宋" w:eastAsia="仿宋_GB2312"/>
          <w:sz w:val="30"/>
          <w:szCs w:val="30"/>
          <w:highlight w:val="none"/>
        </w:rPr>
        <w:t>202</w:t>
      </w:r>
      <w:r>
        <w:rPr>
          <w:rFonts w:hint="eastAsia" w:ascii="仿宋_GB2312" w:hAnsi="仿宋" w:eastAsia="仿宋_GB2312"/>
          <w:sz w:val="30"/>
          <w:szCs w:val="30"/>
          <w:highlight w:val="none"/>
          <w:lang w:val="en-US" w:eastAsia="zh-CN"/>
        </w:rPr>
        <w:t>5</w:t>
      </w:r>
      <w:r>
        <w:rPr>
          <w:rFonts w:hint="eastAsia" w:ascii="仿宋_GB2312" w:hAnsi="仿宋" w:eastAsia="仿宋_GB2312"/>
          <w:sz w:val="30"/>
          <w:szCs w:val="30"/>
          <w:highlight w:val="none"/>
        </w:rPr>
        <w:t>年</w:t>
      </w:r>
      <w:r>
        <w:rPr>
          <w:rFonts w:hint="eastAsia" w:ascii="仿宋_GB2312" w:hAnsi="仿宋" w:eastAsia="仿宋_GB2312"/>
          <w:sz w:val="30"/>
          <w:szCs w:val="30"/>
          <w:highlight w:val="none"/>
          <w:lang w:val="en-US" w:eastAsia="zh-CN"/>
        </w:rPr>
        <w:t>8</w:t>
      </w:r>
      <w:r>
        <w:rPr>
          <w:rFonts w:hint="eastAsia" w:ascii="仿宋_GB2312" w:hAnsi="仿宋" w:eastAsia="仿宋_GB2312"/>
          <w:sz w:val="30"/>
          <w:szCs w:val="30"/>
          <w:highlight w:val="none"/>
        </w:rPr>
        <w:t>月</w:t>
      </w:r>
      <w:r>
        <w:rPr>
          <w:rFonts w:hint="eastAsia" w:ascii="仿宋_GB2312" w:hAnsi="仿宋" w:eastAsia="仿宋_GB2312"/>
          <w:sz w:val="30"/>
          <w:szCs w:val="30"/>
          <w:highlight w:val="none"/>
          <w:lang w:val="en-US" w:eastAsia="zh-CN"/>
        </w:rPr>
        <w:t>29</w:t>
      </w:r>
      <w:r>
        <w:rPr>
          <w:rFonts w:hint="eastAsia" w:ascii="仿宋_GB2312" w:hAnsi="仿宋" w:eastAsia="仿宋_GB2312"/>
          <w:sz w:val="30"/>
          <w:szCs w:val="30"/>
          <w:highlight w:val="none"/>
        </w:rPr>
        <w:t>日</w:t>
      </w:r>
      <w:r>
        <w:rPr>
          <w:rFonts w:hint="eastAsia" w:ascii="仿宋_GB2312" w:hAnsi="仿宋" w:eastAsia="仿宋_GB2312"/>
          <w:sz w:val="30"/>
          <w:szCs w:val="30"/>
          <w:highlight w:val="none"/>
        </w:rPr>
        <w:t>，最终时间以中标后合同约定的时间为准。</w:t>
      </w:r>
    </w:p>
    <w:p>
      <w:pPr>
        <w:pStyle w:val="9"/>
        <w:spacing w:line="500" w:lineRule="exact"/>
        <w:ind w:firstLine="600" w:firstLineChars="200"/>
        <w:rPr>
          <w:rFonts w:ascii="仿宋_GB2312" w:hAnsi="仿宋" w:eastAsia="仿宋_GB2312" w:cs="Times New Roman"/>
          <w:sz w:val="30"/>
          <w:szCs w:val="30"/>
          <w:highlight w:val="none"/>
        </w:rPr>
      </w:pPr>
      <w:r>
        <w:rPr>
          <w:rFonts w:hint="eastAsia" w:ascii="仿宋_GB2312" w:hAnsi="仿宋" w:eastAsia="仿宋_GB2312"/>
          <w:sz w:val="30"/>
          <w:szCs w:val="30"/>
          <w:highlight w:val="none"/>
          <w:lang w:val="en-US" w:eastAsia="zh-CN"/>
        </w:rPr>
        <w:t>6</w:t>
      </w:r>
      <w:r>
        <w:rPr>
          <w:rFonts w:hint="eastAsia" w:ascii="仿宋_GB2312" w:hAnsi="仿宋" w:eastAsia="仿宋_GB2312" w:cs="Times New Roman"/>
          <w:sz w:val="30"/>
          <w:szCs w:val="30"/>
          <w:highlight w:val="none"/>
        </w:rPr>
        <w:t>.报价方式：</w:t>
      </w:r>
      <w:r>
        <w:rPr>
          <w:rFonts w:hint="eastAsia" w:ascii="仿宋_GB2312" w:hAnsi="仿宋" w:eastAsia="仿宋_GB2312" w:cs="Times New Roman"/>
          <w:sz w:val="30"/>
          <w:szCs w:val="30"/>
          <w:highlight w:val="none"/>
          <w:lang w:val="en-US" w:eastAsia="zh-CN"/>
        </w:rPr>
        <w:t>采用整包整中的方式，进行报价，报价需在重</w:t>
      </w:r>
      <w:r>
        <w:rPr>
          <w:rFonts w:hint="eastAsia" w:ascii="仿宋_GB2312" w:hAnsi="仿宋" w:eastAsia="仿宋_GB2312" w:cs="Times New Roman"/>
          <w:sz w:val="30"/>
          <w:szCs w:val="30"/>
          <w:highlight w:val="none"/>
        </w:rPr>
        <w:t>汽e采通</w:t>
      </w:r>
      <w:r>
        <w:rPr>
          <w:rFonts w:hint="eastAsia" w:ascii="仿宋_GB2312" w:hAnsi="仿宋" w:eastAsia="仿宋_GB2312" w:cs="Times New Roman"/>
          <w:sz w:val="30"/>
          <w:szCs w:val="30"/>
          <w:highlight w:val="none"/>
          <w:lang w:val="en-US" w:eastAsia="zh-CN"/>
        </w:rPr>
        <w:t>完成</w:t>
      </w:r>
      <w:r>
        <w:rPr>
          <w:rFonts w:hint="eastAsia" w:ascii="仿宋_GB2312" w:hAnsi="仿宋" w:eastAsia="仿宋_GB2312" w:cs="Times New Roman"/>
          <w:sz w:val="30"/>
          <w:szCs w:val="30"/>
          <w:highlight w:val="none"/>
        </w:rPr>
        <w:t>。</w:t>
      </w:r>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lang w:val="en-US" w:eastAsia="zh-CN"/>
        </w:rPr>
        <w:t>7</w:t>
      </w:r>
      <w:r>
        <w:rPr>
          <w:rFonts w:hint="eastAsia" w:ascii="仿宋_GB2312" w:hAnsi="仿宋" w:eastAsia="仿宋_GB2312"/>
          <w:sz w:val="30"/>
          <w:szCs w:val="30"/>
          <w:highlight w:val="none"/>
        </w:rPr>
        <w:t>.方案递交</w:t>
      </w:r>
      <w:r>
        <w:rPr>
          <w:rFonts w:hint="eastAsia" w:ascii="仿宋_GB2312" w:hAnsi="仿宋" w:eastAsia="仿宋_GB2312"/>
          <w:color w:val="000000"/>
          <w:sz w:val="30"/>
          <w:szCs w:val="30"/>
          <w:highlight w:val="none"/>
        </w:rPr>
        <w:t>：现场提交方案</w:t>
      </w:r>
      <w:r>
        <w:rPr>
          <w:rFonts w:hint="eastAsia" w:ascii="仿宋_GB2312" w:hAnsi="仿宋" w:eastAsia="仿宋_GB2312"/>
          <w:sz w:val="30"/>
          <w:szCs w:val="30"/>
          <w:highlight w:val="none"/>
        </w:rPr>
        <w:t>。</w:t>
      </w:r>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lang w:val="en-US" w:eastAsia="zh-CN"/>
        </w:rPr>
        <w:t>8</w:t>
      </w:r>
      <w:r>
        <w:rPr>
          <w:rFonts w:hint="eastAsia" w:ascii="仿宋_GB2312" w:hAnsi="仿宋" w:eastAsia="仿宋_GB2312"/>
          <w:sz w:val="30"/>
          <w:szCs w:val="30"/>
          <w:highlight w:val="none"/>
        </w:rPr>
        <w:t>.招标形式：公开招标。</w:t>
      </w:r>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lang w:val="en-US" w:eastAsia="zh-CN"/>
        </w:rPr>
        <w:t>9</w:t>
      </w:r>
      <w:r>
        <w:rPr>
          <w:rFonts w:hint="eastAsia" w:ascii="仿宋_GB2312" w:hAnsi="仿宋" w:eastAsia="仿宋_GB2312"/>
          <w:sz w:val="30"/>
          <w:szCs w:val="30"/>
          <w:highlight w:val="none"/>
        </w:rPr>
        <w:t>.开标：</w:t>
      </w:r>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时间：</w:t>
      </w:r>
      <w:r>
        <w:rPr>
          <w:rFonts w:hint="eastAsia" w:ascii="仿宋_GB2312" w:hAnsi="仿宋" w:eastAsia="仿宋_GB2312"/>
          <w:sz w:val="30"/>
          <w:szCs w:val="30"/>
          <w:highlight w:val="none"/>
        </w:rPr>
        <w:t>202</w:t>
      </w:r>
      <w:r>
        <w:rPr>
          <w:rFonts w:hint="eastAsia" w:ascii="仿宋_GB2312" w:hAnsi="仿宋" w:eastAsia="仿宋_GB2312"/>
          <w:sz w:val="30"/>
          <w:szCs w:val="30"/>
          <w:highlight w:val="none"/>
          <w:lang w:val="en-US" w:eastAsia="zh-CN"/>
        </w:rPr>
        <w:t>5</w:t>
      </w:r>
      <w:r>
        <w:rPr>
          <w:rFonts w:hint="eastAsia" w:ascii="仿宋_GB2312" w:hAnsi="仿宋" w:eastAsia="仿宋_GB2312"/>
          <w:sz w:val="30"/>
          <w:szCs w:val="30"/>
          <w:highlight w:val="none"/>
        </w:rPr>
        <w:t>年</w:t>
      </w:r>
      <w:r>
        <w:rPr>
          <w:rFonts w:hint="eastAsia" w:ascii="仿宋_GB2312" w:hAnsi="仿宋" w:eastAsia="仿宋_GB2312"/>
          <w:sz w:val="30"/>
          <w:szCs w:val="30"/>
          <w:highlight w:val="none"/>
          <w:lang w:val="en-US" w:eastAsia="zh-CN"/>
        </w:rPr>
        <w:t>7</w:t>
      </w:r>
      <w:r>
        <w:rPr>
          <w:rFonts w:hint="eastAsia" w:ascii="仿宋_GB2312" w:hAnsi="仿宋" w:eastAsia="仿宋_GB2312"/>
          <w:sz w:val="30"/>
          <w:szCs w:val="30"/>
          <w:highlight w:val="none"/>
        </w:rPr>
        <w:t>月</w:t>
      </w:r>
      <w:r>
        <w:rPr>
          <w:rFonts w:hint="eastAsia" w:ascii="仿宋_GB2312" w:hAnsi="仿宋" w:eastAsia="仿宋_GB2312"/>
          <w:sz w:val="30"/>
          <w:szCs w:val="30"/>
          <w:highlight w:val="none"/>
          <w:lang w:val="en-US" w:eastAsia="zh-CN"/>
        </w:rPr>
        <w:t>18</w:t>
      </w:r>
      <w:r>
        <w:rPr>
          <w:rFonts w:hint="eastAsia" w:ascii="仿宋_GB2312" w:hAnsi="仿宋" w:eastAsia="仿宋_GB2312"/>
          <w:sz w:val="30"/>
          <w:szCs w:val="30"/>
          <w:highlight w:val="none"/>
        </w:rPr>
        <w:t>日</w:t>
      </w:r>
      <w:r>
        <w:rPr>
          <w:rFonts w:hint="eastAsia" w:ascii="仿宋_GB2312" w:hAnsi="仿宋" w:eastAsia="仿宋_GB2312"/>
          <w:sz w:val="30"/>
          <w:szCs w:val="30"/>
          <w:highlight w:val="none"/>
        </w:rPr>
        <w:t>。</w:t>
      </w:r>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地点：</w:t>
      </w:r>
      <w:bookmarkStart w:id="1" w:name="OLE_LINK3"/>
      <w:bookmarkStart w:id="2" w:name="OLE_LINK2"/>
      <w:r>
        <w:rPr>
          <w:rFonts w:hint="eastAsia" w:ascii="仿宋_GB2312" w:hAnsi="仿宋" w:eastAsia="仿宋_GB2312"/>
          <w:sz w:val="30"/>
          <w:szCs w:val="30"/>
          <w:highlight w:val="none"/>
        </w:rPr>
        <w:t>中国重汽未来科技大厦会议室（具体地点另行通知）</w:t>
      </w:r>
      <w:bookmarkEnd w:id="1"/>
      <w:bookmarkEnd w:id="2"/>
      <w:r>
        <w:rPr>
          <w:rFonts w:hint="eastAsia" w:ascii="仿宋_GB2312" w:hAnsi="仿宋" w:eastAsia="仿宋_GB2312"/>
          <w:sz w:val="30"/>
          <w:szCs w:val="30"/>
          <w:highlight w:val="none"/>
        </w:rPr>
        <w:t>。</w:t>
      </w:r>
    </w:p>
    <w:p>
      <w:pPr>
        <w:spacing w:line="500" w:lineRule="exact"/>
        <w:ind w:firstLine="600" w:firstLineChars="200"/>
        <w:jc w:val="left"/>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10</w:t>
      </w:r>
      <w:r>
        <w:rPr>
          <w:rFonts w:hint="eastAsia" w:ascii="仿宋_GB2312" w:hAnsi="仿宋" w:eastAsia="仿宋_GB2312"/>
          <w:sz w:val="30"/>
          <w:szCs w:val="30"/>
          <w:highlight w:val="none"/>
        </w:rPr>
        <w:t>.联系人：</w:t>
      </w:r>
    </w:p>
    <w:p>
      <w:pPr>
        <w:spacing w:line="500" w:lineRule="exact"/>
        <w:ind w:firstLine="600" w:firstLineChars="200"/>
        <w:jc w:val="left"/>
        <w:rPr>
          <w:rStyle w:val="22"/>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于洋</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15589912536</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邮箱：</w:t>
      </w:r>
      <w:r>
        <w:rPr>
          <w:sz w:val="30"/>
          <w:szCs w:val="30"/>
          <w:highlight w:val="none"/>
        </w:rPr>
        <w:fldChar w:fldCharType="begin"/>
      </w:r>
      <w:r>
        <w:rPr>
          <w:sz w:val="30"/>
          <w:szCs w:val="30"/>
          <w:highlight w:val="none"/>
        </w:rPr>
        <w:instrText xml:space="preserve"> HYPERLINK "mailto:zhongchonglai@sinotruk.com" </w:instrText>
      </w:r>
      <w:r>
        <w:rPr>
          <w:sz w:val="30"/>
          <w:szCs w:val="30"/>
          <w:highlight w:val="none"/>
        </w:rPr>
        <w:fldChar w:fldCharType="separate"/>
      </w:r>
      <w:r>
        <w:rPr>
          <w:rStyle w:val="22"/>
          <w:rFonts w:hint="eastAsia" w:ascii="仿宋_GB2312" w:hAnsi="仿宋" w:eastAsia="仿宋_GB2312"/>
          <w:sz w:val="30"/>
          <w:szCs w:val="30"/>
          <w:highlight w:val="none"/>
          <w:lang w:val="en-US" w:eastAsia="zh-CN"/>
        </w:rPr>
        <w:t>yuyang_gh</w:t>
      </w:r>
      <w:r>
        <w:rPr>
          <w:rStyle w:val="22"/>
          <w:rFonts w:hint="eastAsia" w:ascii="仿宋_GB2312" w:hAnsi="仿宋" w:eastAsia="仿宋_GB2312"/>
          <w:sz w:val="30"/>
          <w:szCs w:val="30"/>
          <w:highlight w:val="none"/>
        </w:rPr>
        <w:t>@sinotruk.com</w:t>
      </w:r>
      <w:r>
        <w:rPr>
          <w:rStyle w:val="22"/>
          <w:rFonts w:hint="eastAsia" w:ascii="仿宋_GB2312" w:hAnsi="仿宋" w:eastAsia="仿宋_GB2312"/>
          <w:sz w:val="30"/>
          <w:szCs w:val="30"/>
          <w:highlight w:val="none"/>
        </w:rPr>
        <w:fldChar w:fldCharType="end"/>
      </w:r>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lang w:val="en-US" w:eastAsia="zh-CN"/>
        </w:rPr>
        <w:t>11</w:t>
      </w:r>
      <w:r>
        <w:rPr>
          <w:rFonts w:hint="eastAsia" w:ascii="仿宋_GB2312" w:hAnsi="仿宋" w:eastAsia="仿宋_GB2312"/>
          <w:sz w:val="30"/>
          <w:szCs w:val="30"/>
          <w:highlight w:val="none"/>
        </w:rPr>
        <w:t>.答疑方式：线上或现场答疑。</w:t>
      </w:r>
    </w:p>
    <w:p>
      <w:pPr>
        <w:spacing w:line="500" w:lineRule="exact"/>
        <w:ind w:firstLine="602" w:firstLineChars="200"/>
        <w:jc w:val="left"/>
        <w:outlineLvl w:val="0"/>
        <w:rPr>
          <w:rFonts w:ascii="黑体" w:hAnsi="黑体" w:eastAsia="黑体" w:cs="黑体"/>
          <w:b/>
          <w:bCs/>
          <w:sz w:val="30"/>
          <w:szCs w:val="30"/>
          <w:highlight w:val="none"/>
        </w:rPr>
      </w:pPr>
      <w:bookmarkStart w:id="3" w:name="_Toc26596"/>
      <w:r>
        <w:rPr>
          <w:rFonts w:hint="eastAsia" w:ascii="黑体" w:hAnsi="黑体" w:eastAsia="黑体" w:cs="黑体"/>
          <w:b/>
          <w:bCs/>
          <w:sz w:val="30"/>
          <w:szCs w:val="30"/>
          <w:highlight w:val="none"/>
        </w:rPr>
        <w:t>二、投标人资格条件及要求</w:t>
      </w:r>
      <w:bookmarkEnd w:id="3"/>
    </w:p>
    <w:p>
      <w:pPr>
        <w:pStyle w:val="9"/>
        <w:spacing w:line="500" w:lineRule="exact"/>
        <w:ind w:firstLine="600" w:firstLineChars="2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1.所有拟投标人需满足以下条件：</w:t>
      </w:r>
    </w:p>
    <w:p>
      <w:pPr>
        <w:pStyle w:val="9"/>
        <w:spacing w:line="500" w:lineRule="exact"/>
        <w:ind w:firstLine="600" w:firstLineChars="2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（1）投标人是企业法人的，必须是在中华人民共和国境内注册的独立法人机构，具有独立承担民事责任能力，原则上投标人注册资金不低于</w:t>
      </w:r>
      <w:r>
        <w:rPr>
          <w:rFonts w:hint="eastAsia" w:ascii="仿宋_GB2312" w:hAnsi="仿宋" w:eastAsia="仿宋_GB2312" w:cs="Times New Roman"/>
          <w:sz w:val="30"/>
          <w:szCs w:val="30"/>
          <w:highlight w:val="none"/>
          <w:lang w:val="en-US" w:eastAsia="zh-CN"/>
        </w:rPr>
        <w:t>10</w:t>
      </w:r>
      <w:r>
        <w:rPr>
          <w:rFonts w:hint="eastAsia" w:ascii="仿宋_GB2312" w:hAnsi="仿宋" w:eastAsia="仿宋_GB2312" w:cs="Times New Roman"/>
          <w:sz w:val="30"/>
          <w:szCs w:val="30"/>
          <w:highlight w:val="none"/>
        </w:rPr>
        <w:t>万元；公司成立三年以上（以营业执照成立日期到开标当日满三年为准）；且经营范围满足招标人需求；并在人员、设备、资金等方面具有承担本项目的能力；投标人是事业单位和社会团体及其分支机构，且经营范围满足招标方需求并在人员、设备、资金等方面具有承担本项目的能力的，可不受注册资金和成立时间限制；</w:t>
      </w:r>
    </w:p>
    <w:p>
      <w:pPr>
        <w:pStyle w:val="9"/>
        <w:spacing w:line="500" w:lineRule="exact"/>
        <w:ind w:firstLine="600" w:firstLineChars="2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（2）投标人应遵守《中华人民共和国招投标法》及有关的法律和法规。具备独立法人资格，具有独立承担民事责任能力、良好的财务状况并具有一定的垫资能力，能切实履行合同。</w:t>
      </w:r>
    </w:p>
    <w:p>
      <w:pPr>
        <w:pStyle w:val="9"/>
        <w:spacing w:line="500" w:lineRule="exact"/>
        <w:ind w:firstLine="600" w:firstLineChars="2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（3）投标人在国家企业信用信息公示系统中有不良记录、近三年的公司财务报表异常、存在与本项目有关的违法及严重违规或被列入招标人“黑名单”的，招标人有权取消其投标资格。</w:t>
      </w:r>
    </w:p>
    <w:p>
      <w:pPr>
        <w:pStyle w:val="9"/>
        <w:spacing w:line="500" w:lineRule="exact"/>
        <w:ind w:firstLine="600" w:firstLineChars="2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4）投标人应有相关或类似培训项目策划执行实施经验，具有良好的风险应对能力，能够认可招标人的工作指令，包括节假日能正常开展工作等要求，并在开标时携带以往项目策划执行资料、企业资信材料、财务报表及完税证明等备查；</w:t>
      </w:r>
    </w:p>
    <w:p>
      <w:pPr>
        <w:pStyle w:val="9"/>
        <w:spacing w:line="500" w:lineRule="exact"/>
        <w:ind w:firstLine="600" w:firstLineChars="2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（5）资格审查方式：</w:t>
      </w:r>
      <w:r>
        <w:rPr>
          <w:rFonts w:hint="eastAsia" w:ascii="仿宋_GB2312" w:hAnsi="仿宋" w:eastAsia="仿宋_GB2312" w:cs="Times New Roman"/>
          <w:sz w:val="30"/>
          <w:szCs w:val="30"/>
          <w:highlight w:val="none"/>
          <w:lang w:val="en-US" w:eastAsia="zh-CN"/>
        </w:rPr>
        <w:t>采用</w:t>
      </w:r>
      <w:r>
        <w:rPr>
          <w:rFonts w:hint="eastAsia" w:ascii="仿宋_GB2312" w:hAnsi="仿宋" w:eastAsia="仿宋_GB2312" w:cs="Times New Roman"/>
          <w:sz w:val="30"/>
          <w:szCs w:val="30"/>
          <w:highlight w:val="none"/>
        </w:rPr>
        <w:t>资格</w:t>
      </w:r>
      <w:r>
        <w:rPr>
          <w:rFonts w:hint="eastAsia" w:ascii="仿宋_GB2312" w:hAnsi="仿宋" w:eastAsia="仿宋_GB2312" w:cs="Times New Roman"/>
          <w:sz w:val="30"/>
          <w:szCs w:val="30"/>
          <w:highlight w:val="none"/>
          <w:lang w:val="en-US" w:eastAsia="zh-CN"/>
        </w:rPr>
        <w:t>预</w:t>
      </w:r>
      <w:r>
        <w:rPr>
          <w:rFonts w:hint="eastAsia" w:ascii="仿宋_GB2312" w:hAnsi="仿宋" w:eastAsia="仿宋_GB2312" w:cs="Times New Roman"/>
          <w:sz w:val="30"/>
          <w:szCs w:val="30"/>
          <w:highlight w:val="none"/>
        </w:rPr>
        <w:t>审</w:t>
      </w:r>
      <w:r>
        <w:rPr>
          <w:rFonts w:hint="eastAsia" w:ascii="仿宋_GB2312" w:hAnsi="仿宋" w:eastAsia="仿宋_GB2312" w:cs="Times New Roman"/>
          <w:sz w:val="30"/>
          <w:szCs w:val="30"/>
          <w:highlight w:val="none"/>
          <w:lang w:eastAsia="zh-CN"/>
        </w:rPr>
        <w:t>，</w:t>
      </w:r>
      <w:r>
        <w:rPr>
          <w:rFonts w:hint="eastAsia" w:ascii="仿宋_GB2312" w:hAnsi="仿宋" w:eastAsia="仿宋_GB2312" w:cs="Times New Roman"/>
          <w:sz w:val="30"/>
          <w:szCs w:val="30"/>
          <w:highlight w:val="none"/>
        </w:rPr>
        <w:t>合格制</w:t>
      </w:r>
      <w:r>
        <w:rPr>
          <w:rFonts w:hint="eastAsia" w:ascii="仿宋_GB2312" w:hAnsi="仿宋" w:eastAsia="仿宋_GB2312" w:cs="Times New Roman"/>
          <w:sz w:val="30"/>
          <w:szCs w:val="30"/>
          <w:highlight w:val="none"/>
          <w:lang w:eastAsia="zh-CN"/>
        </w:rPr>
        <w:t>。</w:t>
      </w:r>
      <w:r>
        <w:rPr>
          <w:rFonts w:hint="eastAsia" w:ascii="仿宋_GB2312" w:hAnsi="仿宋" w:eastAsia="仿宋_GB2312" w:cs="Times New Roman"/>
          <w:sz w:val="30"/>
          <w:szCs w:val="30"/>
          <w:highlight w:val="none"/>
          <w:lang w:val="en-US" w:eastAsia="zh-CN"/>
        </w:rPr>
        <w:t>项目发标后，拟投标人须先应标，招标工作组通过重汽e采通对应标人进行资质审核，审核通过后方可投标</w:t>
      </w:r>
      <w:r>
        <w:rPr>
          <w:rFonts w:hint="eastAsia" w:ascii="仿宋_GB2312" w:hAnsi="仿宋" w:eastAsia="仿宋_GB2312" w:cs="Times New Roman"/>
          <w:sz w:val="30"/>
          <w:szCs w:val="30"/>
          <w:highlight w:val="none"/>
        </w:rPr>
        <w:t>。</w:t>
      </w:r>
    </w:p>
    <w:p>
      <w:pPr>
        <w:pStyle w:val="9"/>
        <w:spacing w:line="500" w:lineRule="exact"/>
        <w:ind w:firstLine="600" w:firstLineChars="2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投标人须知：应明确要求投标人提供</w:t>
      </w:r>
    </w:p>
    <w:p>
      <w:pPr>
        <w:pStyle w:val="9"/>
        <w:spacing w:line="500" w:lineRule="exact"/>
        <w:ind w:firstLine="600" w:firstLineChars="2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 xml:space="preserve">①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pPr>
        <w:pStyle w:val="9"/>
        <w:spacing w:line="500" w:lineRule="exact"/>
        <w:ind w:firstLine="600" w:firstLineChars="2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 xml:space="preserve">②企业最近半年完税证明、信用证明材料（中国人民银行信用代码证+征信报告）； </w:t>
      </w:r>
    </w:p>
    <w:p>
      <w:pPr>
        <w:pStyle w:val="9"/>
        <w:spacing w:line="500" w:lineRule="exact"/>
        <w:ind w:firstLine="600" w:firstLineChars="2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 xml:space="preserve">③年度纳税信用评价信息（可从电子税务局查询截图，需加盖公章）； </w:t>
      </w:r>
    </w:p>
    <w:p>
      <w:pPr>
        <w:pStyle w:val="9"/>
        <w:spacing w:line="500" w:lineRule="exact"/>
        <w:ind w:firstLine="600" w:firstLineChars="2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④企业对外担保说明（写明贵单位对外有无对外担保和质押业务，需加盖公章）。</w:t>
      </w:r>
    </w:p>
    <w:p>
      <w:pPr>
        <w:pStyle w:val="9"/>
        <w:spacing w:line="500" w:lineRule="exact"/>
        <w:ind w:firstLine="600" w:firstLineChars="2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2.投标人对课程材料拥有合法的知识产权或具有合法的来源，有关知识产权中不存在任何侵犯第三方的权益。</w:t>
      </w:r>
    </w:p>
    <w:p>
      <w:pPr>
        <w:pStyle w:val="9"/>
        <w:spacing w:line="500" w:lineRule="exact"/>
        <w:ind w:firstLine="600" w:firstLineChars="2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 xml:space="preserve">3.投标方的直接或间接股东、法定代表人、董事、监事、高管非重汽员工及其亲属。 </w:t>
      </w:r>
    </w:p>
    <w:p>
      <w:pPr>
        <w:spacing w:line="500" w:lineRule="exact"/>
        <w:ind w:firstLine="602" w:firstLineChars="200"/>
        <w:jc w:val="left"/>
        <w:outlineLvl w:val="0"/>
        <w:rPr>
          <w:rFonts w:ascii="黑体" w:hAnsi="黑体" w:eastAsia="黑体" w:cs="黑体"/>
          <w:b/>
          <w:bCs/>
          <w:sz w:val="30"/>
          <w:szCs w:val="30"/>
          <w:highlight w:val="none"/>
        </w:rPr>
      </w:pPr>
      <w:bookmarkStart w:id="4" w:name="_Toc25722"/>
      <w:r>
        <w:rPr>
          <w:rFonts w:hint="eastAsia" w:ascii="黑体" w:hAnsi="黑体" w:eastAsia="黑体" w:cs="黑体"/>
          <w:b/>
          <w:bCs/>
          <w:sz w:val="30"/>
          <w:szCs w:val="30"/>
          <w:highlight w:val="none"/>
        </w:rPr>
        <w:t>三、投标说明</w:t>
      </w:r>
      <w:bookmarkEnd w:id="4"/>
    </w:p>
    <w:p>
      <w:pPr>
        <w:pStyle w:val="37"/>
        <w:spacing w:line="500" w:lineRule="exact"/>
        <w:ind w:firstLine="602"/>
        <w:outlineLvl w:val="1"/>
        <w:rPr>
          <w:rFonts w:ascii="楷体_GB2312" w:hAnsi="楷体_GB2312" w:eastAsia="楷体_GB2312" w:cs="楷体_GB2312"/>
          <w:sz w:val="30"/>
          <w:szCs w:val="30"/>
          <w:highlight w:val="none"/>
        </w:rPr>
      </w:pPr>
      <w:r>
        <w:rPr>
          <w:rFonts w:hint="eastAsia" w:ascii="楷体_GB2312" w:hAnsi="楷体_GB2312" w:eastAsia="楷体_GB2312" w:cs="楷体_GB2312"/>
          <w:sz w:val="30"/>
          <w:szCs w:val="30"/>
          <w:highlight w:val="none"/>
        </w:rPr>
        <w:t>1.招标文件获取</w:t>
      </w:r>
    </w:p>
    <w:p>
      <w:pPr>
        <w:spacing w:line="500" w:lineRule="exact"/>
        <w:ind w:firstLine="600" w:firstLineChars="200"/>
        <w:jc w:val="left"/>
        <w:rPr>
          <w:rFonts w:ascii="仿宋_GB2312" w:hAnsi="仿宋" w:eastAsia="仿宋_GB2312"/>
          <w:sz w:val="30"/>
          <w:szCs w:val="30"/>
          <w:highlight w:val="none"/>
        </w:rPr>
      </w:pPr>
      <w:r>
        <w:rPr>
          <w:rFonts w:hint="eastAsia" w:ascii="仿宋_GB2312" w:hAnsi="黑体" w:eastAsia="仿宋_GB2312"/>
          <w:sz w:val="30"/>
          <w:szCs w:val="30"/>
          <w:highlight w:val="none"/>
        </w:rPr>
        <w:t>招标人将本项目招标文件公布至重汽e采通平台，地址如下：https://ecaitong.sinotruk.com:8012/#/login</w:t>
      </w:r>
      <w:r>
        <w:rPr>
          <w:rFonts w:hint="eastAsia" w:ascii="仿宋_GB2312" w:hAnsi="仿宋" w:eastAsia="仿宋_GB2312"/>
          <w:sz w:val="30"/>
          <w:szCs w:val="30"/>
          <w:highlight w:val="none"/>
        </w:rPr>
        <w:t>。投标人需注册后获取招标文件。具体操作详看</w:t>
      </w:r>
      <w:r>
        <w:rPr>
          <w:rFonts w:hint="eastAsia" w:ascii="仿宋_GB2312" w:hAnsi="仿宋" w:eastAsia="仿宋_GB2312"/>
          <w:sz w:val="30"/>
          <w:szCs w:val="30"/>
          <w:highlight w:val="none"/>
          <w:lang w:val="en-US" w:eastAsia="zh-CN"/>
        </w:rPr>
        <w:t>招标文件末尾后</w:t>
      </w:r>
      <w:r>
        <w:rPr>
          <w:rFonts w:hint="eastAsia" w:ascii="仿宋_GB2312" w:hAnsi="仿宋" w:eastAsia="仿宋_GB2312"/>
          <w:sz w:val="30"/>
          <w:szCs w:val="30"/>
          <w:highlight w:val="none"/>
        </w:rPr>
        <w:t>附件。</w:t>
      </w:r>
    </w:p>
    <w:p>
      <w:pPr>
        <w:pStyle w:val="37"/>
        <w:spacing w:line="500" w:lineRule="exact"/>
        <w:ind w:firstLine="602"/>
        <w:outlineLvl w:val="1"/>
        <w:rPr>
          <w:rFonts w:ascii="楷体_GB2312" w:hAnsi="楷体_GB2312" w:eastAsia="楷体_GB2312" w:cs="楷体_GB2312"/>
          <w:sz w:val="30"/>
          <w:szCs w:val="30"/>
          <w:highlight w:val="none"/>
        </w:rPr>
      </w:pPr>
      <w:r>
        <w:rPr>
          <w:rFonts w:hint="eastAsia" w:ascii="楷体_GB2312" w:hAnsi="楷体_GB2312" w:eastAsia="楷体_GB2312" w:cs="楷体_GB2312"/>
          <w:sz w:val="30"/>
          <w:szCs w:val="30"/>
          <w:highlight w:val="none"/>
        </w:rPr>
        <w:t>2.报名方式</w:t>
      </w:r>
    </w:p>
    <w:p>
      <w:pPr>
        <w:pStyle w:val="39"/>
        <w:spacing w:line="500" w:lineRule="exact"/>
        <w:ind w:firstLine="6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投标人根据招标人在</w:t>
      </w:r>
      <w:r>
        <w:rPr>
          <w:rFonts w:hint="eastAsia" w:ascii="黑体" w:hAnsi="黑体" w:eastAsia="黑体" w:cs="黑体"/>
          <w:b/>
          <w:bCs/>
          <w:sz w:val="30"/>
          <w:szCs w:val="30"/>
          <w:highlight w:val="none"/>
        </w:rPr>
        <w:t>中国重汽官网、山东省阳光采购服务平台、中国招标投标公共服务平台</w:t>
      </w:r>
      <w:r>
        <w:rPr>
          <w:rFonts w:hint="eastAsia" w:ascii="仿宋_GB2312" w:hAnsi="仿宋" w:eastAsia="仿宋_GB2312" w:cs="Times New Roman"/>
          <w:sz w:val="30"/>
          <w:szCs w:val="30"/>
          <w:highlight w:val="none"/>
        </w:rPr>
        <w:t>等公开媒体上发布的招标信息，在“中国重汽e采通”平台报名。按照中国重汽e采通“SRM非生产供应商注册手册”进行注册，注册时请填写：项目名称和项目编号，供货类别选择“非生产招标/服务/培训教学”。其他的据实填写。</w:t>
      </w:r>
    </w:p>
    <w:p>
      <w:pPr>
        <w:pStyle w:val="39"/>
        <w:spacing w:line="500" w:lineRule="exact"/>
        <w:ind w:firstLine="6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注册完成后登录“e采通平台”进入“供应商应标”，选择对应的项目，点击“应标”后按照投标文件组成资格证明文件要求准备资料并上传，资质审查通过即为报名成功；公示期间请尽快应标。</w:t>
      </w:r>
    </w:p>
    <w:p>
      <w:pPr>
        <w:pStyle w:val="9"/>
        <w:spacing w:line="500" w:lineRule="exact"/>
        <w:ind w:firstLine="600" w:firstLineChars="200"/>
        <w:rPr>
          <w:rFonts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rPr>
        <w:t>（1）发标时间：</w:t>
      </w:r>
      <w:r>
        <w:rPr>
          <w:rFonts w:hint="eastAsia" w:ascii="仿宋_GB2312" w:hAnsi="仿宋" w:eastAsia="仿宋_GB2312" w:cs="Times New Roman"/>
          <w:color w:val="000000"/>
          <w:sz w:val="30"/>
          <w:szCs w:val="30"/>
          <w:highlight w:val="none"/>
        </w:rPr>
        <w:t>202</w:t>
      </w:r>
      <w:r>
        <w:rPr>
          <w:rFonts w:hint="eastAsia" w:ascii="仿宋_GB2312" w:hAnsi="仿宋" w:eastAsia="仿宋_GB2312" w:cs="Times New Roman"/>
          <w:color w:val="000000"/>
          <w:sz w:val="30"/>
          <w:szCs w:val="30"/>
          <w:highlight w:val="none"/>
          <w:lang w:val="en-US" w:eastAsia="zh-CN"/>
        </w:rPr>
        <w:t>5</w:t>
      </w:r>
      <w:r>
        <w:rPr>
          <w:rFonts w:hint="eastAsia" w:ascii="仿宋_GB2312" w:hAnsi="仿宋" w:eastAsia="仿宋_GB2312" w:cs="Times New Roman"/>
          <w:color w:val="000000"/>
          <w:sz w:val="30"/>
          <w:szCs w:val="30"/>
          <w:highlight w:val="none"/>
        </w:rPr>
        <w:t>年</w:t>
      </w:r>
      <w:r>
        <w:rPr>
          <w:rFonts w:hint="eastAsia" w:ascii="仿宋_GB2312" w:hAnsi="仿宋" w:eastAsia="仿宋_GB2312" w:cs="Times New Roman"/>
          <w:color w:val="000000"/>
          <w:sz w:val="30"/>
          <w:szCs w:val="30"/>
          <w:highlight w:val="none"/>
          <w:lang w:val="en-US" w:eastAsia="zh-CN"/>
        </w:rPr>
        <w:t>7</w:t>
      </w:r>
      <w:r>
        <w:rPr>
          <w:rFonts w:hint="eastAsia" w:ascii="仿宋_GB2312" w:hAnsi="仿宋" w:eastAsia="仿宋_GB2312" w:cs="Times New Roman"/>
          <w:color w:val="000000"/>
          <w:sz w:val="30"/>
          <w:szCs w:val="30"/>
          <w:highlight w:val="none"/>
        </w:rPr>
        <w:t>月</w:t>
      </w:r>
      <w:r>
        <w:rPr>
          <w:rFonts w:hint="eastAsia" w:ascii="仿宋_GB2312" w:hAnsi="仿宋" w:eastAsia="仿宋_GB2312" w:cs="Times New Roman"/>
          <w:color w:val="000000"/>
          <w:sz w:val="30"/>
          <w:szCs w:val="30"/>
          <w:highlight w:val="none"/>
          <w:lang w:val="en-US" w:eastAsia="zh-CN"/>
        </w:rPr>
        <w:t>3</w:t>
      </w:r>
      <w:r>
        <w:rPr>
          <w:rFonts w:hint="eastAsia" w:ascii="仿宋_GB2312" w:hAnsi="仿宋" w:eastAsia="仿宋_GB2312" w:cs="Times New Roman"/>
          <w:color w:val="000000"/>
          <w:sz w:val="30"/>
          <w:szCs w:val="30"/>
          <w:highlight w:val="none"/>
        </w:rPr>
        <w:t>日</w:t>
      </w:r>
      <w:r>
        <w:rPr>
          <w:rFonts w:hint="eastAsia" w:ascii="仿宋_GB2312" w:hAnsi="仿宋" w:eastAsia="仿宋_GB2312" w:cs="Times New Roman"/>
          <w:color w:val="000000"/>
          <w:sz w:val="30"/>
          <w:szCs w:val="30"/>
          <w:highlight w:val="none"/>
        </w:rPr>
        <w:t>；</w:t>
      </w:r>
    </w:p>
    <w:p>
      <w:pPr>
        <w:pStyle w:val="9"/>
        <w:spacing w:line="500" w:lineRule="exact"/>
        <w:ind w:firstLine="600" w:firstLineChars="200"/>
        <w:rPr>
          <w:rFonts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rPr>
        <w:t>（2）应标截止时间：</w:t>
      </w:r>
      <w:r>
        <w:rPr>
          <w:rFonts w:hint="eastAsia" w:ascii="仿宋_GB2312" w:hAnsi="仿宋" w:eastAsia="仿宋_GB2312" w:cs="Times New Roman"/>
          <w:color w:val="000000"/>
          <w:sz w:val="30"/>
          <w:szCs w:val="30"/>
          <w:highlight w:val="none"/>
        </w:rPr>
        <w:t>202</w:t>
      </w:r>
      <w:r>
        <w:rPr>
          <w:rFonts w:hint="eastAsia" w:ascii="仿宋_GB2312" w:hAnsi="仿宋" w:eastAsia="仿宋_GB2312" w:cs="Times New Roman"/>
          <w:color w:val="000000"/>
          <w:sz w:val="30"/>
          <w:szCs w:val="30"/>
          <w:highlight w:val="none"/>
          <w:lang w:val="en-US" w:eastAsia="zh-CN"/>
        </w:rPr>
        <w:t>5</w:t>
      </w:r>
      <w:r>
        <w:rPr>
          <w:rFonts w:hint="eastAsia" w:ascii="仿宋_GB2312" w:hAnsi="仿宋" w:eastAsia="仿宋_GB2312" w:cs="Times New Roman"/>
          <w:color w:val="000000"/>
          <w:sz w:val="30"/>
          <w:szCs w:val="30"/>
          <w:highlight w:val="none"/>
        </w:rPr>
        <w:t>年</w:t>
      </w:r>
      <w:r>
        <w:rPr>
          <w:rFonts w:hint="eastAsia" w:ascii="仿宋_GB2312" w:hAnsi="仿宋" w:eastAsia="仿宋_GB2312" w:cs="Times New Roman"/>
          <w:color w:val="000000"/>
          <w:sz w:val="30"/>
          <w:szCs w:val="30"/>
          <w:highlight w:val="none"/>
          <w:lang w:val="en-US" w:eastAsia="zh-CN"/>
        </w:rPr>
        <w:t>7</w:t>
      </w:r>
      <w:r>
        <w:rPr>
          <w:rFonts w:hint="eastAsia" w:ascii="仿宋_GB2312" w:hAnsi="仿宋" w:eastAsia="仿宋_GB2312" w:cs="Times New Roman"/>
          <w:color w:val="000000"/>
          <w:sz w:val="30"/>
          <w:szCs w:val="30"/>
          <w:highlight w:val="none"/>
        </w:rPr>
        <w:t>月</w:t>
      </w:r>
      <w:r>
        <w:rPr>
          <w:rFonts w:hint="eastAsia" w:ascii="仿宋_GB2312" w:hAnsi="仿宋" w:eastAsia="仿宋_GB2312" w:cs="Times New Roman"/>
          <w:color w:val="000000"/>
          <w:sz w:val="30"/>
          <w:szCs w:val="30"/>
          <w:highlight w:val="none"/>
          <w:lang w:val="en-US" w:eastAsia="zh-CN"/>
        </w:rPr>
        <w:t>17</w:t>
      </w:r>
      <w:r>
        <w:rPr>
          <w:rFonts w:hint="eastAsia" w:ascii="仿宋_GB2312" w:hAnsi="仿宋" w:eastAsia="仿宋_GB2312" w:cs="Times New Roman"/>
          <w:color w:val="000000"/>
          <w:sz w:val="30"/>
          <w:szCs w:val="30"/>
          <w:highlight w:val="none"/>
        </w:rPr>
        <w:t>日</w:t>
      </w:r>
      <w:r>
        <w:rPr>
          <w:rFonts w:hint="eastAsia" w:ascii="仿宋_GB2312" w:hAnsi="仿宋" w:eastAsia="仿宋_GB2312" w:cs="Times New Roman"/>
          <w:color w:val="000000"/>
          <w:sz w:val="30"/>
          <w:szCs w:val="30"/>
          <w:highlight w:val="none"/>
        </w:rPr>
        <w:t>；</w:t>
      </w:r>
    </w:p>
    <w:p>
      <w:pPr>
        <w:pStyle w:val="9"/>
        <w:spacing w:line="500" w:lineRule="exact"/>
        <w:ind w:firstLine="600" w:firstLineChars="200"/>
        <w:rPr>
          <w:rFonts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rPr>
        <w:t>（3）答疑时间：如果投标人对招标文件商务部分、技术部分有疑问，请各投标人在本答疑环节提出。提交疑问时间：</w:t>
      </w:r>
      <w:r>
        <w:rPr>
          <w:rFonts w:hint="eastAsia" w:ascii="仿宋_GB2312" w:hAnsi="仿宋" w:eastAsia="仿宋_GB2312" w:cs="Times New Roman"/>
          <w:color w:val="000000"/>
          <w:sz w:val="30"/>
          <w:szCs w:val="30"/>
          <w:highlight w:val="none"/>
        </w:rPr>
        <w:t>202</w:t>
      </w:r>
      <w:r>
        <w:rPr>
          <w:rFonts w:hint="eastAsia" w:ascii="仿宋_GB2312" w:hAnsi="仿宋" w:eastAsia="仿宋_GB2312" w:cs="Times New Roman"/>
          <w:color w:val="000000"/>
          <w:sz w:val="30"/>
          <w:szCs w:val="30"/>
          <w:highlight w:val="none"/>
          <w:lang w:val="en-US" w:eastAsia="zh-CN"/>
        </w:rPr>
        <w:t>5</w:t>
      </w:r>
      <w:r>
        <w:rPr>
          <w:rFonts w:hint="eastAsia" w:ascii="仿宋_GB2312" w:hAnsi="仿宋" w:eastAsia="仿宋_GB2312" w:cs="Times New Roman"/>
          <w:color w:val="000000"/>
          <w:sz w:val="30"/>
          <w:szCs w:val="30"/>
          <w:highlight w:val="none"/>
        </w:rPr>
        <w:t>年</w:t>
      </w:r>
      <w:r>
        <w:rPr>
          <w:rFonts w:hint="eastAsia" w:ascii="仿宋_GB2312" w:hAnsi="仿宋" w:eastAsia="仿宋_GB2312" w:cs="Times New Roman"/>
          <w:color w:val="000000"/>
          <w:sz w:val="30"/>
          <w:szCs w:val="30"/>
          <w:highlight w:val="none"/>
          <w:lang w:val="en-US" w:eastAsia="zh-CN"/>
        </w:rPr>
        <w:t>7</w:t>
      </w:r>
      <w:r>
        <w:rPr>
          <w:rFonts w:hint="eastAsia" w:ascii="仿宋_GB2312" w:hAnsi="仿宋" w:eastAsia="仿宋_GB2312" w:cs="Times New Roman"/>
          <w:color w:val="000000"/>
          <w:sz w:val="30"/>
          <w:szCs w:val="30"/>
          <w:highlight w:val="none"/>
        </w:rPr>
        <w:t>月</w:t>
      </w:r>
      <w:r>
        <w:rPr>
          <w:rFonts w:hint="eastAsia" w:ascii="仿宋_GB2312" w:hAnsi="仿宋" w:eastAsia="仿宋_GB2312" w:cs="Times New Roman"/>
          <w:color w:val="000000"/>
          <w:sz w:val="30"/>
          <w:szCs w:val="30"/>
          <w:highlight w:val="none"/>
          <w:lang w:val="en-US" w:eastAsia="zh-CN"/>
        </w:rPr>
        <w:t>17</w:t>
      </w:r>
      <w:r>
        <w:rPr>
          <w:rFonts w:hint="eastAsia" w:ascii="仿宋_GB2312" w:hAnsi="仿宋" w:eastAsia="仿宋_GB2312" w:cs="Times New Roman"/>
          <w:color w:val="000000"/>
          <w:sz w:val="30"/>
          <w:szCs w:val="30"/>
          <w:highlight w:val="none"/>
        </w:rPr>
        <w:t>日17:00前</w:t>
      </w:r>
      <w:r>
        <w:rPr>
          <w:rFonts w:hint="eastAsia" w:ascii="仿宋_GB2312" w:hAnsi="仿宋" w:eastAsia="仿宋_GB2312" w:cs="Times New Roman"/>
          <w:color w:val="000000"/>
          <w:sz w:val="30"/>
          <w:szCs w:val="30"/>
          <w:highlight w:val="none"/>
        </w:rPr>
        <w:t>；提交疑问方式：将答疑问题以word文件格式发送至联系人邮件内，并电话联系工作人员查收，邮件名格式为：XXX公司（五个字以内公司简称）XX项目答疑文件。同时必须在邮件中以文字方式提供投标人全称、投标授权人姓名、联系方式（固定电话、手机、电子邮箱），并提供法定代表人授权委托书。</w:t>
      </w:r>
    </w:p>
    <w:p>
      <w:pPr>
        <w:pStyle w:val="37"/>
        <w:spacing w:line="500" w:lineRule="exact"/>
        <w:ind w:firstLine="602"/>
        <w:outlineLvl w:val="1"/>
        <w:rPr>
          <w:rFonts w:ascii="楷体_GB2312" w:hAnsi="楷体_GB2312" w:eastAsia="楷体_GB2312" w:cs="楷体_GB2312"/>
          <w:sz w:val="30"/>
          <w:szCs w:val="30"/>
          <w:highlight w:val="none"/>
        </w:rPr>
      </w:pPr>
      <w:r>
        <w:rPr>
          <w:rFonts w:hint="eastAsia" w:ascii="楷体_GB2312" w:hAnsi="楷体_GB2312" w:eastAsia="楷体_GB2312" w:cs="楷体_GB2312"/>
          <w:sz w:val="30"/>
          <w:szCs w:val="30"/>
          <w:highlight w:val="none"/>
        </w:rPr>
        <w:t>3.投标保证金</w:t>
      </w:r>
    </w:p>
    <w:p>
      <w:pPr>
        <w:pStyle w:val="39"/>
        <w:spacing w:line="500" w:lineRule="exact"/>
        <w:ind w:firstLine="6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 xml:space="preserve">投标人须向招标人缴纳投标保证金，投标保证金为 </w:t>
      </w:r>
      <w:r>
        <w:rPr>
          <w:rFonts w:hint="eastAsia" w:ascii="仿宋_GB2312" w:hAnsi="仿宋" w:eastAsia="仿宋_GB2312" w:cs="Times New Roman"/>
          <w:sz w:val="30"/>
          <w:szCs w:val="30"/>
          <w:highlight w:val="none"/>
          <w:lang w:val="en-US" w:eastAsia="zh-CN"/>
        </w:rPr>
        <w:t>5</w:t>
      </w:r>
      <w:r>
        <w:rPr>
          <w:rFonts w:hint="eastAsia" w:ascii="仿宋_GB2312" w:hAnsi="仿宋" w:eastAsia="仿宋_GB2312" w:cs="Times New Roman"/>
          <w:sz w:val="30"/>
          <w:szCs w:val="30"/>
          <w:highlight w:val="none"/>
        </w:rPr>
        <w:t>000 元（人民币大写壹万元整），本次招标收取的投标保证金公对公（基本账户）以现汇形式进行交款，不允许以个人名义交款，汇款时必须注明“</w:t>
      </w:r>
      <w:r>
        <w:rPr>
          <w:rFonts w:hint="eastAsia" w:ascii="仿宋_GB2312" w:hAnsi="仿宋" w:eastAsia="仿宋_GB2312" w:cs="Times New Roman"/>
          <w:sz w:val="30"/>
          <w:szCs w:val="30"/>
          <w:highlight w:val="none"/>
          <w:lang w:eastAsia="zh-CN"/>
        </w:rPr>
        <w:t>国有企业董监高的履职责任风险及应对措施培训项目</w:t>
      </w:r>
      <w:r>
        <w:rPr>
          <w:rFonts w:hint="eastAsia" w:ascii="仿宋_GB2312" w:hAnsi="仿宋" w:eastAsia="仿宋_GB2312" w:cs="Times New Roman"/>
          <w:sz w:val="30"/>
          <w:szCs w:val="30"/>
          <w:highlight w:val="none"/>
        </w:rPr>
        <w:t xml:space="preserve">招标采购招标处置保证金”，收款开户行及账户见下： </w:t>
      </w:r>
    </w:p>
    <w:p>
      <w:pPr>
        <w:pStyle w:val="39"/>
        <w:spacing w:line="500" w:lineRule="exact"/>
        <w:ind w:firstLine="6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名称：中国重汽集团济南动力有限公司</w:t>
      </w:r>
    </w:p>
    <w:p>
      <w:pPr>
        <w:pStyle w:val="39"/>
        <w:spacing w:line="500" w:lineRule="exact"/>
        <w:ind w:firstLine="6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地址：山东省济南市高新区华奥路777号</w:t>
      </w:r>
    </w:p>
    <w:p>
      <w:pPr>
        <w:pStyle w:val="39"/>
        <w:spacing w:line="500" w:lineRule="exact"/>
        <w:ind w:firstLine="6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电话：58062126</w:t>
      </w:r>
    </w:p>
    <w:p>
      <w:pPr>
        <w:pStyle w:val="39"/>
        <w:spacing w:line="500" w:lineRule="exact"/>
        <w:ind w:firstLine="6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账号：37001616508050150300</w:t>
      </w:r>
    </w:p>
    <w:p>
      <w:pPr>
        <w:pStyle w:val="39"/>
        <w:spacing w:line="500" w:lineRule="exact"/>
        <w:ind w:firstLine="6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开户行行号：105451000362</w:t>
      </w:r>
    </w:p>
    <w:p>
      <w:pPr>
        <w:pStyle w:val="39"/>
        <w:spacing w:line="500" w:lineRule="exact"/>
        <w:ind w:firstLine="6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财务电话：0531-58062181</w:t>
      </w:r>
    </w:p>
    <w:p>
      <w:pPr>
        <w:pStyle w:val="39"/>
        <w:spacing w:line="500" w:lineRule="exact"/>
        <w:ind w:firstLine="6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开户行：中国建设银行济南市天桥区支行</w:t>
      </w:r>
    </w:p>
    <w:p>
      <w:pPr>
        <w:pStyle w:val="39"/>
        <w:spacing w:line="500" w:lineRule="exact"/>
        <w:ind w:firstLine="600"/>
        <w:rPr>
          <w:rFonts w:hint="default" w:ascii="仿宋_GB2312" w:hAnsi="仿宋" w:eastAsia="仿宋_GB2312" w:cs="Times New Roman"/>
          <w:sz w:val="30"/>
          <w:szCs w:val="30"/>
          <w:highlight w:val="none"/>
          <w:lang w:val="en-US" w:eastAsia="zh-CN"/>
        </w:rPr>
      </w:pPr>
      <w:r>
        <w:rPr>
          <w:rFonts w:hint="eastAsia" w:ascii="仿宋_GB2312" w:hAnsi="仿宋" w:eastAsia="仿宋_GB2312" w:cs="Times New Roman"/>
          <w:sz w:val="30"/>
          <w:szCs w:val="30"/>
          <w:highlight w:val="none"/>
        </w:rPr>
        <w:t>投标人需将付款证明发送至邮箱。开标时，投标人须向招标人提供付款证明。中标单位的招标保证金在合同签订后的下一月返还到交纳账户；未中标单位的投标保证金在中标结果公布后的下一月返还到交纳账户；开标现场被判定为否决单位的，其投标保证金在开标之后的下一月返还到交纳账户。</w:t>
      </w:r>
      <w:r>
        <w:rPr>
          <w:rFonts w:hint="eastAsia" w:ascii="仿宋_GB2312" w:hAnsi="仿宋" w:eastAsia="仿宋_GB2312" w:cs="Times New Roman"/>
          <w:sz w:val="30"/>
          <w:szCs w:val="30"/>
          <w:highlight w:val="none"/>
          <w:lang w:val="en-US" w:eastAsia="zh-CN"/>
        </w:rPr>
        <w:t>保证金均为无息返还。</w:t>
      </w:r>
    </w:p>
    <w:p>
      <w:pPr>
        <w:pStyle w:val="39"/>
        <w:spacing w:line="500" w:lineRule="exact"/>
        <w:ind w:firstLine="6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发生以下情况时，招标人有权没收投标保证金：</w:t>
      </w:r>
    </w:p>
    <w:p>
      <w:pPr>
        <w:pStyle w:val="39"/>
        <w:spacing w:line="500" w:lineRule="exact"/>
        <w:ind w:firstLine="6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a）截至开标前 3 天，投标人无正当理由、未以书面形式向招标人递交说明而在投标截止日不来投标的；</w:t>
      </w:r>
    </w:p>
    <w:p>
      <w:pPr>
        <w:pStyle w:val="39"/>
        <w:spacing w:line="500" w:lineRule="exact"/>
        <w:ind w:firstLine="6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b）投标人递送投标文件后，无正当理由放弃投标的；</w:t>
      </w:r>
    </w:p>
    <w:p>
      <w:pPr>
        <w:pStyle w:val="39"/>
        <w:spacing w:line="500" w:lineRule="exact"/>
        <w:ind w:firstLine="6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c）自中标通知书发出之日起 30 日内，中标人无正当理由不与招标人签订合同的；</w:t>
      </w:r>
    </w:p>
    <w:p>
      <w:pPr>
        <w:pStyle w:val="39"/>
        <w:spacing w:line="500" w:lineRule="exact"/>
        <w:ind w:firstLine="6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d）投标人在投标过程中被查实有串标、围标、陪标等违法违纪行为的；</w:t>
      </w:r>
    </w:p>
    <w:p>
      <w:pPr>
        <w:pStyle w:val="39"/>
        <w:spacing w:line="500" w:lineRule="exact"/>
        <w:ind w:firstLine="6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e）投标人有违约违规行为或被投诉、举报的，在调查处理期间，保证金暂不退还，待调查处理结束后按有关规定处理。</w:t>
      </w:r>
    </w:p>
    <w:p>
      <w:pPr>
        <w:spacing w:line="500" w:lineRule="exact"/>
        <w:ind w:firstLine="602" w:firstLineChars="200"/>
        <w:jc w:val="left"/>
        <w:outlineLvl w:val="1"/>
        <w:rPr>
          <w:rFonts w:ascii="楷体_GB2312" w:hAnsi="楷体_GB2312" w:eastAsia="楷体_GB2312" w:cs="楷体_GB2312"/>
          <w:b/>
          <w:bCs/>
          <w:sz w:val="30"/>
          <w:szCs w:val="30"/>
          <w:highlight w:val="none"/>
        </w:rPr>
      </w:pPr>
      <w:r>
        <w:rPr>
          <w:rFonts w:hint="eastAsia" w:ascii="楷体_GB2312" w:hAnsi="楷体_GB2312" w:eastAsia="楷体_GB2312" w:cs="楷体_GB2312"/>
          <w:b/>
          <w:bCs/>
          <w:sz w:val="30"/>
          <w:szCs w:val="30"/>
          <w:highlight w:val="none"/>
        </w:rPr>
        <w:t>4.投标报价</w:t>
      </w:r>
    </w:p>
    <w:p>
      <w:pPr>
        <w:pStyle w:val="9"/>
        <w:spacing w:line="500" w:lineRule="exact"/>
        <w:ind w:firstLine="600" w:firstLineChars="200"/>
        <w:rPr>
          <w:rFonts w:hint="eastAsia"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rPr>
        <w:t>4.1投标人</w:t>
      </w:r>
    </w:p>
    <w:p>
      <w:pPr>
        <w:pStyle w:val="9"/>
        <w:spacing w:line="500" w:lineRule="exact"/>
        <w:ind w:firstLine="600" w:firstLineChars="200"/>
        <w:rPr>
          <w:rFonts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rPr>
        <w:t>须在投标截止日期前将电子标书上传到重汽e采通平台。若逾期未完成重汽e采通上传标书，投标无效。</w:t>
      </w:r>
    </w:p>
    <w:p>
      <w:pPr>
        <w:pStyle w:val="9"/>
        <w:spacing w:line="500" w:lineRule="exact"/>
        <w:ind w:firstLine="600" w:firstLineChars="200"/>
        <w:rPr>
          <w:rFonts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rPr>
        <w:t>4.2投标报价应包括培训课程开发及师资、培训物料等全部费用，除此之外，采购方无需支付任何费用。</w:t>
      </w:r>
    </w:p>
    <w:p>
      <w:pPr>
        <w:pStyle w:val="9"/>
        <w:spacing w:line="500" w:lineRule="exact"/>
        <w:ind w:firstLine="600" w:firstLineChars="200"/>
        <w:rPr>
          <w:rFonts w:hint="eastAsia"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rPr>
        <w:t>4.3报价货币单位为元（人民币），报价时须注明不含税价、税率以及价税合计等信息。</w:t>
      </w:r>
    </w:p>
    <w:p>
      <w:pPr>
        <w:pStyle w:val="9"/>
        <w:spacing w:line="500" w:lineRule="exact"/>
        <w:ind w:firstLine="600" w:firstLineChars="200"/>
        <w:rPr>
          <w:rFonts w:hint="default" w:ascii="黑体" w:hAnsi="黑体" w:eastAsia="黑体" w:cs="黑体"/>
          <w:b/>
          <w:bCs/>
          <w:kern w:val="2"/>
          <w:sz w:val="30"/>
          <w:szCs w:val="30"/>
          <w:highlight w:val="none"/>
          <w:lang w:val="en-US" w:eastAsia="zh-CN" w:bidi="ar-SA"/>
        </w:rPr>
      </w:pPr>
      <w:r>
        <w:rPr>
          <w:rFonts w:hint="eastAsia" w:ascii="仿宋_GB2312" w:hAnsi="仿宋" w:eastAsia="仿宋_GB2312" w:cs="Times New Roman"/>
          <w:color w:val="000000"/>
          <w:sz w:val="30"/>
          <w:szCs w:val="30"/>
          <w:highlight w:val="none"/>
          <w:lang w:val="en-US" w:eastAsia="zh-CN"/>
        </w:rPr>
        <w:t>4.4投标限价：</w:t>
      </w:r>
      <w:r>
        <w:rPr>
          <w:rFonts w:hint="eastAsia" w:ascii="黑体" w:hAnsi="黑体" w:eastAsia="黑体" w:cs="黑体"/>
          <w:b/>
          <w:bCs/>
          <w:kern w:val="2"/>
          <w:sz w:val="30"/>
          <w:szCs w:val="30"/>
          <w:highlight w:val="none"/>
          <w:lang w:val="en-US" w:eastAsia="zh-CN" w:bidi="ar-SA"/>
        </w:rPr>
        <w:t>人民币5万元（含税），超过该价格无法投标。</w:t>
      </w:r>
    </w:p>
    <w:p>
      <w:pPr>
        <w:spacing w:line="500" w:lineRule="exact"/>
        <w:ind w:firstLine="602" w:firstLineChars="200"/>
        <w:jc w:val="left"/>
        <w:outlineLvl w:val="1"/>
        <w:rPr>
          <w:rFonts w:ascii="楷体_GB2312" w:hAnsi="楷体_GB2312" w:eastAsia="楷体_GB2312" w:cs="楷体_GB2312"/>
          <w:b/>
          <w:bCs/>
          <w:sz w:val="30"/>
          <w:szCs w:val="30"/>
          <w:highlight w:val="none"/>
        </w:rPr>
      </w:pPr>
      <w:r>
        <w:rPr>
          <w:rFonts w:hint="eastAsia" w:ascii="楷体_GB2312" w:hAnsi="楷体_GB2312" w:eastAsia="楷体_GB2312" w:cs="楷体_GB2312"/>
          <w:b/>
          <w:bCs/>
          <w:sz w:val="30"/>
          <w:szCs w:val="30"/>
          <w:highlight w:val="none"/>
        </w:rPr>
        <w:t>5.评标过程</w:t>
      </w:r>
    </w:p>
    <w:p>
      <w:pPr>
        <w:spacing w:line="500" w:lineRule="exact"/>
        <w:ind w:firstLine="600" w:firstLineChars="200"/>
        <w:jc w:val="left"/>
        <w:outlineLvl w:val="1"/>
        <w:rPr>
          <w:rFonts w:hint="eastAsia" w:ascii="仿宋_GB2312" w:hAnsi="仿宋" w:eastAsia="仿宋_GB2312" w:cs="Times New Roman"/>
          <w:color w:val="000000"/>
          <w:kern w:val="2"/>
          <w:sz w:val="30"/>
          <w:szCs w:val="30"/>
          <w:highlight w:val="none"/>
          <w:lang w:val="en-US" w:eastAsia="zh-CN" w:bidi="ar-SA"/>
        </w:rPr>
      </w:pPr>
      <w:r>
        <w:rPr>
          <w:rFonts w:hint="eastAsia" w:ascii="仿宋_GB2312" w:hAnsi="仿宋" w:eastAsia="仿宋_GB2312" w:cs="Times New Roman"/>
          <w:color w:val="000000"/>
          <w:kern w:val="2"/>
          <w:sz w:val="30"/>
          <w:szCs w:val="30"/>
          <w:highlight w:val="none"/>
          <w:lang w:val="en-US" w:eastAsia="zh-CN" w:bidi="ar-SA"/>
        </w:rPr>
        <w:t>本次招标的开标、评标由招标人依法组织实施，通过资格审查后，采用合理最低价法，最终确定推荐中标人。</w:t>
      </w:r>
    </w:p>
    <w:p>
      <w:pPr>
        <w:spacing w:line="500" w:lineRule="exact"/>
        <w:ind w:firstLine="600" w:firstLineChars="200"/>
        <w:jc w:val="left"/>
        <w:outlineLvl w:val="1"/>
        <w:rPr>
          <w:rFonts w:hint="eastAsia" w:ascii="仿宋_GB2312" w:hAnsi="仿宋" w:eastAsia="仿宋_GB2312" w:cs="Times New Roman"/>
          <w:color w:val="000000"/>
          <w:kern w:val="2"/>
          <w:sz w:val="30"/>
          <w:szCs w:val="30"/>
          <w:highlight w:val="none"/>
          <w:lang w:val="en-US" w:eastAsia="zh-CN" w:bidi="ar-SA"/>
        </w:rPr>
      </w:pPr>
      <w:r>
        <w:rPr>
          <w:rFonts w:hint="eastAsia" w:ascii="仿宋_GB2312" w:hAnsi="仿宋" w:eastAsia="仿宋_GB2312" w:cs="Times New Roman"/>
          <w:color w:val="000000"/>
          <w:kern w:val="2"/>
          <w:sz w:val="30"/>
          <w:szCs w:val="30"/>
          <w:highlight w:val="none"/>
          <w:lang w:val="en-US" w:eastAsia="zh-CN" w:bidi="ar-SA"/>
        </w:rPr>
        <w:t>5.1开标形式：现场开标。</w:t>
      </w:r>
    </w:p>
    <w:p>
      <w:pPr>
        <w:spacing w:line="500" w:lineRule="exact"/>
        <w:ind w:firstLine="600" w:firstLineChars="200"/>
        <w:jc w:val="left"/>
        <w:outlineLvl w:val="1"/>
        <w:rPr>
          <w:rFonts w:hint="eastAsia" w:ascii="仿宋_GB2312" w:hAnsi="仿宋" w:eastAsia="仿宋_GB2312" w:cs="Times New Roman"/>
          <w:color w:val="000000"/>
          <w:kern w:val="2"/>
          <w:sz w:val="30"/>
          <w:szCs w:val="30"/>
          <w:highlight w:val="none"/>
          <w:lang w:val="en-US" w:eastAsia="zh-CN" w:bidi="ar-SA"/>
        </w:rPr>
      </w:pPr>
      <w:r>
        <w:rPr>
          <w:rFonts w:hint="eastAsia" w:ascii="仿宋_GB2312" w:hAnsi="仿宋" w:eastAsia="仿宋_GB2312" w:cs="Times New Roman"/>
          <w:color w:val="000000"/>
          <w:kern w:val="2"/>
          <w:sz w:val="30"/>
          <w:szCs w:val="30"/>
          <w:highlight w:val="none"/>
          <w:lang w:val="en-US" w:eastAsia="zh-CN" w:bidi="ar-SA"/>
        </w:rPr>
        <w:t>5.2商务标</w:t>
      </w:r>
    </w:p>
    <w:p>
      <w:pPr>
        <w:spacing w:line="500" w:lineRule="exact"/>
        <w:ind w:firstLine="600" w:firstLineChars="200"/>
        <w:jc w:val="left"/>
        <w:outlineLvl w:val="1"/>
        <w:rPr>
          <w:rFonts w:hint="eastAsia" w:ascii="仿宋_GB2312" w:hAnsi="仿宋" w:eastAsia="仿宋_GB2312" w:cs="Times New Roman"/>
          <w:color w:val="000000"/>
          <w:kern w:val="2"/>
          <w:sz w:val="30"/>
          <w:szCs w:val="30"/>
          <w:highlight w:val="none"/>
          <w:lang w:val="en-US" w:eastAsia="zh-CN" w:bidi="ar-SA"/>
        </w:rPr>
      </w:pPr>
      <w:r>
        <w:rPr>
          <w:rFonts w:hint="eastAsia" w:ascii="仿宋_GB2312" w:hAnsi="仿宋" w:eastAsia="仿宋_GB2312" w:cs="Times New Roman"/>
          <w:color w:val="000000"/>
          <w:kern w:val="2"/>
          <w:sz w:val="30"/>
          <w:szCs w:val="30"/>
          <w:highlight w:val="none"/>
          <w:lang w:val="en-US" w:eastAsia="zh-CN" w:bidi="ar-SA"/>
        </w:rPr>
        <w:t>商务标采用多轮评标方式。除开标唱标为公开报价方式外，后续多轮澄清报价均为非公开的方式，在重汽e采通进行提报。</w:t>
      </w:r>
      <w:r>
        <w:rPr>
          <w:rFonts w:hint="eastAsia" w:ascii="仿宋_GB2312" w:hAnsi="仿宋" w:eastAsia="仿宋_GB2312" w:cs="Times New Roman"/>
          <w:color w:val="000000"/>
          <w:kern w:val="2"/>
          <w:sz w:val="30"/>
          <w:szCs w:val="30"/>
          <w:highlight w:val="none"/>
          <w:lang w:val="en-US" w:eastAsia="zh-CN" w:bidi="ar-SA"/>
        </w:rPr>
        <w:br w:type="textWrapping"/>
      </w:r>
      <w:r>
        <w:rPr>
          <w:rFonts w:hint="eastAsia" w:ascii="仿宋_GB2312" w:hAnsi="仿宋" w:eastAsia="仿宋_GB2312" w:cs="Times New Roman"/>
          <w:color w:val="000000"/>
          <w:kern w:val="2"/>
          <w:sz w:val="30"/>
          <w:szCs w:val="30"/>
          <w:highlight w:val="none"/>
          <w:lang w:val="en-US" w:eastAsia="zh-CN" w:bidi="ar-SA"/>
        </w:rPr>
        <w:t>注意：每一轮在重汽e采通提供澄清报价均有时间限制，到点后未能提交的按无效处理。</w:t>
      </w:r>
    </w:p>
    <w:p>
      <w:pPr>
        <w:spacing w:line="500" w:lineRule="exact"/>
        <w:ind w:firstLine="600" w:firstLineChars="200"/>
        <w:jc w:val="left"/>
        <w:outlineLvl w:val="1"/>
        <w:rPr>
          <w:rFonts w:hint="eastAsia" w:ascii="仿宋_GB2312" w:hAnsi="仿宋" w:eastAsia="仿宋_GB2312" w:cs="Times New Roman"/>
          <w:color w:val="000000"/>
          <w:kern w:val="2"/>
          <w:sz w:val="30"/>
          <w:szCs w:val="30"/>
          <w:highlight w:val="none"/>
          <w:lang w:val="en-US" w:eastAsia="zh-CN" w:bidi="ar-SA"/>
        </w:rPr>
      </w:pPr>
      <w:r>
        <w:rPr>
          <w:rFonts w:hint="eastAsia" w:ascii="仿宋_GB2312" w:hAnsi="仿宋" w:eastAsia="仿宋_GB2312" w:cs="Times New Roman"/>
          <w:color w:val="000000"/>
          <w:kern w:val="2"/>
          <w:sz w:val="30"/>
          <w:szCs w:val="30"/>
          <w:highlight w:val="none"/>
          <w:lang w:val="en-US" w:eastAsia="zh-CN" w:bidi="ar-SA"/>
        </w:rPr>
        <w:t>5.3.投标文件未密封或资料不完整、投标人对招标文件的实质性要求未做出全面响应、有迹象表明投标人串通投标、中标后无正当理由在规定的时间不签订合同的、投标人提供的投标文件弄虚作假及其它违反法律、法规规定情形的，视为无效投标。</w:t>
      </w:r>
    </w:p>
    <w:p>
      <w:pPr>
        <w:spacing w:line="500" w:lineRule="exact"/>
        <w:ind w:firstLine="600" w:firstLineChars="200"/>
        <w:jc w:val="left"/>
        <w:outlineLvl w:val="1"/>
        <w:rPr>
          <w:rFonts w:hint="eastAsia" w:ascii="仿宋_GB2312" w:hAnsi="仿宋" w:eastAsia="仿宋_GB2312" w:cs="Times New Roman"/>
          <w:color w:val="000000"/>
          <w:kern w:val="2"/>
          <w:sz w:val="30"/>
          <w:szCs w:val="30"/>
          <w:highlight w:val="none"/>
          <w:lang w:val="en-US" w:eastAsia="zh-CN" w:bidi="ar-SA"/>
        </w:rPr>
      </w:pPr>
      <w:r>
        <w:rPr>
          <w:rFonts w:hint="eastAsia" w:ascii="仿宋_GB2312" w:hAnsi="仿宋" w:eastAsia="仿宋_GB2312" w:cs="Times New Roman"/>
          <w:color w:val="000000"/>
          <w:kern w:val="2"/>
          <w:sz w:val="30"/>
          <w:szCs w:val="30"/>
          <w:highlight w:val="none"/>
          <w:lang w:val="en-US" w:eastAsia="zh-CN" w:bidi="ar-SA"/>
        </w:rPr>
        <w:t>以上步骤全部结束后，本次招标过程全部结束。</w:t>
      </w:r>
    </w:p>
    <w:p>
      <w:pPr>
        <w:spacing w:line="500" w:lineRule="exact"/>
        <w:ind w:firstLine="600" w:firstLineChars="200"/>
        <w:jc w:val="left"/>
        <w:outlineLvl w:val="1"/>
        <w:rPr>
          <w:rFonts w:hint="eastAsia" w:ascii="仿宋_GB2312" w:hAnsi="仿宋" w:eastAsia="仿宋_GB2312" w:cs="Times New Roman"/>
          <w:color w:val="000000"/>
          <w:kern w:val="2"/>
          <w:sz w:val="30"/>
          <w:szCs w:val="30"/>
          <w:highlight w:val="none"/>
          <w:lang w:val="en-US" w:eastAsia="zh-CN" w:bidi="ar-SA"/>
        </w:rPr>
      </w:pPr>
      <w:r>
        <w:rPr>
          <w:rFonts w:hint="eastAsia" w:ascii="仿宋_GB2312" w:hAnsi="仿宋" w:eastAsia="仿宋_GB2312" w:cs="Times New Roman"/>
          <w:color w:val="000000"/>
          <w:kern w:val="2"/>
          <w:sz w:val="30"/>
          <w:szCs w:val="30"/>
          <w:highlight w:val="none"/>
          <w:lang w:val="en-US" w:eastAsia="zh-CN" w:bidi="ar-SA"/>
        </w:rPr>
        <w:t>投标前请各投标人按照标书技术要求对项目方案进行充分准备，有意投标的单位应默认认同上述开标、评标过程，无异议。招标人无义务对未入围投标方及未中标方做任何解释。</w:t>
      </w:r>
    </w:p>
    <w:p>
      <w:pPr>
        <w:spacing w:line="500" w:lineRule="exact"/>
        <w:ind w:firstLine="602" w:firstLineChars="200"/>
        <w:jc w:val="left"/>
        <w:outlineLvl w:val="1"/>
        <w:rPr>
          <w:rFonts w:ascii="楷体_GB2312" w:hAnsi="楷体_GB2312" w:eastAsia="楷体_GB2312" w:cs="楷体_GB2312"/>
          <w:b/>
          <w:bCs/>
          <w:sz w:val="30"/>
          <w:szCs w:val="30"/>
          <w:highlight w:val="none"/>
        </w:rPr>
      </w:pPr>
      <w:r>
        <w:rPr>
          <w:rFonts w:hint="eastAsia" w:ascii="楷体_GB2312" w:hAnsi="楷体_GB2312" w:eastAsia="楷体_GB2312" w:cs="楷体_GB2312"/>
          <w:b/>
          <w:bCs/>
          <w:sz w:val="30"/>
          <w:szCs w:val="30"/>
          <w:highlight w:val="none"/>
          <w:lang w:val="en-US" w:eastAsia="zh-CN"/>
        </w:rPr>
        <w:t>6</w:t>
      </w:r>
      <w:r>
        <w:rPr>
          <w:rFonts w:hint="eastAsia" w:ascii="楷体_GB2312" w:hAnsi="楷体_GB2312" w:eastAsia="楷体_GB2312" w:cs="楷体_GB2312"/>
          <w:b/>
          <w:bCs/>
          <w:sz w:val="30"/>
          <w:szCs w:val="30"/>
          <w:highlight w:val="none"/>
        </w:rPr>
        <w:t>.付款条件及付款方式</w:t>
      </w:r>
    </w:p>
    <w:p>
      <w:pPr>
        <w:autoSpaceDE w:val="0"/>
        <w:autoSpaceDN w:val="0"/>
        <w:adjustRightInd w:val="0"/>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lang w:val="en-US" w:eastAsia="zh-CN"/>
        </w:rPr>
        <w:t>6</w:t>
      </w:r>
      <w:r>
        <w:rPr>
          <w:rFonts w:hint="eastAsia" w:ascii="仿宋_GB2312" w:hAnsi="仿宋" w:eastAsia="仿宋_GB2312"/>
          <w:sz w:val="30"/>
          <w:szCs w:val="30"/>
          <w:highlight w:val="none"/>
        </w:rPr>
        <w:t>.1付款条件：投标人完成合同约定的服务事项，且在服务过程中无明显纰漏，</w:t>
      </w:r>
      <w:r>
        <w:rPr>
          <w:rFonts w:hint="eastAsia" w:ascii="仿宋_GB2312" w:hAnsi="仿宋" w:eastAsia="仿宋_GB2312"/>
          <w:sz w:val="30"/>
          <w:szCs w:val="30"/>
          <w:highlight w:val="none"/>
          <w:lang w:val="en-US" w:eastAsia="zh-CN"/>
        </w:rPr>
        <w:t>招标人可按照项目进度完成情况，按比例分期付款</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原则上项目进度过半，方可进行付款。</w:t>
      </w:r>
      <w:r>
        <w:rPr>
          <w:rFonts w:hint="eastAsia" w:ascii="仿宋_GB2312" w:hAnsi="仿宋" w:eastAsia="仿宋_GB2312"/>
          <w:sz w:val="30"/>
          <w:szCs w:val="30"/>
          <w:highlight w:val="none"/>
        </w:rPr>
        <w:t>对于特殊情形，经双方协商一致可以适当延期或变更支付条件。</w:t>
      </w:r>
    </w:p>
    <w:p>
      <w:pPr>
        <w:autoSpaceDE/>
        <w:autoSpaceDN/>
        <w:adjustRightInd/>
        <w:spacing w:beforeLines="0" w:afterLines="0" w:line="500" w:lineRule="exact"/>
        <w:ind w:firstLine="600" w:firstLineChars="200"/>
        <w:jc w:val="left"/>
        <w:rPr>
          <w:rFonts w:hint="eastAsia" w:ascii="黑体" w:hAnsi="黑体" w:eastAsia="黑体" w:cs="黑体"/>
          <w:b/>
          <w:bCs/>
          <w:sz w:val="30"/>
          <w:szCs w:val="30"/>
          <w:highlight w:val="none"/>
        </w:rPr>
      </w:pPr>
      <w:r>
        <w:rPr>
          <w:rFonts w:hint="eastAsia" w:ascii="仿宋_GB2312" w:hAnsi="仿宋" w:eastAsia="仿宋_GB2312"/>
          <w:sz w:val="30"/>
          <w:szCs w:val="30"/>
          <w:highlight w:val="none"/>
          <w:lang w:val="en-US" w:eastAsia="zh-CN"/>
        </w:rPr>
        <w:t>6</w:t>
      </w:r>
      <w:r>
        <w:rPr>
          <w:rFonts w:hint="eastAsia" w:ascii="仿宋_GB2312" w:hAnsi="仿宋" w:eastAsia="仿宋_GB2312"/>
          <w:sz w:val="30"/>
          <w:szCs w:val="30"/>
          <w:highlight w:val="none"/>
        </w:rPr>
        <w:t>.2付款方式：</w:t>
      </w:r>
      <w:r>
        <w:rPr>
          <w:rFonts w:hint="eastAsia" w:ascii="黑体" w:hAnsi="黑体" w:eastAsia="黑体" w:cs="黑体"/>
          <w:b/>
          <w:bCs/>
          <w:sz w:val="30"/>
          <w:szCs w:val="30"/>
          <w:highlight w:val="none"/>
        </w:rPr>
        <w:t>半年期商业汇票（银行承兑汇票或商业承兑汇票）。</w:t>
      </w:r>
    </w:p>
    <w:p>
      <w:pPr>
        <w:autoSpaceDE/>
        <w:autoSpaceDN/>
        <w:adjustRightInd/>
        <w:spacing w:beforeLines="0" w:afterLines="0" w:line="500" w:lineRule="exact"/>
        <w:ind w:firstLine="600" w:firstLineChars="200"/>
        <w:jc w:val="left"/>
        <w:rPr>
          <w:rFonts w:hint="eastAsia" w:ascii="仿宋_GB2312" w:hAnsi="仿宋" w:eastAsia="仿宋_GB2312" w:cs="Times New Roman"/>
          <w:b w:val="0"/>
          <w:bCs w:val="0"/>
          <w:sz w:val="30"/>
          <w:szCs w:val="30"/>
          <w:highlight w:val="none"/>
        </w:rPr>
      </w:pPr>
      <w:r>
        <w:rPr>
          <w:rFonts w:hint="eastAsia" w:ascii="仿宋_GB2312" w:hAnsi="仿宋" w:eastAsia="仿宋_GB2312"/>
          <w:sz w:val="30"/>
          <w:szCs w:val="30"/>
          <w:highlight w:val="none"/>
        </w:rPr>
        <w:t>乙方按照合同约定提供培训服务，</w:t>
      </w:r>
      <w:r>
        <w:rPr>
          <w:rFonts w:hint="eastAsia" w:ascii="仿宋_GB2312" w:hAnsi="仿宋" w:eastAsia="仿宋_GB2312"/>
          <w:sz w:val="30"/>
          <w:szCs w:val="30"/>
          <w:highlight w:val="none"/>
          <w:lang w:val="en-US" w:eastAsia="zh-CN"/>
        </w:rPr>
        <w:t>项目过半</w:t>
      </w:r>
      <w:r>
        <w:rPr>
          <w:rFonts w:hint="eastAsia" w:ascii="仿宋_GB2312" w:hAnsi="仿宋" w:eastAsia="仿宋_GB2312"/>
          <w:sz w:val="30"/>
          <w:szCs w:val="30"/>
          <w:highlight w:val="none"/>
        </w:rPr>
        <w:t>并经甲方确认后，乙方按合同约定金额的</w:t>
      </w:r>
      <w:r>
        <w:rPr>
          <w:rFonts w:hint="eastAsia" w:ascii="仿宋_GB2312" w:hAnsi="仿宋" w:eastAsia="仿宋_GB2312"/>
          <w:sz w:val="30"/>
          <w:szCs w:val="30"/>
          <w:highlight w:val="none"/>
          <w:lang w:val="en-US" w:eastAsia="zh-CN"/>
        </w:rPr>
        <w:t>5</w:t>
      </w:r>
      <w:r>
        <w:rPr>
          <w:rFonts w:hint="eastAsia" w:ascii="仿宋_GB2312" w:hAnsi="仿宋" w:eastAsia="仿宋_GB2312"/>
          <w:sz w:val="30"/>
          <w:szCs w:val="30"/>
          <w:highlight w:val="none"/>
        </w:rPr>
        <w:t>0%开具符合法律规定的增值税专用发票</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甲方收到发票后30个工作日内支付发票载明的采购费用。剩余的尾款</w:t>
      </w:r>
      <w:r>
        <w:rPr>
          <w:rFonts w:hint="eastAsia" w:ascii="仿宋_GB2312" w:hAnsi="仿宋" w:eastAsia="仿宋_GB2312"/>
          <w:sz w:val="30"/>
          <w:szCs w:val="30"/>
          <w:highlight w:val="none"/>
          <w:lang w:val="en-US" w:eastAsia="zh-CN"/>
        </w:rPr>
        <w:t>待项目结束后，甲方</w:t>
      </w:r>
      <w:r>
        <w:rPr>
          <w:rFonts w:hint="eastAsia" w:ascii="仿宋_GB2312" w:hAnsi="仿宋" w:eastAsia="仿宋_GB2312"/>
          <w:sz w:val="30"/>
          <w:szCs w:val="30"/>
          <w:highlight w:val="none"/>
        </w:rPr>
        <w:t>根据乙方服务质量、评价结果进行结算</w:t>
      </w:r>
      <w:r>
        <w:rPr>
          <w:rFonts w:hint="eastAsia" w:ascii="仿宋_GB2312" w:hAnsi="仿宋" w:eastAsia="仿宋_GB2312"/>
          <w:sz w:val="30"/>
          <w:szCs w:val="30"/>
          <w:highlight w:val="none"/>
          <w:lang w:eastAsia="zh-CN"/>
        </w:rPr>
        <w:t>。</w:t>
      </w:r>
      <w:r>
        <w:rPr>
          <w:rFonts w:hint="eastAsia" w:ascii="仿宋_GB2312" w:hAnsi="仿宋" w:eastAsia="仿宋_GB2312" w:cs="Times New Roman"/>
          <w:b w:val="0"/>
          <w:bCs w:val="0"/>
          <w:sz w:val="30"/>
          <w:szCs w:val="30"/>
          <w:highlight w:val="none"/>
        </w:rPr>
        <w:t>培训过程中，对乙方的培训效果进行现场评价，评价采取计分法，满分为100分。得分&gt;85分的，按合同履行金额100%支付；80≤总得分&lt;85分，按合同履行金额80%支付；总得分&lt;80分，按合同履行金额60%支付，并取消其继续合作资格，视情况列入重汽供应商黑名单。</w:t>
      </w:r>
    </w:p>
    <w:p>
      <w:pPr>
        <w:autoSpaceDE/>
        <w:autoSpaceDN/>
        <w:adjustRightInd/>
        <w:spacing w:beforeLines="0" w:afterLines="0" w:line="500" w:lineRule="exact"/>
        <w:ind w:firstLine="600" w:firstLineChars="200"/>
        <w:jc w:val="left"/>
        <w:rPr>
          <w:rFonts w:hint="eastAsia" w:ascii="仿宋_GB2312" w:hAnsi="仿宋" w:eastAsia="仿宋_GB2312" w:cs="Times New Roman"/>
          <w:b w:val="0"/>
          <w:bCs w:val="0"/>
          <w:sz w:val="30"/>
          <w:szCs w:val="30"/>
          <w:highlight w:val="none"/>
          <w:lang w:eastAsia="zh-CN"/>
        </w:rPr>
      </w:pPr>
      <w:r>
        <w:rPr>
          <w:rFonts w:hint="eastAsia" w:ascii="仿宋_GB2312" w:hAnsi="Calibri" w:eastAsia="仿宋_GB2312" w:cs="Times New Roman"/>
          <w:sz w:val="30"/>
          <w:szCs w:val="30"/>
          <w:highlight w:val="none"/>
        </w:rPr>
        <w:t>因发票违规给付款方造成的增值税、所得税等损失，由开票方承担相关责任，包括但不限于税款、滞纳金、罚款及其它相关损失</w:t>
      </w:r>
      <w:r>
        <w:rPr>
          <w:rFonts w:hint="eastAsia" w:ascii="仿宋_GB2312" w:hAnsi="Calibri" w:eastAsia="仿宋_GB2312" w:cs="Times New Roman"/>
          <w:sz w:val="30"/>
          <w:szCs w:val="30"/>
          <w:highlight w:val="none"/>
          <w:lang w:eastAsia="zh-CN"/>
        </w:rPr>
        <w:t>。</w:t>
      </w:r>
    </w:p>
    <w:p>
      <w:pPr>
        <w:spacing w:line="500" w:lineRule="exact"/>
        <w:ind w:firstLine="602" w:firstLineChars="200"/>
        <w:jc w:val="left"/>
        <w:outlineLvl w:val="1"/>
        <w:rPr>
          <w:rFonts w:ascii="楷体_GB2312" w:hAnsi="楷体_GB2312" w:eastAsia="楷体_GB2312" w:cs="楷体_GB2312"/>
          <w:b/>
          <w:bCs/>
          <w:sz w:val="30"/>
          <w:szCs w:val="30"/>
          <w:highlight w:val="none"/>
        </w:rPr>
      </w:pPr>
      <w:r>
        <w:rPr>
          <w:rFonts w:hint="eastAsia" w:ascii="楷体_GB2312" w:hAnsi="楷体_GB2312" w:eastAsia="楷体_GB2312" w:cs="楷体_GB2312"/>
          <w:b/>
          <w:bCs/>
          <w:sz w:val="30"/>
          <w:szCs w:val="30"/>
          <w:highlight w:val="none"/>
          <w:lang w:val="en-US" w:eastAsia="zh-CN"/>
        </w:rPr>
        <w:t>7</w:t>
      </w:r>
      <w:r>
        <w:rPr>
          <w:rFonts w:hint="eastAsia" w:ascii="楷体_GB2312" w:hAnsi="楷体_GB2312" w:eastAsia="楷体_GB2312" w:cs="楷体_GB2312"/>
          <w:b/>
          <w:bCs/>
          <w:sz w:val="30"/>
          <w:szCs w:val="30"/>
          <w:highlight w:val="none"/>
        </w:rPr>
        <w:t>.评标原则和评分标准</w:t>
      </w:r>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lang w:val="en-US" w:eastAsia="zh-CN"/>
        </w:rPr>
        <w:t>7</w:t>
      </w:r>
      <w:r>
        <w:rPr>
          <w:rFonts w:hint="eastAsia" w:ascii="仿宋_GB2312" w:hAnsi="仿宋" w:eastAsia="仿宋_GB2312"/>
          <w:sz w:val="30"/>
          <w:szCs w:val="30"/>
          <w:highlight w:val="none"/>
        </w:rPr>
        <w:t>.1评标工作由招标人为该项目依法组织的、由3人及以上单数成员组成的评标工作小组负责。由评标工作小组按照国家招投标有关规定，本着公平、公正、公开、有序的原则，在最大限度地满足招标文件实质性要求的前提下，按照招标文件中规定的各项因素进行评审。</w:t>
      </w:r>
    </w:p>
    <w:p>
      <w:pPr>
        <w:pStyle w:val="12"/>
        <w:widowControl w:val="0"/>
        <w:numPr>
          <w:ilvl w:val="0"/>
          <w:numId w:val="0"/>
        </w:numPr>
        <w:snapToGrid w:val="0"/>
        <w:spacing w:line="300" w:lineRule="exact"/>
        <w:jc w:val="left"/>
        <w:rPr>
          <w:highlight w:val="none"/>
        </w:rPr>
      </w:pPr>
    </w:p>
    <w:p>
      <w:pPr>
        <w:pStyle w:val="9"/>
        <w:spacing w:line="500" w:lineRule="exact"/>
        <w:ind w:firstLine="600" w:firstLineChars="2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注1：投标人得分取所有评委对该投标人计分之和的算术平均值。</w:t>
      </w:r>
    </w:p>
    <w:p>
      <w:pPr>
        <w:pStyle w:val="9"/>
        <w:spacing w:line="500" w:lineRule="exact"/>
        <w:ind w:firstLine="600" w:firstLineChars="2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注2：最终得分小数点后保留2位有效数字。</w:t>
      </w:r>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注3：对于未能提供承诺书证明材料的，一票否决。</w:t>
      </w:r>
    </w:p>
    <w:p>
      <w:pPr>
        <w:pStyle w:val="9"/>
        <w:spacing w:line="500" w:lineRule="exact"/>
        <w:ind w:firstLine="600" w:firstLineChars="200"/>
        <w:outlineLvl w:val="2"/>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商务标评分标准</w:t>
      </w:r>
    </w:p>
    <w:tbl>
      <w:tblPr>
        <w:tblStyle w:val="18"/>
        <w:tblW w:w="9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104"/>
        <w:gridCol w:w="6815"/>
        <w:gridCol w:w="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085" w:type="dxa"/>
            <w:vAlign w:val="center"/>
          </w:tcPr>
          <w:p>
            <w:pPr>
              <w:widowControl/>
              <w:spacing w:line="300" w:lineRule="exact"/>
              <w:jc w:val="center"/>
              <w:rPr>
                <w:rFonts w:hint="eastAsia" w:ascii="黑体" w:hAnsi="黑体" w:eastAsia="黑体" w:cs="黑体"/>
                <w:b/>
                <w:bCs/>
                <w:color w:val="000000"/>
                <w:kern w:val="0"/>
                <w:sz w:val="20"/>
                <w:highlight w:val="none"/>
                <w:lang w:bidi="ar"/>
              </w:rPr>
            </w:pPr>
            <w:r>
              <w:rPr>
                <w:rFonts w:hint="eastAsia" w:ascii="黑体" w:hAnsi="黑体" w:eastAsia="黑体" w:cs="黑体"/>
                <w:b/>
                <w:bCs/>
                <w:color w:val="000000"/>
                <w:kern w:val="0"/>
                <w:sz w:val="20"/>
                <w:highlight w:val="none"/>
                <w:lang w:bidi="ar"/>
              </w:rPr>
              <w:t>项目</w:t>
            </w:r>
          </w:p>
        </w:tc>
        <w:tc>
          <w:tcPr>
            <w:tcW w:w="1104" w:type="dxa"/>
            <w:shd w:val="clear" w:color="auto" w:fill="auto"/>
            <w:vAlign w:val="center"/>
          </w:tcPr>
          <w:p>
            <w:pPr>
              <w:widowControl/>
              <w:spacing w:line="300" w:lineRule="exact"/>
              <w:jc w:val="center"/>
              <w:rPr>
                <w:rFonts w:hint="eastAsia" w:ascii="黑体" w:hAnsi="黑体" w:eastAsia="黑体" w:cs="黑体"/>
                <w:b/>
                <w:bCs/>
                <w:color w:val="000000"/>
                <w:kern w:val="0"/>
                <w:sz w:val="20"/>
                <w:highlight w:val="none"/>
                <w:lang w:bidi="ar"/>
              </w:rPr>
            </w:pPr>
            <w:r>
              <w:rPr>
                <w:rFonts w:hint="eastAsia" w:ascii="黑体" w:hAnsi="黑体" w:eastAsia="黑体" w:cs="黑体"/>
                <w:b/>
                <w:bCs/>
                <w:color w:val="000000"/>
                <w:kern w:val="0"/>
                <w:sz w:val="20"/>
                <w:highlight w:val="none"/>
                <w:lang w:bidi="ar"/>
              </w:rPr>
              <w:t>细则</w:t>
            </w:r>
          </w:p>
        </w:tc>
        <w:tc>
          <w:tcPr>
            <w:tcW w:w="6815" w:type="dxa"/>
            <w:shd w:val="clear" w:color="auto" w:fill="auto"/>
            <w:vAlign w:val="center"/>
          </w:tcPr>
          <w:p>
            <w:pPr>
              <w:widowControl/>
              <w:spacing w:line="300" w:lineRule="exact"/>
              <w:jc w:val="center"/>
              <w:rPr>
                <w:rFonts w:hint="eastAsia" w:ascii="黑体" w:hAnsi="黑体" w:eastAsia="黑体" w:cs="黑体"/>
                <w:b/>
                <w:bCs/>
                <w:color w:val="000000"/>
                <w:kern w:val="0"/>
                <w:sz w:val="20"/>
                <w:highlight w:val="none"/>
                <w:lang w:bidi="ar"/>
              </w:rPr>
            </w:pPr>
            <w:r>
              <w:rPr>
                <w:rFonts w:hint="eastAsia" w:ascii="黑体" w:hAnsi="黑体" w:eastAsia="黑体" w:cs="黑体"/>
                <w:b/>
                <w:bCs/>
                <w:color w:val="000000"/>
                <w:kern w:val="0"/>
                <w:sz w:val="20"/>
                <w:highlight w:val="none"/>
                <w:lang w:bidi="ar"/>
              </w:rPr>
              <w:t>商务标评分标准</w:t>
            </w:r>
          </w:p>
        </w:tc>
        <w:tc>
          <w:tcPr>
            <w:tcW w:w="695" w:type="dxa"/>
            <w:shd w:val="clear" w:color="auto" w:fill="auto"/>
            <w:vAlign w:val="center"/>
          </w:tcPr>
          <w:p>
            <w:pPr>
              <w:widowControl/>
              <w:spacing w:line="300" w:lineRule="exact"/>
              <w:jc w:val="center"/>
              <w:rPr>
                <w:rFonts w:hint="eastAsia" w:ascii="黑体" w:hAnsi="黑体" w:eastAsia="黑体" w:cs="黑体"/>
                <w:b/>
                <w:bCs/>
                <w:color w:val="000000"/>
                <w:kern w:val="0"/>
                <w:sz w:val="20"/>
                <w:highlight w:val="none"/>
                <w:lang w:bidi="ar"/>
              </w:rPr>
            </w:pPr>
            <w:r>
              <w:rPr>
                <w:rFonts w:hint="eastAsia" w:ascii="黑体" w:hAnsi="黑体" w:eastAsia="黑体" w:cs="黑体"/>
                <w:b/>
                <w:bCs/>
                <w:color w:val="000000"/>
                <w:kern w:val="0"/>
                <w:sz w:val="20"/>
                <w:highlight w:val="none"/>
                <w:lang w:bidi="ar"/>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jc w:val="center"/>
        </w:trPr>
        <w:tc>
          <w:tcPr>
            <w:tcW w:w="1085" w:type="dxa"/>
            <w:vAlign w:val="center"/>
          </w:tcPr>
          <w:p>
            <w:pPr>
              <w:widowControl/>
              <w:spacing w:line="3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商务标</w:t>
            </w:r>
          </w:p>
          <w:p>
            <w:pPr>
              <w:widowControl/>
              <w:spacing w:line="3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（100分）</w:t>
            </w:r>
          </w:p>
        </w:tc>
        <w:tc>
          <w:tcPr>
            <w:tcW w:w="1104" w:type="dxa"/>
            <w:shd w:val="clear" w:color="auto" w:fill="auto"/>
            <w:vAlign w:val="center"/>
          </w:tcPr>
          <w:p>
            <w:pPr>
              <w:widowControl/>
              <w:spacing w:line="3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商务标</w:t>
            </w:r>
          </w:p>
          <w:p>
            <w:pPr>
              <w:widowControl/>
              <w:spacing w:line="3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报价</w:t>
            </w:r>
          </w:p>
        </w:tc>
        <w:tc>
          <w:tcPr>
            <w:tcW w:w="6815" w:type="dxa"/>
            <w:shd w:val="clear" w:color="auto" w:fill="auto"/>
            <w:vAlign w:val="center"/>
          </w:tcPr>
          <w:p>
            <w:pPr>
              <w:widowControl/>
              <w:spacing w:line="300" w:lineRule="exact"/>
              <w:jc w:val="left"/>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 xml:space="preserve">各报价采用低价优先法计算，各方案以满足招标文件要求且报价最低的投标报价为评标基准价，其价格分为满分100分，其他供应商的价格分按照下列公式计算：投标报价得分=（评标基准价/投标报价）×100分。 </w:t>
            </w:r>
          </w:p>
        </w:tc>
        <w:tc>
          <w:tcPr>
            <w:tcW w:w="695" w:type="dxa"/>
            <w:shd w:val="clear" w:color="auto" w:fill="auto"/>
            <w:vAlign w:val="center"/>
          </w:tcPr>
          <w:p>
            <w:pPr>
              <w:widowControl/>
              <w:spacing w:line="300" w:lineRule="exact"/>
              <w:jc w:val="left"/>
              <w:rPr>
                <w:rFonts w:hint="eastAsia" w:ascii="仿宋_GB2312" w:hAnsi="仿宋_GB2312" w:eastAsia="仿宋_GB2312" w:cs="仿宋_GB2312"/>
                <w:szCs w:val="21"/>
                <w:highlight w:val="none"/>
              </w:rPr>
            </w:pPr>
          </w:p>
        </w:tc>
      </w:tr>
    </w:tbl>
    <w:p>
      <w:pPr>
        <w:pStyle w:val="12"/>
        <w:rPr>
          <w:highlight w:val="none"/>
        </w:rPr>
      </w:pPr>
    </w:p>
    <w:p>
      <w:pPr>
        <w:spacing w:line="500" w:lineRule="exact"/>
        <w:ind w:firstLine="600" w:firstLineChars="200"/>
        <w:rPr>
          <w:rFonts w:ascii="仿宋_GB2312" w:hAnsi="仿宋" w:eastAsia="仿宋_GB2312"/>
          <w:color w:val="000000" w:themeColor="text1"/>
          <w:sz w:val="30"/>
          <w:szCs w:val="30"/>
          <w:highlight w:val="none"/>
          <w14:textFill>
            <w14:solidFill>
              <w14:schemeClr w14:val="tx1"/>
            </w14:solidFill>
          </w14:textFill>
        </w:rPr>
      </w:pPr>
      <w:r>
        <w:rPr>
          <w:rFonts w:hint="eastAsia" w:ascii="仿宋_GB2312" w:hAnsi="仿宋" w:eastAsia="仿宋_GB2312"/>
          <w:sz w:val="30"/>
          <w:szCs w:val="30"/>
          <w:highlight w:val="none"/>
          <w:lang w:val="en-US" w:eastAsia="zh-CN"/>
        </w:rPr>
        <w:t>7</w:t>
      </w:r>
      <w:r>
        <w:rPr>
          <w:rFonts w:hint="eastAsia" w:ascii="仿宋_GB2312" w:hAnsi="仿宋" w:eastAsia="仿宋_GB2312"/>
          <w:sz w:val="30"/>
          <w:szCs w:val="30"/>
          <w:highlight w:val="none"/>
        </w:rPr>
        <w:t>.2对于未能提供承诺书证明材料的，一票否决。</w:t>
      </w:r>
      <w:r>
        <w:rPr>
          <w:rFonts w:hint="eastAsia" w:ascii="仿宋_GB2312" w:hAnsi="仿宋" w:eastAsia="仿宋_GB2312"/>
          <w:color w:val="000000" w:themeColor="text1"/>
          <w:sz w:val="30"/>
          <w:szCs w:val="30"/>
          <w:highlight w:val="none"/>
          <w14:textFill>
            <w14:solidFill>
              <w14:schemeClr w14:val="tx1"/>
            </w14:solidFill>
          </w14:textFill>
        </w:rPr>
        <w:t>投标文件未密封或资料不完整、投标人对招标文件的实质性要求未做出全面响应、有迹象表明投标人串通投标、中标后无正当理由在规定的时间不签订合同的、投标人提供的投标文件弄虚作假及其它违反法律、法规规定情形的，视为无效投标。</w:t>
      </w:r>
    </w:p>
    <w:p>
      <w:pPr>
        <w:spacing w:line="500" w:lineRule="exact"/>
        <w:ind w:firstLine="602" w:firstLineChars="200"/>
        <w:jc w:val="left"/>
        <w:outlineLvl w:val="0"/>
        <w:rPr>
          <w:rFonts w:ascii="黑体" w:hAnsi="黑体" w:eastAsia="黑体" w:cs="黑体"/>
          <w:b/>
          <w:bCs/>
          <w:sz w:val="30"/>
          <w:szCs w:val="30"/>
          <w:highlight w:val="none"/>
        </w:rPr>
      </w:pPr>
      <w:bookmarkStart w:id="5" w:name="_Toc30928"/>
      <w:r>
        <w:rPr>
          <w:rFonts w:hint="eastAsia" w:ascii="黑体" w:hAnsi="黑体" w:eastAsia="黑体" w:cs="黑体"/>
          <w:b/>
          <w:bCs/>
          <w:sz w:val="30"/>
          <w:szCs w:val="30"/>
          <w:highlight w:val="none"/>
        </w:rPr>
        <w:t>四、投标文件</w:t>
      </w:r>
      <w:bookmarkEnd w:id="5"/>
    </w:p>
    <w:p>
      <w:pPr>
        <w:spacing w:line="500" w:lineRule="exact"/>
        <w:ind w:firstLine="600" w:firstLineChars="200"/>
        <w:jc w:val="left"/>
        <w:outlineLvl w:val="1"/>
        <w:rPr>
          <w:rFonts w:ascii="仿宋_GB2312" w:hAnsi="仿宋" w:eastAsia="仿宋_GB2312"/>
          <w:sz w:val="30"/>
          <w:szCs w:val="30"/>
          <w:highlight w:val="none"/>
        </w:rPr>
      </w:pPr>
      <w:r>
        <w:rPr>
          <w:rFonts w:hint="eastAsia" w:ascii="仿宋_GB2312" w:hAnsi="仿宋" w:eastAsia="仿宋_GB2312"/>
          <w:sz w:val="30"/>
          <w:szCs w:val="30"/>
          <w:highlight w:val="none"/>
        </w:rPr>
        <w:t>1.投标文件组成</w:t>
      </w:r>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投标人的投标文件由资格证明文件、投标文件技术部分、投标文件商务部分共三部分构成。</w:t>
      </w:r>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注1：招标文件给定格式的按给定的格式填写，未给定格式的，由投标人自行编制，但需包含以下内容。</w:t>
      </w:r>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注2：以下需（可）提供的招标文件均需加盖公章。</w:t>
      </w:r>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注3：为提高评标效率，请投标人按照所列的资料清单内容及顺序编制投标文件，如投标人未按照以下内容及顺序编制投标文件，可能会影响得分，请各投标单位务必注意。</w:t>
      </w:r>
    </w:p>
    <w:p>
      <w:pPr>
        <w:spacing w:line="500" w:lineRule="exact"/>
        <w:ind w:firstLine="602" w:firstLineChars="200"/>
        <w:jc w:val="left"/>
        <w:outlineLvl w:val="2"/>
        <w:rPr>
          <w:rFonts w:ascii="仿宋_GB2312" w:hAnsi="仿宋" w:eastAsia="仿宋_GB2312"/>
          <w:b/>
          <w:bCs/>
          <w:sz w:val="30"/>
          <w:szCs w:val="30"/>
          <w:highlight w:val="none"/>
        </w:rPr>
      </w:pPr>
      <w:r>
        <w:rPr>
          <w:rFonts w:hint="eastAsia" w:ascii="仿宋_GB2312" w:hAnsi="仿宋" w:eastAsia="仿宋_GB2312"/>
          <w:b/>
          <w:bCs/>
          <w:sz w:val="30"/>
          <w:szCs w:val="30"/>
          <w:highlight w:val="none"/>
        </w:rPr>
        <w:t>1.1资格证明文件包括：</w:t>
      </w:r>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（1）营业执照等相关经营资质复印件；</w:t>
      </w:r>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（2）法定代表人或授权代理人身份证复印件和法定代表人授权委托书；</w:t>
      </w:r>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（3）投标人基本情况表；</w:t>
      </w:r>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（4）服务承诺函；</w:t>
      </w:r>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5）投标人信誉良好，无招标违法违规、谎报年度报告信息、提供虚假资质资料等行为或其他与本投标项目有关的行政处罚的证明材料；（“国家企业信用信息公示系统”、“中国执行信息公开网”、“信用中国”、“天眼查”、“判决文书网”等信息平台信用中国截图</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至少一项）；</w:t>
      </w:r>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（6）投标人的直接或间接股东、法定代表人、董事、监事、高管非重汽员工及亲属的证明；</w:t>
      </w:r>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（7）企业最近半年完税证明、信用证明材料（中国人民银行信用代码证+征信报告）；</w:t>
      </w:r>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 xml:space="preserve">（8）年度纳税信用评价信息（可从电子税务局查询截图，需加盖公章）； </w:t>
      </w:r>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（9）企业对外担保说明（写明贵单位对外有无对外担保和质押业务，需加盖公章）;</w:t>
      </w:r>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（10</w:t>
      </w:r>
      <w:r>
        <w:rPr>
          <w:rFonts w:ascii="仿宋_GB2312" w:hAnsi="仿宋" w:eastAsia="仿宋_GB2312"/>
          <w:sz w:val="30"/>
          <w:szCs w:val="30"/>
          <w:highlight w:val="none"/>
        </w:rPr>
        <w:t>）</w:t>
      </w:r>
      <w:r>
        <w:rPr>
          <w:rFonts w:hint="eastAsia" w:ascii="仿宋_GB2312" w:hAnsi="仿宋" w:eastAsia="仿宋_GB2312"/>
          <w:sz w:val="30"/>
          <w:szCs w:val="30"/>
          <w:highlight w:val="none"/>
        </w:rPr>
        <w:t>经会计师事务所审计且出具无保留意见的</w:t>
      </w:r>
      <w:r>
        <w:rPr>
          <w:rFonts w:hint="eastAsia" w:ascii="黑体" w:hAnsi="黑体" w:eastAsia="黑体" w:cs="黑体"/>
          <w:b/>
          <w:bCs/>
          <w:sz w:val="30"/>
          <w:szCs w:val="30"/>
          <w:highlight w:val="none"/>
        </w:rPr>
        <w:t>近三年的财务审计报告，并加盖公章</w:t>
      </w:r>
      <w:r>
        <w:rPr>
          <w:rFonts w:hint="eastAsia" w:ascii="仿宋_GB2312" w:hAnsi="仿宋" w:eastAsia="仿宋_GB2312"/>
          <w:sz w:val="30"/>
          <w:szCs w:val="30"/>
          <w:highlight w:val="none"/>
        </w:rPr>
        <w:t>，包括但不限于报告页、经审计的资产负债表、利润表、现金流量表及报表附注;</w:t>
      </w:r>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如投标人公司没有经审计的财务报告，</w:t>
      </w:r>
      <w:r>
        <w:rPr>
          <w:rFonts w:hint="eastAsia" w:ascii="黑体" w:hAnsi="黑体" w:eastAsia="黑体" w:cs="黑体"/>
          <w:b/>
          <w:bCs/>
          <w:sz w:val="30"/>
          <w:szCs w:val="30"/>
          <w:highlight w:val="none"/>
        </w:rPr>
        <w:t>可提供加盖公章的近三年财务报表</w:t>
      </w:r>
      <w:r>
        <w:rPr>
          <w:rFonts w:hint="eastAsia" w:ascii="仿宋_GB2312" w:hAnsi="仿宋" w:eastAsia="仿宋_GB2312"/>
          <w:sz w:val="30"/>
          <w:szCs w:val="30"/>
          <w:highlight w:val="none"/>
        </w:rPr>
        <w:t>，包括但不限于资产负债表、利润表、现金流量表。应提供中文版本的审计报告或财务报表；</w:t>
      </w:r>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（11）投标人认为对其投标有利的其他资料；</w:t>
      </w:r>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（12）法律法规对合格投标人的其他要求、规定。</w:t>
      </w:r>
    </w:p>
    <w:p>
      <w:pPr>
        <w:spacing w:line="500" w:lineRule="exact"/>
        <w:ind w:firstLine="602" w:firstLineChars="200"/>
        <w:jc w:val="left"/>
        <w:outlineLvl w:val="2"/>
        <w:rPr>
          <w:rFonts w:ascii="仿宋_GB2312" w:hAnsi="仿宋" w:eastAsia="仿宋_GB2312"/>
          <w:b/>
          <w:bCs/>
          <w:sz w:val="30"/>
          <w:szCs w:val="30"/>
          <w:highlight w:val="none"/>
        </w:rPr>
      </w:pPr>
      <w:r>
        <w:rPr>
          <w:rFonts w:hint="eastAsia" w:ascii="仿宋_GB2312" w:hAnsi="仿宋" w:eastAsia="仿宋_GB2312"/>
          <w:b/>
          <w:bCs/>
          <w:sz w:val="30"/>
          <w:szCs w:val="30"/>
          <w:highlight w:val="none"/>
        </w:rPr>
        <w:t>1.2技术部分文件包括：</w:t>
      </w:r>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（1）培训项目实施方案；（需承诺项目需求人员到位时间）</w:t>
      </w:r>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（2）相关培训项目案例；</w:t>
      </w:r>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（3）投标人认为对其投标有利的其他资料。</w:t>
      </w:r>
    </w:p>
    <w:p>
      <w:pPr>
        <w:spacing w:line="500" w:lineRule="exact"/>
        <w:ind w:firstLine="602" w:firstLineChars="200"/>
        <w:jc w:val="left"/>
        <w:outlineLvl w:val="2"/>
        <w:rPr>
          <w:rFonts w:ascii="仿宋_GB2312" w:hAnsi="仿宋" w:eastAsia="仿宋_GB2312"/>
          <w:b/>
          <w:bCs/>
          <w:sz w:val="30"/>
          <w:szCs w:val="30"/>
          <w:highlight w:val="none"/>
        </w:rPr>
      </w:pPr>
      <w:r>
        <w:rPr>
          <w:rFonts w:hint="eastAsia" w:ascii="仿宋_GB2312" w:hAnsi="仿宋" w:eastAsia="仿宋_GB2312"/>
          <w:b/>
          <w:bCs/>
          <w:sz w:val="30"/>
          <w:szCs w:val="30"/>
          <w:highlight w:val="none"/>
        </w:rPr>
        <w:t>1.3商务部分文件包括：</w:t>
      </w:r>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（1）投标函；</w:t>
      </w:r>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（2）投标报价明细表；</w:t>
      </w:r>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（3）经营业绩一览表；</w:t>
      </w:r>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（4）对本项目招标文件及“合同条款”的认同说明。</w:t>
      </w:r>
    </w:p>
    <w:p>
      <w:pPr>
        <w:spacing w:line="500" w:lineRule="exact"/>
        <w:ind w:firstLine="600" w:firstLineChars="200"/>
        <w:jc w:val="left"/>
        <w:outlineLvl w:val="1"/>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2.投标文件的装订</w:t>
      </w:r>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投标人必须将投标文件按照投标文件组成的顺序装订</w:t>
      </w:r>
      <w:r>
        <w:rPr>
          <w:rFonts w:hint="eastAsia" w:ascii="仿宋_GB2312" w:hAnsi="仿宋_GB2312" w:eastAsia="仿宋_GB2312" w:cs="仿宋_GB2312"/>
          <w:sz w:val="30"/>
          <w:szCs w:val="30"/>
          <w:highlight w:val="none"/>
          <w:lang w:val="en-US" w:eastAsia="zh-CN"/>
        </w:rPr>
        <w:t>成</w:t>
      </w:r>
      <w:r>
        <w:rPr>
          <w:rFonts w:hint="eastAsia" w:ascii="仿宋_GB2312" w:hAnsi="仿宋_GB2312" w:eastAsia="仿宋_GB2312" w:cs="仿宋_GB2312"/>
          <w:sz w:val="30"/>
          <w:szCs w:val="30"/>
          <w:highlight w:val="none"/>
        </w:rPr>
        <w:t>册，</w:t>
      </w:r>
      <w:r>
        <w:rPr>
          <w:rFonts w:hint="eastAsia" w:ascii="仿宋_GB2312" w:hAnsi="仿宋_GB2312" w:eastAsia="仿宋_GB2312" w:cs="仿宋_GB2312"/>
          <w:sz w:val="30"/>
          <w:szCs w:val="30"/>
          <w:highlight w:val="none"/>
          <w:lang w:val="en-US" w:eastAsia="zh-CN"/>
        </w:rPr>
        <w:t>技术标和商务标文件分开封装</w:t>
      </w:r>
      <w:r>
        <w:rPr>
          <w:rFonts w:hint="eastAsia" w:ascii="仿宋_GB2312" w:hAnsi="仿宋_GB2312" w:eastAsia="仿宋_GB2312" w:cs="仿宋_GB2312"/>
          <w:sz w:val="30"/>
          <w:szCs w:val="30"/>
          <w:highlight w:val="none"/>
        </w:rPr>
        <w:t>。</w:t>
      </w:r>
      <w:r>
        <w:rPr>
          <w:rFonts w:hint="eastAsia" w:ascii="仿宋_GB2312" w:hAnsi="仿宋_GB2312" w:eastAsia="仿宋_GB2312" w:cs="仿宋_GB2312"/>
          <w:sz w:val="30"/>
          <w:szCs w:val="30"/>
          <w:highlight w:val="none"/>
          <w:lang w:val="en-US" w:eastAsia="zh-CN"/>
        </w:rPr>
        <w:t>技术标和商务标文件各</w:t>
      </w:r>
      <w:r>
        <w:rPr>
          <w:rFonts w:hint="eastAsia" w:ascii="仿宋_GB2312" w:hAnsi="仿宋_GB2312" w:eastAsia="仿宋_GB2312" w:cs="仿宋_GB2312"/>
          <w:sz w:val="30"/>
          <w:szCs w:val="30"/>
          <w:highlight w:val="none"/>
        </w:rPr>
        <w:t>一式</w:t>
      </w:r>
      <w:r>
        <w:rPr>
          <w:rFonts w:hint="eastAsia" w:ascii="仿宋_GB2312" w:hAnsi="仿宋_GB2312" w:eastAsia="仿宋_GB2312" w:cs="仿宋_GB2312"/>
          <w:sz w:val="30"/>
          <w:szCs w:val="30"/>
          <w:highlight w:val="none"/>
          <w:lang w:val="en-US" w:eastAsia="zh-CN"/>
        </w:rPr>
        <w:t>5</w:t>
      </w:r>
      <w:r>
        <w:rPr>
          <w:rFonts w:hint="eastAsia" w:ascii="仿宋_GB2312" w:hAnsi="仿宋_GB2312" w:eastAsia="仿宋_GB2312" w:cs="仿宋_GB2312"/>
          <w:sz w:val="30"/>
          <w:szCs w:val="30"/>
          <w:highlight w:val="none"/>
        </w:rPr>
        <w:t>份，其中正本</w:t>
      </w:r>
      <w:r>
        <w:rPr>
          <w:rFonts w:hint="eastAsia" w:ascii="仿宋_GB2312" w:hAnsi="仿宋_GB2312" w:eastAsia="仿宋_GB2312" w:cs="仿宋_GB2312"/>
          <w:sz w:val="30"/>
          <w:szCs w:val="30"/>
          <w:highlight w:val="none"/>
          <w:lang w:val="en-US" w:eastAsia="zh-CN"/>
        </w:rPr>
        <w:t>1</w:t>
      </w:r>
      <w:r>
        <w:rPr>
          <w:rFonts w:hint="eastAsia" w:ascii="仿宋_GB2312" w:hAnsi="仿宋_GB2312" w:eastAsia="仿宋_GB2312" w:cs="仿宋_GB2312"/>
          <w:sz w:val="30"/>
          <w:szCs w:val="30"/>
          <w:highlight w:val="none"/>
        </w:rPr>
        <w:t>份，副本</w:t>
      </w:r>
      <w:r>
        <w:rPr>
          <w:rFonts w:hint="eastAsia" w:ascii="仿宋_GB2312" w:hAnsi="仿宋_GB2312" w:eastAsia="仿宋_GB2312" w:cs="仿宋_GB2312"/>
          <w:sz w:val="30"/>
          <w:szCs w:val="30"/>
          <w:highlight w:val="none"/>
          <w:lang w:val="en-US" w:eastAsia="zh-CN"/>
        </w:rPr>
        <w:t>4</w:t>
      </w:r>
      <w:r>
        <w:rPr>
          <w:rFonts w:hint="eastAsia" w:ascii="仿宋_GB2312" w:hAnsi="仿宋_GB2312" w:eastAsia="仿宋_GB2312" w:cs="仿宋_GB2312"/>
          <w:sz w:val="30"/>
          <w:szCs w:val="30"/>
          <w:highlight w:val="none"/>
        </w:rPr>
        <w:t>份，并提供扫描或电子版上传e采通系统。</w:t>
      </w:r>
    </w:p>
    <w:p>
      <w:pPr>
        <w:spacing w:line="500" w:lineRule="exact"/>
        <w:ind w:firstLine="600" w:firstLineChars="200"/>
        <w:jc w:val="left"/>
        <w:outlineLvl w:val="1"/>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3.报价注意事项</w:t>
      </w:r>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3.1投标人要按投标规格名称、投标报价明细表（统一格式）的内容填写报价及其他事项，并由法人代表或授权代表签署。</w:t>
      </w:r>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3.2大写金额和小写金额不一致时，以大写金额为准。</w:t>
      </w:r>
    </w:p>
    <w:p>
      <w:pPr>
        <w:spacing w:line="500" w:lineRule="exact"/>
        <w:ind w:firstLine="600" w:firstLineChars="200"/>
        <w:jc w:val="left"/>
        <w:outlineLvl w:val="1"/>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4.投标文件签署</w:t>
      </w:r>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4.1投标文件应加盖投标人单位公章（不得使用其他形式如带有“专用章”等字样的印章）并经法定代表人或其委托代理人签字。</w:t>
      </w:r>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4.2本招标文件提供的投标文件式样中，标注有盖公章、签字之处，应有投标人的盖章、委托代理人的签字或法定代表人的签字。由委托代理人签字的投标资格证明文件中须附授权委托书。</w:t>
      </w:r>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4.3签字须使用黑色或蓝色不可退色签字笔。</w:t>
      </w:r>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注：投标人代表必须按招标文件的规定签署投标文件，否则，其投标文件按无效投标处理。</w:t>
      </w:r>
    </w:p>
    <w:p>
      <w:pPr>
        <w:spacing w:line="500" w:lineRule="exact"/>
        <w:ind w:firstLine="602" w:firstLineChars="200"/>
        <w:jc w:val="left"/>
        <w:outlineLvl w:val="0"/>
        <w:rPr>
          <w:rFonts w:ascii="黑体" w:hAnsi="黑体" w:eastAsia="黑体" w:cs="黑体"/>
          <w:b/>
          <w:bCs/>
          <w:sz w:val="30"/>
          <w:szCs w:val="30"/>
          <w:highlight w:val="none"/>
        </w:rPr>
      </w:pPr>
      <w:bookmarkStart w:id="6" w:name="_Toc22774"/>
      <w:r>
        <w:rPr>
          <w:rFonts w:hint="eastAsia" w:ascii="黑体" w:hAnsi="黑体" w:eastAsia="黑体" w:cs="黑体"/>
          <w:b/>
          <w:bCs/>
          <w:sz w:val="30"/>
          <w:szCs w:val="30"/>
          <w:highlight w:val="none"/>
        </w:rPr>
        <w:t>五、合同签订</w:t>
      </w:r>
      <w:bookmarkEnd w:id="6"/>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1.招标人根据评标工作小组的评标结果确定中标人，并书面通知中标人。</w:t>
      </w:r>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2.中标结果将在重汽e采通平台公布。</w:t>
      </w:r>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中标人收到中标结果后，应及时与招标人联系，在规定的时间内完成合同签订，如果中标人接到《中标通知书》后，无不正当理由拒签合同、在签订合同时向招标人提出无理附加条件的，取消该投标人的中标资格，该投标人2年内不得参与招标人关于该类服务和培训的招投标项目。</w:t>
      </w:r>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4.中标人应当按照合同约定的履约责任，在保证质量的前提下完成中标项目，不得将中标项目转包或分包给他人，否则视为违约，招标人有权解除合同。</w:t>
      </w:r>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5.在履行合同过程中，中标人由于履行义务的能力或信用有严重缺陷，招标人有权解除合同并取消其中标资格，招标人将从中标候选单位中依序重新确定中标人，或重新组织招标。</w:t>
      </w:r>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6.双方的权利义务以最终签署的合同为准</w:t>
      </w:r>
    </w:p>
    <w:p>
      <w:pPr>
        <w:pStyle w:val="9"/>
        <w:spacing w:line="500" w:lineRule="exact"/>
        <w:ind w:firstLine="602" w:firstLineChars="200"/>
        <w:outlineLvl w:val="0"/>
        <w:rPr>
          <w:rFonts w:ascii="黑体" w:hAnsi="黑体" w:eastAsia="黑体" w:cs="黑体"/>
          <w:b/>
          <w:bCs/>
          <w:sz w:val="30"/>
          <w:szCs w:val="30"/>
          <w:highlight w:val="none"/>
        </w:rPr>
      </w:pPr>
      <w:bookmarkStart w:id="7" w:name="_Toc28350"/>
      <w:r>
        <w:rPr>
          <w:rFonts w:hint="eastAsia" w:ascii="黑体" w:hAnsi="黑体" w:eastAsia="黑体" w:cs="黑体"/>
          <w:b/>
          <w:bCs/>
          <w:sz w:val="30"/>
          <w:szCs w:val="30"/>
          <w:highlight w:val="none"/>
        </w:rPr>
        <w:t>六、废标及终止招标</w:t>
      </w:r>
      <w:bookmarkEnd w:id="7"/>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1.投标人有下列情形之一的，将被视为废标，招标人将按照有关法律法规行使权力。投标人给招标人造成损失的，招标人有索赔的权力，投标人应给予赔偿。</w:t>
      </w:r>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（1）投标人提供的有关资格、资质证明文件不全、不真实；</w:t>
      </w:r>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（2）投标人在报价有效期内撤回投标；</w:t>
      </w:r>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（3）在评标过程中，投标人有企图影响评标结果公正性的任何项目；</w:t>
      </w:r>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（4）投标人以任何形式诋毁他人投标；</w:t>
      </w:r>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（5）以他人名义投标或以任何方式骗取中标；</w:t>
      </w:r>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（6）投标人对招标文件做出实质性变更</w:t>
      </w:r>
      <w:bookmarkStart w:id="8" w:name="_Hlk105656847"/>
      <w:r>
        <w:rPr>
          <w:rFonts w:hint="eastAsia" w:ascii="仿宋_GB2312" w:hAnsi="仿宋_GB2312" w:eastAsia="仿宋_GB2312" w:cs="仿宋_GB2312"/>
          <w:sz w:val="30"/>
          <w:szCs w:val="30"/>
          <w:highlight w:val="none"/>
        </w:rPr>
        <w:t>；</w:t>
      </w:r>
      <w:bookmarkEnd w:id="8"/>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（7）投标人被举报、检举，并经招标方查实无误的；</w:t>
      </w:r>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（8）投标单位负责人为同一人或存在管理关系的。</w:t>
      </w:r>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（9）法律、法规规定的其他情况。</w:t>
      </w:r>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2.出现下列情形，招标人有权否决投标人的投标，并终止招标。</w:t>
      </w:r>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（1）出现影响评审公正性的违法、违规行为；</w:t>
      </w:r>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（2）因重大变故，本项目取消；</w:t>
      </w:r>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（3）符合投标条件的投标方或者对招标文件做实质响应的投标方不足3家的；</w:t>
      </w:r>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（4）不同投标人的投标文件异常一致或者投标报价呈规律性差异的；</w:t>
      </w:r>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（5）投标人报价均超过投标限价的；</w:t>
      </w:r>
    </w:p>
    <w:p>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（6）招标人认为其他应终止招标的情形。</w:t>
      </w:r>
    </w:p>
    <w:p>
      <w:pPr>
        <w:pStyle w:val="9"/>
        <w:spacing w:line="500" w:lineRule="exact"/>
        <w:ind w:firstLine="602" w:firstLineChars="200"/>
        <w:outlineLvl w:val="0"/>
        <w:rPr>
          <w:rFonts w:ascii="黑体" w:hAnsi="黑体" w:eastAsia="黑体" w:cs="黑体"/>
          <w:b/>
          <w:bCs/>
          <w:sz w:val="30"/>
          <w:szCs w:val="30"/>
          <w:highlight w:val="none"/>
        </w:rPr>
      </w:pPr>
      <w:bookmarkStart w:id="9" w:name="_Toc8621"/>
      <w:r>
        <w:rPr>
          <w:rFonts w:hint="eastAsia" w:ascii="黑体" w:hAnsi="黑体" w:eastAsia="黑体" w:cs="黑体"/>
          <w:b/>
          <w:bCs/>
          <w:sz w:val="30"/>
          <w:szCs w:val="30"/>
          <w:highlight w:val="none"/>
        </w:rPr>
        <w:t>七、中标人瑕疵滞后发现的处理原则</w:t>
      </w:r>
      <w:bookmarkEnd w:id="9"/>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9"/>
        <w:spacing w:line="500" w:lineRule="exact"/>
        <w:ind w:firstLine="602" w:firstLineChars="200"/>
        <w:outlineLvl w:val="0"/>
        <w:rPr>
          <w:rFonts w:ascii="黑体" w:hAnsi="黑体" w:eastAsia="黑体" w:cs="黑体"/>
          <w:b/>
          <w:bCs/>
          <w:sz w:val="30"/>
          <w:szCs w:val="30"/>
          <w:highlight w:val="none"/>
        </w:rPr>
      </w:pPr>
      <w:bookmarkStart w:id="10" w:name="_Toc10048"/>
      <w:r>
        <w:rPr>
          <w:rFonts w:hint="eastAsia" w:ascii="黑体" w:hAnsi="黑体" w:eastAsia="黑体" w:cs="黑体"/>
          <w:b/>
          <w:bCs/>
          <w:sz w:val="30"/>
          <w:szCs w:val="30"/>
          <w:highlight w:val="none"/>
        </w:rPr>
        <w:t>八、投标文件格式</w:t>
      </w:r>
      <w:bookmarkEnd w:id="10"/>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详见附件。</w:t>
      </w:r>
    </w:p>
    <w:p>
      <w:pPr>
        <w:pStyle w:val="9"/>
        <w:spacing w:line="500" w:lineRule="exact"/>
        <w:ind w:firstLine="602" w:firstLineChars="200"/>
        <w:outlineLvl w:val="0"/>
        <w:rPr>
          <w:rFonts w:ascii="黑体" w:hAnsi="黑体" w:eastAsia="黑体" w:cs="黑体"/>
          <w:b/>
          <w:bCs/>
          <w:sz w:val="30"/>
          <w:szCs w:val="30"/>
          <w:highlight w:val="none"/>
        </w:rPr>
      </w:pPr>
      <w:bookmarkStart w:id="11" w:name="_Toc2515"/>
      <w:r>
        <w:rPr>
          <w:rFonts w:hint="eastAsia" w:ascii="黑体" w:hAnsi="黑体" w:eastAsia="黑体" w:cs="黑体"/>
          <w:b/>
          <w:bCs/>
          <w:sz w:val="30"/>
          <w:szCs w:val="30"/>
          <w:highlight w:val="none"/>
        </w:rPr>
        <w:t>九、技术协议书</w:t>
      </w:r>
      <w:bookmarkEnd w:id="11"/>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附后，以最后签订版本为准。</w:t>
      </w:r>
    </w:p>
    <w:p>
      <w:pPr>
        <w:pStyle w:val="9"/>
        <w:spacing w:line="500" w:lineRule="exact"/>
        <w:ind w:firstLine="602" w:firstLineChars="200"/>
        <w:outlineLvl w:val="0"/>
        <w:rPr>
          <w:rFonts w:ascii="黑体" w:hAnsi="黑体" w:eastAsia="黑体" w:cs="黑体"/>
          <w:b/>
          <w:bCs/>
          <w:sz w:val="30"/>
          <w:szCs w:val="30"/>
          <w:highlight w:val="none"/>
        </w:rPr>
      </w:pPr>
      <w:bookmarkStart w:id="12" w:name="_Toc23780"/>
      <w:r>
        <w:rPr>
          <w:rFonts w:hint="eastAsia" w:ascii="黑体" w:hAnsi="黑体" w:eastAsia="黑体" w:cs="黑体"/>
          <w:b/>
          <w:bCs/>
          <w:sz w:val="30"/>
          <w:szCs w:val="30"/>
          <w:highlight w:val="none"/>
        </w:rPr>
        <w:t>十、本次招标最终解释权归</w:t>
      </w:r>
      <w:r>
        <w:rPr>
          <w:rFonts w:hint="eastAsia" w:ascii="黑体" w:hAnsi="黑体" w:eastAsia="黑体" w:cs="黑体"/>
          <w:b/>
          <w:bCs/>
          <w:sz w:val="30"/>
          <w:szCs w:val="30"/>
          <w:highlight w:val="none"/>
        </w:rPr>
        <w:t>中国重汽集团济南动力有限公司。</w:t>
      </w:r>
      <w:bookmarkEnd w:id="12"/>
    </w:p>
    <w:p>
      <w:pPr>
        <w:pStyle w:val="12"/>
        <w:spacing w:line="500" w:lineRule="exact"/>
        <w:rPr>
          <w:sz w:val="30"/>
          <w:szCs w:val="30"/>
          <w:highlight w:val="none"/>
        </w:rPr>
      </w:pPr>
    </w:p>
    <w:p>
      <w:pPr>
        <w:pStyle w:val="12"/>
        <w:spacing w:line="500" w:lineRule="exact"/>
        <w:rPr>
          <w:sz w:val="30"/>
          <w:szCs w:val="30"/>
          <w:highlight w:val="none"/>
        </w:rPr>
      </w:pPr>
    </w:p>
    <w:p>
      <w:pPr>
        <w:pStyle w:val="12"/>
        <w:spacing w:line="500" w:lineRule="exact"/>
        <w:rPr>
          <w:sz w:val="30"/>
          <w:szCs w:val="30"/>
          <w:highlight w:val="none"/>
        </w:rPr>
      </w:pPr>
    </w:p>
    <w:p>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 xml:space="preserve">                       中国重汽集团济南动力有限公司</w:t>
      </w:r>
    </w:p>
    <w:p>
      <w:pPr>
        <w:spacing w:line="500" w:lineRule="exact"/>
        <w:ind w:firstLine="600" w:firstLineChars="200"/>
        <w:jc w:val="left"/>
        <w:rPr>
          <w:rFonts w:ascii="仿宋_GB2312" w:hAnsi="Calibri" w:eastAsia="仿宋_GB2312"/>
          <w:sz w:val="30"/>
          <w:szCs w:val="30"/>
          <w:highlight w:val="none"/>
        </w:rPr>
      </w:pPr>
      <w:r>
        <w:rPr>
          <w:rFonts w:hint="eastAsia" w:ascii="仿宋_GB2312" w:hAnsi="仿宋" w:eastAsia="仿宋_GB2312"/>
          <w:sz w:val="30"/>
          <w:szCs w:val="30"/>
          <w:highlight w:val="none"/>
        </w:rPr>
        <w:t xml:space="preserve">                                </w:t>
      </w:r>
      <w:r>
        <w:rPr>
          <w:rFonts w:hint="eastAsia" w:ascii="仿宋_GB2312" w:hAnsi="仿宋" w:eastAsia="仿宋_GB2312"/>
          <w:sz w:val="30"/>
          <w:szCs w:val="30"/>
          <w:highlight w:val="none"/>
        </w:rPr>
        <w:t>202</w:t>
      </w:r>
      <w:r>
        <w:rPr>
          <w:rFonts w:hint="eastAsia" w:ascii="仿宋_GB2312" w:hAnsi="仿宋" w:eastAsia="仿宋_GB2312"/>
          <w:sz w:val="30"/>
          <w:szCs w:val="30"/>
          <w:highlight w:val="none"/>
          <w:lang w:val="en-US" w:eastAsia="zh-CN"/>
        </w:rPr>
        <w:t>5</w:t>
      </w:r>
      <w:r>
        <w:rPr>
          <w:rFonts w:hint="eastAsia" w:ascii="仿宋_GB2312" w:hAnsi="仿宋" w:eastAsia="仿宋_GB2312"/>
          <w:sz w:val="30"/>
          <w:szCs w:val="30"/>
          <w:highlight w:val="none"/>
        </w:rPr>
        <w:t>年</w:t>
      </w:r>
      <w:r>
        <w:rPr>
          <w:rFonts w:hint="eastAsia" w:ascii="仿宋_GB2312" w:hAnsi="仿宋" w:eastAsia="仿宋_GB2312"/>
          <w:sz w:val="30"/>
          <w:szCs w:val="30"/>
          <w:highlight w:val="none"/>
          <w:lang w:val="en-US" w:eastAsia="zh-CN"/>
        </w:rPr>
        <w:t>7</w:t>
      </w:r>
      <w:r>
        <w:rPr>
          <w:rFonts w:hint="eastAsia" w:ascii="仿宋_GB2312" w:hAnsi="仿宋" w:eastAsia="仿宋_GB2312"/>
          <w:sz w:val="30"/>
          <w:szCs w:val="30"/>
          <w:highlight w:val="none"/>
        </w:rPr>
        <w:t>月</w:t>
      </w:r>
    </w:p>
    <w:p>
      <w:pPr>
        <w:rPr>
          <w:rFonts w:ascii="宋体" w:hAnsi="宋体" w:cs="宋体"/>
          <w:sz w:val="24"/>
          <w:szCs w:val="24"/>
          <w:highlight w:val="none"/>
        </w:rPr>
      </w:pPr>
      <w:bookmarkStart w:id="13" w:name="_Toc13641"/>
      <w:r>
        <w:rPr>
          <w:rFonts w:hint="eastAsia" w:ascii="宋体" w:hAnsi="宋体" w:cs="宋体"/>
          <w:sz w:val="24"/>
          <w:szCs w:val="24"/>
          <w:highlight w:val="none"/>
        </w:rPr>
        <w:br w:type="page"/>
      </w:r>
    </w:p>
    <w:p>
      <w:pPr>
        <w:rPr>
          <w:rFonts w:ascii="宋体" w:hAnsi="宋体" w:cs="宋体"/>
          <w:sz w:val="24"/>
          <w:szCs w:val="24"/>
          <w:highlight w:val="none"/>
        </w:rPr>
      </w:pPr>
      <w:r>
        <w:rPr>
          <w:rFonts w:hint="eastAsia" w:ascii="宋体" w:hAnsi="宋体" w:cs="宋体"/>
          <w:sz w:val="24"/>
          <w:szCs w:val="24"/>
          <w:highlight w:val="none"/>
        </w:rPr>
        <w:t>附件1：</w:t>
      </w:r>
      <w:bookmarkEnd w:id="13"/>
    </w:p>
    <w:p>
      <w:pPr>
        <w:pStyle w:val="6"/>
        <w:spacing w:line="460" w:lineRule="exact"/>
        <w:jc w:val="center"/>
        <w:rPr>
          <w:rFonts w:ascii="宋体" w:hAnsi="宋体" w:eastAsia="宋体"/>
          <w:b/>
          <w:bCs/>
          <w:sz w:val="36"/>
          <w:szCs w:val="36"/>
          <w:highlight w:val="none"/>
        </w:rPr>
      </w:pPr>
      <w:r>
        <w:rPr>
          <w:rFonts w:hint="eastAsia" w:ascii="宋体" w:hAnsi="宋体" w:eastAsia="宋体" w:cs="宋体"/>
          <w:b/>
          <w:bCs/>
          <w:sz w:val="36"/>
          <w:szCs w:val="36"/>
          <w:highlight w:val="none"/>
        </w:rPr>
        <w:t>法定代表人授权委托书</w:t>
      </w:r>
    </w:p>
    <w:p>
      <w:pPr>
        <w:pStyle w:val="6"/>
        <w:spacing w:line="460" w:lineRule="exact"/>
        <w:jc w:val="center"/>
        <w:rPr>
          <w:rFonts w:ascii="宋体" w:hAnsi="宋体" w:eastAsia="宋体"/>
          <w:b/>
          <w:bCs/>
          <w:szCs w:val="32"/>
          <w:highlight w:val="none"/>
        </w:rPr>
      </w:pPr>
    </w:p>
    <w:p>
      <w:pPr>
        <w:pStyle w:val="6"/>
        <w:spacing w:line="560" w:lineRule="exact"/>
        <w:rPr>
          <w:rFonts w:ascii="宋体" w:hAnsi="宋体" w:eastAsia="宋体"/>
          <w:sz w:val="24"/>
          <w:szCs w:val="24"/>
          <w:highlight w:val="none"/>
          <w:u w:val="single"/>
        </w:rPr>
      </w:pPr>
      <w:r>
        <w:rPr>
          <w:rFonts w:hint="eastAsia" w:ascii="宋体" w:hAnsi="宋体" w:eastAsia="宋体" w:cs="宋体"/>
          <w:sz w:val="24"/>
          <w:szCs w:val="24"/>
          <w:highlight w:val="none"/>
          <w:u w:val="single"/>
        </w:rPr>
        <w:t xml:space="preserve">  中国重汽集团济南动力有限公司 ：</w:t>
      </w:r>
    </w:p>
    <w:p>
      <w:pPr>
        <w:pStyle w:val="6"/>
        <w:spacing w:line="560" w:lineRule="exact"/>
        <w:ind w:firstLine="480"/>
        <w:rPr>
          <w:rFonts w:ascii="宋体" w:hAnsi="宋体" w:eastAsia="宋体"/>
          <w:sz w:val="24"/>
          <w:szCs w:val="24"/>
          <w:highlight w:val="none"/>
        </w:rPr>
      </w:pP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（投标人名称）法定代表人</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授权我公司</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（职务或职称）</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（姓名）为我单位本次投标授权代理人，全权处理此次招标项目（项目编号：</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）投标活动的一切事宜。</w:t>
      </w:r>
    </w:p>
    <w:p>
      <w:pPr>
        <w:adjustRightInd w:val="0"/>
        <w:snapToGrid w:val="0"/>
        <w:spacing w:before="93" w:beforeLines="30" w:line="360" w:lineRule="auto"/>
        <w:ind w:firstLine="480" w:firstLineChars="200"/>
        <w:rPr>
          <w:rFonts w:ascii="宋体" w:hAnsi="宋体"/>
          <w:sz w:val="24"/>
          <w:highlight w:val="none"/>
        </w:rPr>
      </w:pPr>
      <w:r>
        <w:rPr>
          <w:rFonts w:hint="eastAsia" w:ascii="宋体" w:hAnsi="宋体"/>
          <w:sz w:val="24"/>
          <w:highlight w:val="none"/>
        </w:rPr>
        <w:t>委托期限：</w:t>
      </w:r>
      <w:r>
        <w:rPr>
          <w:rFonts w:hint="eastAsia" w:ascii="宋体" w:hAnsi="宋体"/>
          <w:sz w:val="24"/>
          <w:highlight w:val="none"/>
          <w:u w:val="single"/>
        </w:rPr>
        <w:t xml:space="preserve">                       </w:t>
      </w:r>
      <w:r>
        <w:rPr>
          <w:rFonts w:hint="eastAsia" w:ascii="宋体" w:hAnsi="宋体"/>
          <w:sz w:val="24"/>
          <w:highlight w:val="none"/>
        </w:rPr>
        <w:t xml:space="preserve">    </w:t>
      </w:r>
    </w:p>
    <w:p>
      <w:pPr>
        <w:adjustRightInd w:val="0"/>
        <w:snapToGrid w:val="0"/>
        <w:spacing w:before="93" w:beforeLines="30" w:line="312" w:lineRule="auto"/>
        <w:ind w:firstLine="480" w:firstLineChars="200"/>
        <w:rPr>
          <w:rFonts w:ascii="宋体" w:hAnsi="宋体"/>
          <w:sz w:val="24"/>
          <w:highlight w:val="none"/>
        </w:rPr>
      </w:pPr>
      <w:r>
        <w:rPr>
          <w:rFonts w:hint="eastAsia" w:ascii="宋体" w:hAnsi="宋体"/>
          <w:sz w:val="24"/>
          <w:highlight w:val="none"/>
        </w:rPr>
        <w:t>全权代表无转委权。特此委托。</w:t>
      </w:r>
      <w:r>
        <w:rPr>
          <w:rFonts w:hint="eastAsia" w:ascii="宋体" w:hAnsi="宋体"/>
          <w:highlight w:val="none"/>
        </w:rPr>
        <mc:AlternateContent>
          <mc:Choice Requires="wps">
            <w:drawing>
              <wp:anchor distT="0" distB="0" distL="114300" distR="114300" simplePos="0" relativeHeight="251659264"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wps:spPr>
                      <wps:txbx>
                        <w:txbxContent>
                          <w:p>
                            <w:pPr>
                              <w:jc w:val="center"/>
                            </w:pPr>
                          </w:p>
                          <w:p>
                            <w:pPr>
                              <w:jc w:val="center"/>
                            </w:pPr>
                          </w:p>
                          <w:p>
                            <w:pPr>
                              <w:jc w:val="center"/>
                            </w:pPr>
                          </w:p>
                          <w:p>
                            <w:pPr>
                              <w:jc w:val="center"/>
                            </w:pPr>
                            <w:r>
                              <w:rPr>
                                <w:rFonts w:hint="eastAsia"/>
                              </w:rPr>
                              <w:t>法定代表人身份证复印件（正面）</w:t>
                            </w:r>
                          </w:p>
                          <w:p>
                            <w:pPr>
                              <w:jc w:val="center"/>
                            </w:pPr>
                          </w:p>
                          <w:p>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9.35pt;height:122.25pt;width:209.25pt;z-index:251659264;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6VH8tgAAAAJAQAADwAAAAAAAAABACAAAAAiAAAAZHJzL2Rvd25y&#10;ZXYueG1sUEsBAhQAFAAAAAgAh07iQAPUsD83AgAAewQAAA4AAAAAAAAAAQAgAAAAJwEAAGRycy9l&#10;Mm9Eb2MueG1sUEsFBgAAAAAGAAYAWQEAANAFAAAAAA==&#10;">
                <v:fill on="t" focussize="0,0"/>
                <v:stroke color="#000000" miterlimit="8" joinstyle="miter"/>
                <v:imagedata o:title=""/>
                <o:lock v:ext="edit" aspectratio="f"/>
                <v:textbox>
                  <w:txbxContent>
                    <w:p>
                      <w:pPr>
                        <w:jc w:val="center"/>
                      </w:pPr>
                    </w:p>
                    <w:p>
                      <w:pPr>
                        <w:jc w:val="center"/>
                      </w:pPr>
                    </w:p>
                    <w:p>
                      <w:pPr>
                        <w:jc w:val="center"/>
                      </w:pPr>
                    </w:p>
                    <w:p>
                      <w:pPr>
                        <w:jc w:val="center"/>
                      </w:pPr>
                      <w:r>
                        <w:rPr>
                          <w:rFonts w:hint="eastAsia"/>
                        </w:rPr>
                        <w:t>法定代表人身份证复印件（正面）</w:t>
                      </w:r>
                    </w:p>
                    <w:p>
                      <w:pPr>
                        <w:jc w:val="center"/>
                      </w:pPr>
                    </w:p>
                    <w:p>
                      <w:pPr>
                        <w:jc w:val="center"/>
                      </w:pPr>
                    </w:p>
                  </w:txbxContent>
                </v:textbox>
              </v:rect>
            </w:pict>
          </mc:Fallback>
        </mc:AlternateContent>
      </w:r>
      <w:r>
        <w:rPr>
          <w:rFonts w:hint="eastAsia" w:ascii="宋体" w:hAnsi="宋体"/>
          <w:highlight w:val="none"/>
        </w:rP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wps:spPr>
                      <wps:txbx>
                        <w:txbxContent>
                          <w:p>
                            <w:pPr>
                              <w:jc w:val="center"/>
                            </w:pPr>
                            <w:r>
                              <w:rPr>
                                <w:rFonts w:hint="eastAsia"/>
                              </w:rPr>
                              <w:t>授权代理人身份证复印件（正面）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45.35pt;height:122.25pt;width:209.25pt;z-index:251661312;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P4KwtgAAAAKAQAADwAAAAAAAAABACAAAAAiAAAAZHJzL2Rvd25y&#10;ZXYueG1sUEsBAhQAFAAAAAgAh07iQKCcKZw3AgAAewQAAA4AAAAAAAAAAQAgAAAAJwEAAGRycy9l&#10;Mm9Eb2MueG1sUEsFBgAAAAAGAAYAWQEAANAFAAAAAA==&#10;">
                <v:fill on="t" focussize="0,0"/>
                <v:stroke color="#000000" miterlimit="8" joinstyle="miter"/>
                <v:imagedata o:title=""/>
                <o:lock v:ext="edit" aspectratio="f"/>
                <v:textbox>
                  <w:txbxContent>
                    <w:p>
                      <w:pPr>
                        <w:jc w:val="center"/>
                      </w:pPr>
                      <w:r>
                        <w:rPr>
                          <w:rFonts w:hint="eastAsia"/>
                        </w:rPr>
                        <w:t>授权代理人身份证复印件（正面）</w:t>
                      </w:r>
                    </w:p>
                  </w:txbxContent>
                </v:textbox>
              </v:rect>
            </w:pict>
          </mc:Fallback>
        </mc:AlternateContent>
      </w:r>
      <w:r>
        <w:rPr>
          <w:rFonts w:hint="eastAsia" w:ascii="宋体" w:hAnsi="宋体"/>
          <w:highlight w:val="none"/>
        </w:rPr>
        <mc:AlternateContent>
          <mc:Choice Requires="wps">
            <w:drawing>
              <wp:anchor distT="0" distB="0" distL="114300" distR="114300" simplePos="0" relativeHeight="251660288" behindDoc="0" locked="0" layoutInCell="1" allowOverlap="1">
                <wp:simplePos x="0" y="0"/>
                <wp:positionH relativeFrom="column">
                  <wp:posOffset>3123565</wp:posOffset>
                </wp:positionH>
                <wp:positionV relativeFrom="paragraph">
                  <wp:posOffset>245745</wp:posOffset>
                </wp:positionV>
                <wp:extent cx="2514600" cy="1552575"/>
                <wp:effectExtent l="4445" t="4445" r="8255" b="508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wps:spPr>
                      <wps:txbx>
                        <w:txbxContent>
                          <w:p>
                            <w:pPr>
                              <w:jc w:val="center"/>
                            </w:pPr>
                          </w:p>
                          <w:p>
                            <w:pPr>
                              <w:jc w:val="center"/>
                            </w:pPr>
                          </w:p>
                          <w:p>
                            <w:pPr>
                              <w:jc w:val="center"/>
                            </w:pPr>
                          </w:p>
                          <w:p>
                            <w:pPr>
                              <w:jc w:val="center"/>
                            </w:pPr>
                            <w:r>
                              <w:rPr>
                                <w:rFonts w:hint="eastAsia"/>
                              </w:rPr>
                              <w:t>法定代表人身份证复印件（反面）</w:t>
                            </w:r>
                          </w:p>
                          <w:p>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9.35pt;height:122.25pt;width:198pt;z-index:251660288;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67nBPYAAAACgEAAA8AAAAAAAAAAQAgAAAAIgAAAGRycy9kb3du&#10;cmV2LnhtbFBLAQIUABQAAAAIAIdO4kAryhzXOAIAAHsEAAAOAAAAAAAAAAEAIAAAACcBAABkcnMv&#10;ZTJvRG9jLnhtbFBLBQYAAAAABgAGAFkBAADRBQAAAAA=&#10;">
                <v:fill on="t" focussize="0,0"/>
                <v:stroke color="#000000" miterlimit="8" joinstyle="miter"/>
                <v:imagedata o:title=""/>
                <o:lock v:ext="edit" aspectratio="f"/>
                <v:textbox>
                  <w:txbxContent>
                    <w:p>
                      <w:pPr>
                        <w:jc w:val="center"/>
                      </w:pPr>
                    </w:p>
                    <w:p>
                      <w:pPr>
                        <w:jc w:val="center"/>
                      </w:pPr>
                    </w:p>
                    <w:p>
                      <w:pPr>
                        <w:jc w:val="center"/>
                      </w:pPr>
                    </w:p>
                    <w:p>
                      <w:pPr>
                        <w:jc w:val="center"/>
                      </w:pPr>
                      <w:r>
                        <w:rPr>
                          <w:rFonts w:hint="eastAsia"/>
                        </w:rPr>
                        <w:t>法定代表人身份证复印件（反面）</w:t>
                      </w:r>
                    </w:p>
                    <w:p>
                      <w:pPr>
                        <w:jc w:val="center"/>
                      </w:pPr>
                    </w:p>
                  </w:txbxContent>
                </v:textbox>
              </v:rect>
            </w:pict>
          </mc:Fallback>
        </mc:AlternateContent>
      </w:r>
      <w:r>
        <w:rPr>
          <w:rFonts w:hint="eastAsia" w:ascii="宋体" w:hAnsi="宋体"/>
          <w:highlight w:val="none"/>
        </w:rP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1836420</wp:posOffset>
                </wp:positionV>
                <wp:extent cx="2514600" cy="1552575"/>
                <wp:effectExtent l="4445" t="4445" r="8255" b="5080"/>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wps:spPr>
                      <wps:txbx>
                        <w:txbxContent>
                          <w:p>
                            <w:pPr>
                              <w:jc w:val="center"/>
                            </w:pPr>
                            <w:r>
                              <w:rPr>
                                <w:rFonts w:hint="eastAsia"/>
                              </w:rPr>
                              <w:t>授权代理人身份证复印件（反面）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44.6pt;height:122.25pt;width:198pt;z-index:251662336;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ctpajaAAAACwEAAA8AAAAAAAAAAQAgAAAAIgAAAGRycy9kb3du&#10;cmV2LnhtbFBLAQIUABQAAAAIAIdO4kC8VCSbNgIAAHsEAAAOAAAAAAAAAAEAIAAAACkBAABkcnMv&#10;ZTJvRG9jLnhtbFBLBQYAAAAABgAGAFkBAADRBQAAAAA=&#10;">
                <v:fill on="t" focussize="0,0"/>
                <v:stroke color="#000000" miterlimit="8" joinstyle="miter"/>
                <v:imagedata o:title=""/>
                <o:lock v:ext="edit" aspectratio="f"/>
                <v:textbox>
                  <w:txbxContent>
                    <w:p>
                      <w:pPr>
                        <w:jc w:val="center"/>
                      </w:pPr>
                      <w:r>
                        <w:rPr>
                          <w:rFonts w:hint="eastAsia"/>
                        </w:rPr>
                        <w:t>授权代理人身份证复印件（反面）</w:t>
                      </w:r>
                    </w:p>
                  </w:txbxContent>
                </v:textbox>
              </v:rect>
            </w:pict>
          </mc:Fallback>
        </mc:AlternateContent>
      </w:r>
    </w:p>
    <w:p>
      <w:pPr>
        <w:spacing w:line="480" w:lineRule="exact"/>
        <w:ind w:firstLine="480" w:firstLineChars="200"/>
        <w:rPr>
          <w:rFonts w:ascii="宋体" w:hAnsi="宋体"/>
          <w:sz w:val="24"/>
          <w:highlight w:val="none"/>
        </w:rPr>
      </w:pPr>
    </w:p>
    <w:p>
      <w:pPr>
        <w:spacing w:line="480" w:lineRule="exact"/>
        <w:ind w:firstLine="480" w:firstLineChars="200"/>
        <w:rPr>
          <w:rFonts w:ascii="宋体" w:hAnsi="宋体"/>
          <w:sz w:val="24"/>
          <w:highlight w:val="none"/>
        </w:rPr>
      </w:pPr>
    </w:p>
    <w:p>
      <w:pPr>
        <w:spacing w:line="480" w:lineRule="exact"/>
        <w:ind w:firstLine="480" w:firstLineChars="200"/>
        <w:rPr>
          <w:rFonts w:ascii="宋体" w:hAnsi="宋体"/>
          <w:sz w:val="24"/>
          <w:highlight w:val="none"/>
        </w:rPr>
      </w:pPr>
    </w:p>
    <w:p>
      <w:pPr>
        <w:spacing w:line="480" w:lineRule="exact"/>
        <w:ind w:firstLine="480" w:firstLineChars="200"/>
        <w:rPr>
          <w:rFonts w:ascii="宋体" w:hAnsi="宋体"/>
          <w:sz w:val="24"/>
          <w:highlight w:val="none"/>
        </w:rPr>
      </w:pPr>
    </w:p>
    <w:p>
      <w:pPr>
        <w:spacing w:line="480" w:lineRule="exact"/>
        <w:ind w:firstLine="480" w:firstLineChars="200"/>
        <w:rPr>
          <w:rFonts w:ascii="宋体" w:hAnsi="宋体"/>
          <w:sz w:val="24"/>
          <w:highlight w:val="none"/>
        </w:rPr>
      </w:pPr>
    </w:p>
    <w:p>
      <w:pPr>
        <w:spacing w:line="480" w:lineRule="exact"/>
        <w:ind w:firstLine="480" w:firstLineChars="200"/>
        <w:rPr>
          <w:rFonts w:ascii="宋体" w:hAnsi="宋体"/>
          <w:sz w:val="24"/>
          <w:highlight w:val="none"/>
        </w:rPr>
      </w:pPr>
    </w:p>
    <w:p>
      <w:pPr>
        <w:spacing w:line="480" w:lineRule="exact"/>
        <w:ind w:firstLine="480" w:firstLineChars="200"/>
        <w:rPr>
          <w:rFonts w:ascii="宋体" w:hAnsi="宋体"/>
          <w:sz w:val="24"/>
          <w:highlight w:val="none"/>
        </w:rPr>
      </w:pPr>
    </w:p>
    <w:p>
      <w:pPr>
        <w:spacing w:line="480" w:lineRule="exact"/>
        <w:ind w:firstLine="480" w:firstLineChars="200"/>
        <w:rPr>
          <w:rFonts w:ascii="宋体" w:hAnsi="宋体"/>
          <w:sz w:val="24"/>
          <w:highlight w:val="none"/>
        </w:rPr>
      </w:pPr>
    </w:p>
    <w:p>
      <w:pPr>
        <w:spacing w:line="480" w:lineRule="exact"/>
        <w:ind w:firstLine="480" w:firstLineChars="200"/>
        <w:rPr>
          <w:rFonts w:ascii="宋体" w:hAnsi="宋体"/>
          <w:sz w:val="24"/>
          <w:highlight w:val="none"/>
        </w:rPr>
      </w:pPr>
    </w:p>
    <w:p>
      <w:pPr>
        <w:spacing w:line="480" w:lineRule="exact"/>
        <w:rPr>
          <w:rFonts w:ascii="宋体" w:hAnsi="宋体"/>
          <w:sz w:val="24"/>
          <w:highlight w:val="none"/>
        </w:rPr>
      </w:pPr>
    </w:p>
    <w:p>
      <w:pPr>
        <w:pStyle w:val="6"/>
        <w:spacing w:line="560" w:lineRule="exact"/>
        <w:rPr>
          <w:rFonts w:ascii="宋体" w:hAnsi="宋体" w:eastAsia="宋体"/>
          <w:sz w:val="24"/>
          <w:szCs w:val="24"/>
          <w:highlight w:val="none"/>
        </w:rPr>
      </w:pPr>
      <w:r>
        <w:rPr>
          <w:rFonts w:hint="eastAsia" w:ascii="宋体" w:hAnsi="宋体" w:eastAsia="宋体" w:cs="宋体"/>
          <w:sz w:val="24"/>
          <w:szCs w:val="24"/>
          <w:highlight w:val="none"/>
        </w:rPr>
        <w:t>单位名称（公章）：</w:t>
      </w:r>
      <w:r>
        <w:rPr>
          <w:rFonts w:ascii="宋体" w:hAnsi="宋体" w:eastAsia="宋体" w:cs="宋体"/>
          <w:sz w:val="24"/>
          <w:szCs w:val="24"/>
          <w:highlight w:val="none"/>
          <w:u w:val="single"/>
        </w:rPr>
        <w:t xml:space="preserve">                 </w:t>
      </w:r>
    </w:p>
    <w:p>
      <w:pPr>
        <w:pStyle w:val="6"/>
        <w:spacing w:line="560" w:lineRule="exact"/>
        <w:rPr>
          <w:rFonts w:ascii="宋体" w:hAnsi="宋体" w:eastAsia="宋体"/>
          <w:sz w:val="24"/>
          <w:szCs w:val="24"/>
          <w:highlight w:val="none"/>
        </w:rPr>
      </w:pPr>
      <w:r>
        <w:rPr>
          <w:rFonts w:hint="eastAsia" w:ascii="宋体" w:hAnsi="宋体" w:eastAsia="宋体" w:cs="宋体"/>
          <w:sz w:val="24"/>
          <w:szCs w:val="24"/>
          <w:highlight w:val="none"/>
        </w:rPr>
        <w:t>法定代表人签字：</w:t>
      </w:r>
      <w:r>
        <w:rPr>
          <w:rFonts w:ascii="宋体" w:hAnsi="宋体" w:eastAsia="宋体" w:cs="宋体"/>
          <w:sz w:val="24"/>
          <w:szCs w:val="24"/>
          <w:highlight w:val="none"/>
          <w:u w:val="single"/>
        </w:rPr>
        <w:t xml:space="preserve">                  </w:t>
      </w:r>
    </w:p>
    <w:p>
      <w:pPr>
        <w:pStyle w:val="6"/>
        <w:spacing w:line="560" w:lineRule="exact"/>
        <w:rPr>
          <w:rFonts w:ascii="宋体" w:hAnsi="宋体" w:eastAsia="宋体"/>
          <w:sz w:val="24"/>
          <w:szCs w:val="24"/>
          <w:highlight w:val="none"/>
        </w:rPr>
      </w:pPr>
      <w:r>
        <w:rPr>
          <w:rFonts w:hint="eastAsia" w:ascii="宋体" w:hAnsi="宋体" w:eastAsia="宋体" w:cs="宋体"/>
          <w:sz w:val="24"/>
          <w:szCs w:val="24"/>
          <w:highlight w:val="none"/>
        </w:rPr>
        <w:t>授权代理人签字：</w:t>
      </w:r>
      <w:r>
        <w:rPr>
          <w:rFonts w:ascii="宋体" w:hAnsi="宋体" w:eastAsia="宋体" w:cs="宋体"/>
          <w:sz w:val="24"/>
          <w:szCs w:val="24"/>
          <w:highlight w:val="none"/>
          <w:u w:val="single"/>
        </w:rPr>
        <w:t xml:space="preserve">                  </w:t>
      </w:r>
    </w:p>
    <w:p>
      <w:pPr>
        <w:pStyle w:val="6"/>
        <w:spacing w:line="560" w:lineRule="exact"/>
        <w:ind w:left="5880" w:right="283" w:rightChars="135" w:firstLine="420"/>
        <w:jc w:val="right"/>
        <w:rPr>
          <w:rFonts w:ascii="宋体" w:hAnsi="宋体" w:eastAsia="宋体"/>
          <w:sz w:val="24"/>
          <w:highlight w:val="none"/>
        </w:rPr>
      </w:pPr>
      <w:r>
        <w:rPr>
          <w:rFonts w:ascii="宋体" w:hAnsi="宋体" w:eastAsia="宋体"/>
          <w:sz w:val="24"/>
          <w:highlight w:val="none"/>
        </w:rPr>
        <w:t xml:space="preserve">    </w:t>
      </w:r>
      <w:r>
        <w:rPr>
          <w:rFonts w:hint="eastAsia" w:ascii="宋体" w:hAnsi="宋体" w:eastAsia="宋体"/>
          <w:sz w:val="24"/>
          <w:highlight w:val="none"/>
        </w:rPr>
        <w:t>年</w:t>
      </w:r>
      <w:r>
        <w:rPr>
          <w:rFonts w:ascii="宋体" w:hAnsi="宋体" w:eastAsia="宋体"/>
          <w:sz w:val="24"/>
          <w:highlight w:val="none"/>
        </w:rPr>
        <w:t xml:space="preserve">  </w:t>
      </w:r>
      <w:r>
        <w:rPr>
          <w:rFonts w:hint="eastAsia" w:ascii="宋体" w:hAnsi="宋体" w:eastAsia="宋体"/>
          <w:sz w:val="24"/>
          <w:highlight w:val="none"/>
        </w:rPr>
        <w:t>月</w:t>
      </w:r>
      <w:r>
        <w:rPr>
          <w:rFonts w:ascii="宋体" w:hAnsi="宋体" w:eastAsia="宋体"/>
          <w:sz w:val="24"/>
          <w:highlight w:val="none"/>
        </w:rPr>
        <w:t xml:space="preserve">  </w:t>
      </w:r>
      <w:r>
        <w:rPr>
          <w:rFonts w:hint="eastAsia" w:ascii="宋体" w:hAnsi="宋体" w:eastAsia="宋体"/>
          <w:sz w:val="24"/>
          <w:highlight w:val="none"/>
        </w:rPr>
        <w:t>日</w:t>
      </w:r>
    </w:p>
    <w:p>
      <w:pPr>
        <w:spacing w:after="156" w:afterLines="50"/>
        <w:jc w:val="left"/>
        <w:rPr>
          <w:rFonts w:ascii="仿宋_GB2312" w:hAnsi="Calibri" w:eastAsia="仿宋_GB2312"/>
          <w:sz w:val="32"/>
          <w:szCs w:val="32"/>
          <w:highlight w:val="none"/>
        </w:rPr>
      </w:pPr>
      <w:bookmarkStart w:id="14" w:name="_Toc16307"/>
    </w:p>
    <w:p>
      <w:pPr>
        <w:spacing w:after="156" w:afterLines="50"/>
        <w:jc w:val="left"/>
        <w:rPr>
          <w:rFonts w:ascii="仿宋_GB2312" w:hAnsi="Calibri" w:eastAsia="仿宋_GB2312"/>
          <w:sz w:val="32"/>
          <w:szCs w:val="32"/>
          <w:highlight w:val="none"/>
        </w:rPr>
      </w:pPr>
    </w:p>
    <w:p>
      <w:pPr>
        <w:pStyle w:val="12"/>
        <w:rPr>
          <w:highlight w:val="none"/>
        </w:rPr>
      </w:pPr>
    </w:p>
    <w:p>
      <w:pPr>
        <w:rPr>
          <w:rFonts w:ascii="宋体" w:hAnsi="宋体" w:cs="宋体"/>
          <w:sz w:val="24"/>
          <w:szCs w:val="24"/>
          <w:highlight w:val="none"/>
        </w:rPr>
      </w:pPr>
      <w:bookmarkStart w:id="15" w:name="_Toc12670"/>
    </w:p>
    <w:p>
      <w:pPr>
        <w:rPr>
          <w:rFonts w:ascii="宋体" w:hAnsi="宋体" w:cs="宋体"/>
          <w:sz w:val="24"/>
          <w:szCs w:val="24"/>
          <w:highlight w:val="none"/>
        </w:rPr>
      </w:pPr>
    </w:p>
    <w:p>
      <w:pPr>
        <w:rPr>
          <w:rFonts w:ascii="宋体" w:hAnsi="宋体" w:cs="宋体"/>
          <w:sz w:val="24"/>
          <w:szCs w:val="24"/>
          <w:highlight w:val="none"/>
        </w:rPr>
      </w:pPr>
      <w:r>
        <w:rPr>
          <w:rFonts w:hint="eastAsia" w:ascii="宋体" w:hAnsi="宋体" w:cs="宋体"/>
          <w:sz w:val="24"/>
          <w:szCs w:val="24"/>
          <w:highlight w:val="none"/>
        </w:rPr>
        <w:t>附件2</w:t>
      </w:r>
      <w:bookmarkEnd w:id="14"/>
      <w:bookmarkEnd w:id="15"/>
    </w:p>
    <w:p>
      <w:pPr>
        <w:pStyle w:val="6"/>
        <w:spacing w:line="560" w:lineRule="exact"/>
        <w:ind w:right="283" w:rightChars="135"/>
        <w:jc w:val="center"/>
        <w:rPr>
          <w:rFonts w:ascii="宋体" w:hAnsi="宋体" w:eastAsia="宋体" w:cs="宋体"/>
          <w:sz w:val="36"/>
          <w:szCs w:val="36"/>
          <w:highlight w:val="none"/>
        </w:rPr>
      </w:pPr>
      <w:r>
        <w:rPr>
          <w:rFonts w:hint="eastAsia" w:ascii="宋体" w:hAnsi="宋体" w:eastAsia="宋体" w:cs="宋体"/>
          <w:b/>
          <w:bCs/>
          <w:sz w:val="36"/>
          <w:szCs w:val="36"/>
          <w:highlight w:val="none"/>
        </w:rPr>
        <w:t>投标人基本情况表</w:t>
      </w:r>
    </w:p>
    <w:tbl>
      <w:tblPr>
        <w:tblStyle w:val="18"/>
        <w:tblW w:w="9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1101"/>
        <w:gridCol w:w="963"/>
        <w:gridCol w:w="1102"/>
        <w:gridCol w:w="1652"/>
        <w:gridCol w:w="2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pPr>
              <w:spacing w:line="276" w:lineRule="auto"/>
              <w:jc w:val="center"/>
              <w:rPr>
                <w:rFonts w:ascii="宋体" w:hAnsi="宋体" w:cs="Calibri"/>
                <w:sz w:val="24"/>
                <w:highlight w:val="none"/>
              </w:rPr>
            </w:pPr>
            <w:r>
              <w:rPr>
                <w:rFonts w:ascii="宋体" w:hAnsi="宋体" w:cs="Calibri"/>
                <w:sz w:val="24"/>
                <w:highlight w:val="none"/>
              </w:rPr>
              <w:t>投标人名称</w:t>
            </w:r>
          </w:p>
        </w:tc>
        <w:tc>
          <w:tcPr>
            <w:tcW w:w="6849" w:type="dxa"/>
            <w:gridSpan w:val="5"/>
            <w:vAlign w:val="center"/>
          </w:tcPr>
          <w:p>
            <w:pPr>
              <w:spacing w:line="276" w:lineRule="auto"/>
              <w:jc w:val="center"/>
              <w:rPr>
                <w:rFonts w:ascii="宋体" w:hAnsi="宋体" w:cs="Calibri"/>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pPr>
              <w:spacing w:line="276" w:lineRule="auto"/>
              <w:jc w:val="center"/>
              <w:rPr>
                <w:rFonts w:ascii="宋体" w:hAnsi="宋体" w:cs="Calibri"/>
                <w:sz w:val="24"/>
                <w:highlight w:val="none"/>
              </w:rPr>
            </w:pPr>
            <w:r>
              <w:rPr>
                <w:rFonts w:ascii="宋体" w:hAnsi="宋体" w:cs="Calibri"/>
                <w:sz w:val="24"/>
                <w:highlight w:val="none"/>
              </w:rPr>
              <w:t>注册地址</w:t>
            </w:r>
          </w:p>
        </w:tc>
        <w:tc>
          <w:tcPr>
            <w:tcW w:w="3166" w:type="dxa"/>
            <w:gridSpan w:val="3"/>
            <w:vAlign w:val="center"/>
          </w:tcPr>
          <w:p>
            <w:pPr>
              <w:spacing w:line="276" w:lineRule="auto"/>
              <w:jc w:val="center"/>
              <w:rPr>
                <w:rFonts w:ascii="宋体" w:hAnsi="宋体" w:cs="Calibri"/>
                <w:sz w:val="24"/>
                <w:highlight w:val="none"/>
              </w:rPr>
            </w:pPr>
          </w:p>
        </w:tc>
        <w:tc>
          <w:tcPr>
            <w:tcW w:w="1652" w:type="dxa"/>
            <w:vAlign w:val="center"/>
          </w:tcPr>
          <w:p>
            <w:pPr>
              <w:spacing w:line="276" w:lineRule="auto"/>
              <w:jc w:val="center"/>
              <w:rPr>
                <w:rFonts w:ascii="宋体" w:hAnsi="宋体" w:cs="Calibri"/>
                <w:sz w:val="24"/>
                <w:highlight w:val="none"/>
              </w:rPr>
            </w:pPr>
            <w:r>
              <w:rPr>
                <w:rFonts w:ascii="宋体" w:hAnsi="宋体" w:cs="Calibri"/>
                <w:sz w:val="24"/>
                <w:highlight w:val="none"/>
              </w:rPr>
              <w:t>邮政编码</w:t>
            </w:r>
          </w:p>
        </w:tc>
        <w:tc>
          <w:tcPr>
            <w:tcW w:w="2031" w:type="dxa"/>
            <w:vAlign w:val="center"/>
          </w:tcPr>
          <w:p>
            <w:pPr>
              <w:spacing w:line="276" w:lineRule="auto"/>
              <w:jc w:val="center"/>
              <w:rPr>
                <w:rFonts w:ascii="宋体" w:hAnsi="宋体" w:cs="Calibri"/>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Merge w:val="restart"/>
            <w:vAlign w:val="center"/>
          </w:tcPr>
          <w:p>
            <w:pPr>
              <w:spacing w:line="276" w:lineRule="auto"/>
              <w:jc w:val="center"/>
              <w:rPr>
                <w:rFonts w:ascii="宋体" w:hAnsi="宋体" w:cs="Calibri"/>
                <w:sz w:val="24"/>
                <w:highlight w:val="none"/>
              </w:rPr>
            </w:pPr>
            <w:r>
              <w:rPr>
                <w:rFonts w:ascii="宋体" w:hAnsi="宋体" w:cs="Calibri"/>
                <w:sz w:val="24"/>
                <w:highlight w:val="none"/>
              </w:rPr>
              <w:t>联系方式</w:t>
            </w:r>
          </w:p>
        </w:tc>
        <w:tc>
          <w:tcPr>
            <w:tcW w:w="1101" w:type="dxa"/>
            <w:vAlign w:val="center"/>
          </w:tcPr>
          <w:p>
            <w:pPr>
              <w:spacing w:line="276" w:lineRule="auto"/>
              <w:jc w:val="center"/>
              <w:rPr>
                <w:rFonts w:ascii="宋体" w:hAnsi="宋体" w:cs="Calibri"/>
                <w:sz w:val="24"/>
                <w:highlight w:val="none"/>
              </w:rPr>
            </w:pPr>
            <w:r>
              <w:rPr>
                <w:rFonts w:ascii="宋体" w:hAnsi="宋体" w:cs="Calibri"/>
                <w:sz w:val="24"/>
                <w:highlight w:val="none"/>
              </w:rPr>
              <w:t>联系人</w:t>
            </w:r>
          </w:p>
        </w:tc>
        <w:tc>
          <w:tcPr>
            <w:tcW w:w="2065" w:type="dxa"/>
            <w:gridSpan w:val="2"/>
            <w:vAlign w:val="center"/>
          </w:tcPr>
          <w:p>
            <w:pPr>
              <w:spacing w:line="276" w:lineRule="auto"/>
              <w:jc w:val="center"/>
              <w:rPr>
                <w:rFonts w:ascii="宋体" w:hAnsi="宋体" w:cs="Calibri"/>
                <w:sz w:val="24"/>
                <w:highlight w:val="none"/>
              </w:rPr>
            </w:pPr>
          </w:p>
        </w:tc>
        <w:tc>
          <w:tcPr>
            <w:tcW w:w="1652" w:type="dxa"/>
            <w:vAlign w:val="center"/>
          </w:tcPr>
          <w:p>
            <w:pPr>
              <w:spacing w:line="276" w:lineRule="auto"/>
              <w:jc w:val="center"/>
              <w:rPr>
                <w:rFonts w:ascii="宋体" w:hAnsi="宋体" w:cs="Calibri"/>
                <w:sz w:val="24"/>
                <w:highlight w:val="none"/>
              </w:rPr>
            </w:pPr>
            <w:r>
              <w:rPr>
                <w:rFonts w:ascii="宋体" w:hAnsi="宋体" w:cs="Calibri"/>
                <w:sz w:val="24"/>
                <w:highlight w:val="none"/>
              </w:rPr>
              <w:t>电话</w:t>
            </w:r>
          </w:p>
        </w:tc>
        <w:tc>
          <w:tcPr>
            <w:tcW w:w="2031" w:type="dxa"/>
            <w:vAlign w:val="center"/>
          </w:tcPr>
          <w:p>
            <w:pPr>
              <w:spacing w:line="276" w:lineRule="auto"/>
              <w:jc w:val="center"/>
              <w:rPr>
                <w:rFonts w:ascii="宋体" w:hAnsi="宋体" w:cs="Calibri"/>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Merge w:val="continue"/>
            <w:vAlign w:val="center"/>
          </w:tcPr>
          <w:p>
            <w:pPr>
              <w:spacing w:line="276" w:lineRule="auto"/>
              <w:jc w:val="center"/>
              <w:rPr>
                <w:rFonts w:ascii="宋体" w:hAnsi="宋体" w:cs="Calibri"/>
                <w:sz w:val="24"/>
                <w:highlight w:val="none"/>
              </w:rPr>
            </w:pPr>
          </w:p>
        </w:tc>
        <w:tc>
          <w:tcPr>
            <w:tcW w:w="1101" w:type="dxa"/>
            <w:vAlign w:val="center"/>
          </w:tcPr>
          <w:p>
            <w:pPr>
              <w:spacing w:line="276" w:lineRule="auto"/>
              <w:jc w:val="center"/>
              <w:rPr>
                <w:rFonts w:ascii="宋体" w:hAnsi="宋体" w:cs="Calibri"/>
                <w:sz w:val="24"/>
                <w:highlight w:val="none"/>
              </w:rPr>
            </w:pPr>
            <w:r>
              <w:rPr>
                <w:rFonts w:ascii="宋体" w:hAnsi="宋体" w:cs="Calibri"/>
                <w:sz w:val="24"/>
                <w:highlight w:val="none"/>
              </w:rPr>
              <w:t>传真</w:t>
            </w:r>
          </w:p>
        </w:tc>
        <w:tc>
          <w:tcPr>
            <w:tcW w:w="2065" w:type="dxa"/>
            <w:gridSpan w:val="2"/>
            <w:vAlign w:val="center"/>
          </w:tcPr>
          <w:p>
            <w:pPr>
              <w:spacing w:line="276" w:lineRule="auto"/>
              <w:jc w:val="center"/>
              <w:rPr>
                <w:rFonts w:ascii="宋体" w:hAnsi="宋体" w:cs="Calibri"/>
                <w:sz w:val="24"/>
                <w:highlight w:val="none"/>
              </w:rPr>
            </w:pPr>
          </w:p>
        </w:tc>
        <w:tc>
          <w:tcPr>
            <w:tcW w:w="1652" w:type="dxa"/>
            <w:vAlign w:val="center"/>
          </w:tcPr>
          <w:p>
            <w:pPr>
              <w:spacing w:line="276" w:lineRule="auto"/>
              <w:jc w:val="center"/>
              <w:rPr>
                <w:rFonts w:ascii="宋体" w:hAnsi="宋体" w:cs="Calibri"/>
                <w:sz w:val="24"/>
                <w:highlight w:val="none"/>
              </w:rPr>
            </w:pPr>
            <w:r>
              <w:rPr>
                <w:rFonts w:ascii="宋体" w:hAnsi="宋体" w:cs="Calibri"/>
                <w:sz w:val="24"/>
                <w:highlight w:val="none"/>
              </w:rPr>
              <w:t>网址</w:t>
            </w:r>
          </w:p>
        </w:tc>
        <w:tc>
          <w:tcPr>
            <w:tcW w:w="2031" w:type="dxa"/>
            <w:vAlign w:val="center"/>
          </w:tcPr>
          <w:p>
            <w:pPr>
              <w:spacing w:line="276" w:lineRule="auto"/>
              <w:jc w:val="center"/>
              <w:rPr>
                <w:rFonts w:ascii="宋体" w:hAnsi="宋体" w:cs="Calibri"/>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pPr>
              <w:spacing w:line="276" w:lineRule="auto"/>
              <w:jc w:val="center"/>
              <w:rPr>
                <w:rFonts w:ascii="宋体" w:hAnsi="宋体" w:cs="Calibri"/>
                <w:sz w:val="24"/>
                <w:highlight w:val="none"/>
              </w:rPr>
            </w:pPr>
            <w:r>
              <w:rPr>
                <w:rFonts w:ascii="宋体" w:hAnsi="宋体" w:cs="Calibri"/>
                <w:sz w:val="24"/>
                <w:highlight w:val="none"/>
              </w:rPr>
              <w:t>法定代表人</w:t>
            </w:r>
          </w:p>
        </w:tc>
        <w:tc>
          <w:tcPr>
            <w:tcW w:w="1101" w:type="dxa"/>
            <w:vAlign w:val="center"/>
          </w:tcPr>
          <w:p>
            <w:pPr>
              <w:spacing w:line="276" w:lineRule="auto"/>
              <w:jc w:val="center"/>
              <w:rPr>
                <w:rFonts w:ascii="宋体" w:hAnsi="宋体" w:cs="Calibri"/>
                <w:sz w:val="24"/>
                <w:highlight w:val="none"/>
              </w:rPr>
            </w:pPr>
            <w:r>
              <w:rPr>
                <w:rFonts w:ascii="宋体" w:hAnsi="宋体" w:cs="Calibri"/>
                <w:sz w:val="24"/>
                <w:highlight w:val="none"/>
              </w:rPr>
              <w:t>姓名</w:t>
            </w:r>
          </w:p>
        </w:tc>
        <w:tc>
          <w:tcPr>
            <w:tcW w:w="2065" w:type="dxa"/>
            <w:gridSpan w:val="2"/>
            <w:vAlign w:val="center"/>
          </w:tcPr>
          <w:p>
            <w:pPr>
              <w:spacing w:line="276" w:lineRule="auto"/>
              <w:jc w:val="center"/>
              <w:rPr>
                <w:rFonts w:ascii="宋体" w:hAnsi="宋体" w:cs="Calibri"/>
                <w:sz w:val="24"/>
                <w:highlight w:val="none"/>
              </w:rPr>
            </w:pPr>
          </w:p>
        </w:tc>
        <w:tc>
          <w:tcPr>
            <w:tcW w:w="1652" w:type="dxa"/>
            <w:vAlign w:val="center"/>
          </w:tcPr>
          <w:p>
            <w:pPr>
              <w:spacing w:line="276" w:lineRule="auto"/>
              <w:jc w:val="center"/>
              <w:rPr>
                <w:rFonts w:ascii="宋体" w:hAnsi="宋体" w:cs="Calibri"/>
                <w:sz w:val="24"/>
                <w:highlight w:val="none"/>
              </w:rPr>
            </w:pPr>
            <w:r>
              <w:rPr>
                <w:rFonts w:ascii="宋体" w:hAnsi="宋体" w:cs="Calibri"/>
                <w:sz w:val="24"/>
                <w:highlight w:val="none"/>
              </w:rPr>
              <w:t>职称</w:t>
            </w:r>
          </w:p>
        </w:tc>
        <w:tc>
          <w:tcPr>
            <w:tcW w:w="2031" w:type="dxa"/>
            <w:vAlign w:val="center"/>
          </w:tcPr>
          <w:p>
            <w:pPr>
              <w:spacing w:line="276" w:lineRule="auto"/>
              <w:jc w:val="center"/>
              <w:rPr>
                <w:rFonts w:ascii="宋体" w:hAnsi="宋体" w:cs="Calibri"/>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pPr>
              <w:spacing w:line="276" w:lineRule="auto"/>
              <w:jc w:val="center"/>
              <w:rPr>
                <w:rFonts w:ascii="宋体" w:hAnsi="宋体" w:cs="Calibri"/>
                <w:sz w:val="24"/>
                <w:highlight w:val="none"/>
              </w:rPr>
            </w:pPr>
            <w:r>
              <w:rPr>
                <w:rFonts w:ascii="宋体" w:hAnsi="宋体" w:cs="Calibri"/>
                <w:sz w:val="24"/>
                <w:highlight w:val="none"/>
              </w:rPr>
              <w:t>负责人</w:t>
            </w:r>
          </w:p>
        </w:tc>
        <w:tc>
          <w:tcPr>
            <w:tcW w:w="1101" w:type="dxa"/>
            <w:vAlign w:val="center"/>
          </w:tcPr>
          <w:p>
            <w:pPr>
              <w:spacing w:line="276" w:lineRule="auto"/>
              <w:jc w:val="center"/>
              <w:rPr>
                <w:rFonts w:ascii="宋体" w:hAnsi="宋体" w:cs="Calibri"/>
                <w:sz w:val="24"/>
                <w:highlight w:val="none"/>
              </w:rPr>
            </w:pPr>
            <w:r>
              <w:rPr>
                <w:rFonts w:ascii="宋体" w:hAnsi="宋体" w:cs="Calibri"/>
                <w:sz w:val="24"/>
                <w:highlight w:val="none"/>
              </w:rPr>
              <w:t>姓名</w:t>
            </w:r>
          </w:p>
        </w:tc>
        <w:tc>
          <w:tcPr>
            <w:tcW w:w="2065" w:type="dxa"/>
            <w:gridSpan w:val="2"/>
            <w:vAlign w:val="center"/>
          </w:tcPr>
          <w:p>
            <w:pPr>
              <w:spacing w:line="276" w:lineRule="auto"/>
              <w:jc w:val="center"/>
              <w:rPr>
                <w:rFonts w:ascii="宋体" w:hAnsi="宋体" w:cs="Calibri"/>
                <w:sz w:val="24"/>
                <w:highlight w:val="none"/>
              </w:rPr>
            </w:pPr>
          </w:p>
        </w:tc>
        <w:tc>
          <w:tcPr>
            <w:tcW w:w="1652" w:type="dxa"/>
            <w:vAlign w:val="center"/>
          </w:tcPr>
          <w:p>
            <w:pPr>
              <w:spacing w:line="276" w:lineRule="auto"/>
              <w:jc w:val="center"/>
              <w:rPr>
                <w:rFonts w:ascii="宋体" w:hAnsi="宋体" w:cs="Calibri"/>
                <w:sz w:val="24"/>
                <w:highlight w:val="none"/>
              </w:rPr>
            </w:pPr>
            <w:r>
              <w:rPr>
                <w:rFonts w:ascii="宋体" w:hAnsi="宋体" w:cs="Calibri"/>
                <w:sz w:val="24"/>
                <w:highlight w:val="none"/>
              </w:rPr>
              <w:t>职称</w:t>
            </w:r>
          </w:p>
        </w:tc>
        <w:tc>
          <w:tcPr>
            <w:tcW w:w="2031" w:type="dxa"/>
            <w:vAlign w:val="center"/>
          </w:tcPr>
          <w:p>
            <w:pPr>
              <w:spacing w:line="276" w:lineRule="auto"/>
              <w:jc w:val="center"/>
              <w:rPr>
                <w:rFonts w:ascii="宋体" w:hAnsi="宋体" w:cs="Calibri"/>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pPr>
              <w:spacing w:line="276" w:lineRule="auto"/>
              <w:jc w:val="center"/>
              <w:rPr>
                <w:rFonts w:ascii="宋体" w:hAnsi="宋体" w:cs="Calibri"/>
                <w:sz w:val="24"/>
                <w:highlight w:val="none"/>
              </w:rPr>
            </w:pPr>
            <w:r>
              <w:rPr>
                <w:rFonts w:ascii="宋体" w:hAnsi="宋体" w:cs="Calibri"/>
                <w:sz w:val="24"/>
                <w:highlight w:val="none"/>
              </w:rPr>
              <w:t>成立时间</w:t>
            </w:r>
          </w:p>
        </w:tc>
        <w:tc>
          <w:tcPr>
            <w:tcW w:w="2064" w:type="dxa"/>
            <w:gridSpan w:val="2"/>
            <w:vAlign w:val="center"/>
          </w:tcPr>
          <w:p>
            <w:pPr>
              <w:spacing w:line="276" w:lineRule="auto"/>
              <w:jc w:val="center"/>
              <w:rPr>
                <w:rFonts w:ascii="宋体" w:hAnsi="宋体" w:cs="Calibri"/>
                <w:sz w:val="24"/>
                <w:highlight w:val="none"/>
              </w:rPr>
            </w:pPr>
          </w:p>
        </w:tc>
        <w:tc>
          <w:tcPr>
            <w:tcW w:w="1102" w:type="dxa"/>
            <w:vMerge w:val="restart"/>
            <w:vAlign w:val="center"/>
          </w:tcPr>
          <w:p>
            <w:pPr>
              <w:spacing w:line="276" w:lineRule="auto"/>
              <w:jc w:val="center"/>
              <w:rPr>
                <w:rFonts w:ascii="宋体" w:hAnsi="宋体" w:cs="Calibri"/>
                <w:sz w:val="24"/>
                <w:highlight w:val="none"/>
              </w:rPr>
            </w:pPr>
          </w:p>
          <w:p>
            <w:pPr>
              <w:spacing w:line="276" w:lineRule="auto"/>
              <w:jc w:val="center"/>
              <w:rPr>
                <w:rFonts w:ascii="宋体" w:hAnsi="宋体" w:cs="Calibri"/>
                <w:sz w:val="24"/>
                <w:highlight w:val="none"/>
              </w:rPr>
            </w:pPr>
          </w:p>
          <w:p>
            <w:pPr>
              <w:spacing w:line="276" w:lineRule="auto"/>
              <w:jc w:val="center"/>
              <w:rPr>
                <w:rFonts w:ascii="宋体" w:hAnsi="宋体" w:cs="Calibri"/>
                <w:sz w:val="24"/>
                <w:highlight w:val="none"/>
              </w:rPr>
            </w:pPr>
          </w:p>
          <w:p>
            <w:pPr>
              <w:spacing w:line="276" w:lineRule="auto"/>
              <w:jc w:val="center"/>
              <w:rPr>
                <w:rFonts w:ascii="宋体" w:hAnsi="宋体" w:cs="Calibri"/>
                <w:sz w:val="24"/>
                <w:highlight w:val="none"/>
              </w:rPr>
            </w:pPr>
            <w:r>
              <w:rPr>
                <w:rFonts w:ascii="宋体" w:hAnsi="宋体" w:cs="Calibri"/>
                <w:sz w:val="24"/>
                <w:highlight w:val="none"/>
              </w:rPr>
              <w:t>其中</w:t>
            </w:r>
          </w:p>
        </w:tc>
        <w:tc>
          <w:tcPr>
            <w:tcW w:w="3683" w:type="dxa"/>
            <w:gridSpan w:val="2"/>
            <w:vAlign w:val="center"/>
          </w:tcPr>
          <w:p>
            <w:pPr>
              <w:tabs>
                <w:tab w:val="left" w:pos="690"/>
              </w:tabs>
              <w:spacing w:line="276" w:lineRule="auto"/>
              <w:jc w:val="center"/>
              <w:rPr>
                <w:rFonts w:ascii="宋体" w:hAnsi="宋体" w:cs="Calibri"/>
                <w:sz w:val="24"/>
                <w:highlight w:val="none"/>
              </w:rPr>
            </w:pPr>
            <w:r>
              <w:rPr>
                <w:rFonts w:hint="eastAsia" w:ascii="宋体" w:hAnsi="宋体" w:cs="Calibri"/>
                <w:sz w:val="24"/>
                <w:highlight w:val="none"/>
              </w:rPr>
              <w:t>现在岗</w:t>
            </w:r>
            <w:r>
              <w:rPr>
                <w:rFonts w:ascii="宋体" w:hAnsi="宋体" w:cs="Calibri"/>
                <w:sz w:val="24"/>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pPr>
              <w:spacing w:line="276" w:lineRule="auto"/>
              <w:jc w:val="center"/>
              <w:rPr>
                <w:rFonts w:ascii="宋体" w:hAnsi="宋体" w:cs="Calibri"/>
                <w:sz w:val="24"/>
                <w:highlight w:val="none"/>
              </w:rPr>
            </w:pPr>
            <w:r>
              <w:rPr>
                <w:rFonts w:ascii="宋体" w:hAnsi="宋体" w:cs="Calibri"/>
                <w:sz w:val="24"/>
                <w:highlight w:val="none"/>
              </w:rPr>
              <w:t>企业资质等级</w:t>
            </w:r>
          </w:p>
        </w:tc>
        <w:tc>
          <w:tcPr>
            <w:tcW w:w="2064" w:type="dxa"/>
            <w:gridSpan w:val="2"/>
            <w:vAlign w:val="center"/>
          </w:tcPr>
          <w:p>
            <w:pPr>
              <w:spacing w:line="276" w:lineRule="auto"/>
              <w:jc w:val="center"/>
              <w:rPr>
                <w:rFonts w:ascii="宋体" w:hAnsi="宋体" w:cs="Calibri"/>
                <w:sz w:val="24"/>
                <w:highlight w:val="none"/>
              </w:rPr>
            </w:pPr>
          </w:p>
        </w:tc>
        <w:tc>
          <w:tcPr>
            <w:tcW w:w="1102" w:type="dxa"/>
            <w:vMerge w:val="continue"/>
            <w:vAlign w:val="center"/>
          </w:tcPr>
          <w:p>
            <w:pPr>
              <w:spacing w:line="276" w:lineRule="auto"/>
              <w:jc w:val="center"/>
              <w:rPr>
                <w:rFonts w:ascii="宋体" w:hAnsi="宋体" w:cs="Calibri"/>
                <w:sz w:val="24"/>
                <w:highlight w:val="none"/>
              </w:rPr>
            </w:pPr>
          </w:p>
        </w:tc>
        <w:tc>
          <w:tcPr>
            <w:tcW w:w="1652" w:type="dxa"/>
            <w:vMerge w:val="restart"/>
            <w:vAlign w:val="center"/>
          </w:tcPr>
          <w:p>
            <w:pPr>
              <w:tabs>
                <w:tab w:val="left" w:pos="690"/>
              </w:tabs>
              <w:spacing w:line="276" w:lineRule="auto"/>
              <w:jc w:val="center"/>
              <w:rPr>
                <w:rFonts w:ascii="宋体" w:hAnsi="宋体" w:cs="Calibri"/>
                <w:sz w:val="24"/>
                <w:highlight w:val="none"/>
              </w:rPr>
            </w:pPr>
            <w:r>
              <w:rPr>
                <w:rFonts w:hint="eastAsia" w:ascii="宋体" w:hAnsi="宋体" w:cs="Calibri"/>
                <w:sz w:val="24"/>
                <w:highlight w:val="none"/>
              </w:rPr>
              <w:t>自有讲师</w:t>
            </w:r>
          </w:p>
        </w:tc>
        <w:tc>
          <w:tcPr>
            <w:tcW w:w="2031" w:type="dxa"/>
            <w:vMerge w:val="restart"/>
            <w:vAlign w:val="center"/>
          </w:tcPr>
          <w:p>
            <w:pPr>
              <w:tabs>
                <w:tab w:val="left" w:pos="690"/>
              </w:tabs>
              <w:spacing w:line="276" w:lineRule="auto"/>
              <w:jc w:val="center"/>
              <w:rPr>
                <w:rFonts w:ascii="宋体" w:hAnsi="宋体" w:cs="Calibri"/>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pPr>
              <w:spacing w:line="276" w:lineRule="auto"/>
              <w:jc w:val="center"/>
              <w:rPr>
                <w:rFonts w:ascii="宋体" w:hAnsi="宋体" w:cs="Calibri"/>
                <w:sz w:val="24"/>
                <w:highlight w:val="none"/>
              </w:rPr>
            </w:pPr>
            <w:r>
              <w:rPr>
                <w:rFonts w:ascii="宋体" w:hAnsi="宋体" w:cs="Calibri"/>
                <w:sz w:val="24"/>
                <w:highlight w:val="none"/>
              </w:rPr>
              <w:t>营业执照号</w:t>
            </w:r>
          </w:p>
        </w:tc>
        <w:tc>
          <w:tcPr>
            <w:tcW w:w="2064" w:type="dxa"/>
            <w:gridSpan w:val="2"/>
            <w:vAlign w:val="center"/>
          </w:tcPr>
          <w:p>
            <w:pPr>
              <w:spacing w:line="276" w:lineRule="auto"/>
              <w:jc w:val="center"/>
              <w:rPr>
                <w:rFonts w:ascii="宋体" w:hAnsi="宋体" w:cs="Calibri"/>
                <w:sz w:val="24"/>
                <w:highlight w:val="none"/>
              </w:rPr>
            </w:pPr>
          </w:p>
        </w:tc>
        <w:tc>
          <w:tcPr>
            <w:tcW w:w="1102" w:type="dxa"/>
            <w:vMerge w:val="continue"/>
            <w:vAlign w:val="center"/>
          </w:tcPr>
          <w:p>
            <w:pPr>
              <w:spacing w:line="276" w:lineRule="auto"/>
              <w:jc w:val="center"/>
              <w:rPr>
                <w:rFonts w:ascii="宋体" w:hAnsi="宋体" w:cs="Calibri"/>
                <w:sz w:val="24"/>
                <w:highlight w:val="none"/>
              </w:rPr>
            </w:pPr>
          </w:p>
        </w:tc>
        <w:tc>
          <w:tcPr>
            <w:tcW w:w="1652" w:type="dxa"/>
            <w:vMerge w:val="continue"/>
            <w:vAlign w:val="center"/>
          </w:tcPr>
          <w:p>
            <w:pPr>
              <w:tabs>
                <w:tab w:val="left" w:pos="690"/>
              </w:tabs>
              <w:spacing w:line="276" w:lineRule="auto"/>
              <w:jc w:val="center"/>
              <w:rPr>
                <w:rFonts w:ascii="宋体" w:hAnsi="宋体" w:cs="Calibri"/>
                <w:sz w:val="24"/>
                <w:highlight w:val="none"/>
              </w:rPr>
            </w:pPr>
          </w:p>
        </w:tc>
        <w:tc>
          <w:tcPr>
            <w:tcW w:w="2031" w:type="dxa"/>
            <w:vMerge w:val="continue"/>
            <w:vAlign w:val="center"/>
          </w:tcPr>
          <w:p>
            <w:pPr>
              <w:tabs>
                <w:tab w:val="left" w:pos="690"/>
              </w:tabs>
              <w:spacing w:line="276" w:lineRule="auto"/>
              <w:jc w:val="center"/>
              <w:rPr>
                <w:rFonts w:ascii="宋体" w:hAnsi="宋体" w:cs="Calibri"/>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pPr>
              <w:spacing w:line="276" w:lineRule="auto"/>
              <w:jc w:val="center"/>
              <w:rPr>
                <w:rFonts w:ascii="宋体" w:hAnsi="宋体" w:cs="Calibri"/>
                <w:sz w:val="24"/>
                <w:highlight w:val="none"/>
              </w:rPr>
            </w:pPr>
            <w:r>
              <w:rPr>
                <w:rFonts w:ascii="宋体" w:hAnsi="宋体" w:cs="Calibri"/>
                <w:sz w:val="24"/>
                <w:highlight w:val="none"/>
              </w:rPr>
              <w:t>注册资金</w:t>
            </w:r>
          </w:p>
        </w:tc>
        <w:tc>
          <w:tcPr>
            <w:tcW w:w="2064" w:type="dxa"/>
            <w:gridSpan w:val="2"/>
            <w:vAlign w:val="center"/>
          </w:tcPr>
          <w:p>
            <w:pPr>
              <w:spacing w:line="276" w:lineRule="auto"/>
              <w:jc w:val="center"/>
              <w:rPr>
                <w:rFonts w:ascii="宋体" w:hAnsi="宋体" w:cs="Calibri"/>
                <w:sz w:val="24"/>
                <w:highlight w:val="none"/>
              </w:rPr>
            </w:pPr>
          </w:p>
        </w:tc>
        <w:tc>
          <w:tcPr>
            <w:tcW w:w="1102" w:type="dxa"/>
            <w:vMerge w:val="continue"/>
            <w:vAlign w:val="center"/>
          </w:tcPr>
          <w:p>
            <w:pPr>
              <w:spacing w:line="276" w:lineRule="auto"/>
              <w:jc w:val="center"/>
              <w:rPr>
                <w:rFonts w:ascii="宋体" w:hAnsi="宋体" w:cs="Calibri"/>
                <w:sz w:val="24"/>
                <w:highlight w:val="none"/>
              </w:rPr>
            </w:pPr>
          </w:p>
        </w:tc>
        <w:tc>
          <w:tcPr>
            <w:tcW w:w="1652" w:type="dxa"/>
            <w:vMerge w:val="restart"/>
            <w:vAlign w:val="center"/>
          </w:tcPr>
          <w:p>
            <w:pPr>
              <w:tabs>
                <w:tab w:val="left" w:pos="690"/>
              </w:tabs>
              <w:spacing w:line="276" w:lineRule="auto"/>
              <w:jc w:val="center"/>
              <w:rPr>
                <w:rFonts w:ascii="宋体" w:hAnsi="宋体" w:cs="Calibri"/>
                <w:sz w:val="24"/>
                <w:highlight w:val="none"/>
              </w:rPr>
            </w:pPr>
            <w:r>
              <w:rPr>
                <w:rFonts w:hint="eastAsia" w:ascii="宋体" w:hAnsi="宋体" w:cs="Calibri"/>
                <w:sz w:val="24"/>
                <w:highlight w:val="none"/>
              </w:rPr>
              <w:t>兼职教师</w:t>
            </w:r>
          </w:p>
        </w:tc>
        <w:tc>
          <w:tcPr>
            <w:tcW w:w="2031" w:type="dxa"/>
            <w:vMerge w:val="restart"/>
            <w:vAlign w:val="center"/>
          </w:tcPr>
          <w:p>
            <w:pPr>
              <w:tabs>
                <w:tab w:val="left" w:pos="690"/>
              </w:tabs>
              <w:spacing w:line="276" w:lineRule="auto"/>
              <w:jc w:val="center"/>
              <w:rPr>
                <w:rFonts w:ascii="宋体" w:hAnsi="宋体" w:cs="Calibri"/>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pPr>
              <w:spacing w:line="276" w:lineRule="auto"/>
              <w:jc w:val="center"/>
              <w:rPr>
                <w:rFonts w:ascii="宋体" w:hAnsi="宋体" w:cs="Calibri"/>
                <w:sz w:val="24"/>
                <w:highlight w:val="none"/>
              </w:rPr>
            </w:pPr>
            <w:r>
              <w:rPr>
                <w:rFonts w:ascii="宋体" w:hAnsi="宋体" w:cs="Calibri"/>
                <w:sz w:val="24"/>
                <w:highlight w:val="none"/>
              </w:rPr>
              <w:t>开户银行</w:t>
            </w:r>
          </w:p>
        </w:tc>
        <w:tc>
          <w:tcPr>
            <w:tcW w:w="2064" w:type="dxa"/>
            <w:gridSpan w:val="2"/>
            <w:vAlign w:val="center"/>
          </w:tcPr>
          <w:p>
            <w:pPr>
              <w:spacing w:line="276" w:lineRule="auto"/>
              <w:jc w:val="center"/>
              <w:rPr>
                <w:rFonts w:ascii="宋体" w:hAnsi="宋体" w:cs="Calibri"/>
                <w:sz w:val="24"/>
                <w:highlight w:val="none"/>
              </w:rPr>
            </w:pPr>
          </w:p>
        </w:tc>
        <w:tc>
          <w:tcPr>
            <w:tcW w:w="1102" w:type="dxa"/>
            <w:vMerge w:val="continue"/>
            <w:vAlign w:val="center"/>
          </w:tcPr>
          <w:p>
            <w:pPr>
              <w:spacing w:line="276" w:lineRule="auto"/>
              <w:jc w:val="center"/>
              <w:rPr>
                <w:rFonts w:ascii="宋体" w:hAnsi="宋体" w:cs="Calibri"/>
                <w:sz w:val="24"/>
                <w:highlight w:val="none"/>
              </w:rPr>
            </w:pPr>
          </w:p>
        </w:tc>
        <w:tc>
          <w:tcPr>
            <w:tcW w:w="1652" w:type="dxa"/>
            <w:vMerge w:val="continue"/>
            <w:vAlign w:val="center"/>
          </w:tcPr>
          <w:p>
            <w:pPr>
              <w:tabs>
                <w:tab w:val="left" w:pos="690"/>
              </w:tabs>
              <w:spacing w:line="276" w:lineRule="auto"/>
              <w:jc w:val="center"/>
              <w:rPr>
                <w:rFonts w:ascii="宋体" w:hAnsi="宋体" w:cs="Calibri"/>
                <w:sz w:val="24"/>
                <w:highlight w:val="none"/>
              </w:rPr>
            </w:pPr>
          </w:p>
        </w:tc>
        <w:tc>
          <w:tcPr>
            <w:tcW w:w="2031" w:type="dxa"/>
            <w:vMerge w:val="continue"/>
            <w:vAlign w:val="center"/>
          </w:tcPr>
          <w:p>
            <w:pPr>
              <w:tabs>
                <w:tab w:val="left" w:pos="690"/>
              </w:tabs>
              <w:spacing w:line="276" w:lineRule="auto"/>
              <w:jc w:val="center"/>
              <w:rPr>
                <w:rFonts w:ascii="宋体" w:hAnsi="宋体" w:cs="Calibri"/>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pPr>
              <w:spacing w:line="276" w:lineRule="auto"/>
              <w:jc w:val="center"/>
              <w:rPr>
                <w:rFonts w:ascii="宋体" w:hAnsi="宋体" w:cs="Calibri"/>
                <w:sz w:val="24"/>
                <w:highlight w:val="none"/>
              </w:rPr>
            </w:pPr>
            <w:r>
              <w:rPr>
                <w:rFonts w:ascii="宋体" w:hAnsi="宋体" w:cs="Calibri"/>
                <w:sz w:val="24"/>
                <w:highlight w:val="none"/>
              </w:rPr>
              <w:t>银行账号</w:t>
            </w:r>
          </w:p>
        </w:tc>
        <w:tc>
          <w:tcPr>
            <w:tcW w:w="2064" w:type="dxa"/>
            <w:gridSpan w:val="2"/>
            <w:vAlign w:val="center"/>
          </w:tcPr>
          <w:p>
            <w:pPr>
              <w:spacing w:line="276" w:lineRule="auto"/>
              <w:jc w:val="center"/>
              <w:rPr>
                <w:rFonts w:ascii="宋体" w:hAnsi="宋体" w:cs="Calibri"/>
                <w:sz w:val="24"/>
                <w:highlight w:val="none"/>
              </w:rPr>
            </w:pPr>
          </w:p>
        </w:tc>
        <w:tc>
          <w:tcPr>
            <w:tcW w:w="1102" w:type="dxa"/>
            <w:vMerge w:val="continue"/>
            <w:vAlign w:val="center"/>
          </w:tcPr>
          <w:p>
            <w:pPr>
              <w:spacing w:line="276" w:lineRule="auto"/>
              <w:jc w:val="center"/>
              <w:rPr>
                <w:rFonts w:ascii="宋体" w:hAnsi="宋体" w:cs="Calibri"/>
                <w:sz w:val="24"/>
                <w:highlight w:val="none"/>
              </w:rPr>
            </w:pPr>
          </w:p>
        </w:tc>
        <w:tc>
          <w:tcPr>
            <w:tcW w:w="1652" w:type="dxa"/>
            <w:vMerge w:val="continue"/>
            <w:vAlign w:val="center"/>
          </w:tcPr>
          <w:p>
            <w:pPr>
              <w:tabs>
                <w:tab w:val="left" w:pos="690"/>
              </w:tabs>
              <w:spacing w:line="276" w:lineRule="auto"/>
              <w:jc w:val="center"/>
              <w:rPr>
                <w:rFonts w:ascii="宋体" w:hAnsi="宋体" w:cs="Calibri"/>
                <w:sz w:val="24"/>
                <w:highlight w:val="none"/>
              </w:rPr>
            </w:pPr>
          </w:p>
        </w:tc>
        <w:tc>
          <w:tcPr>
            <w:tcW w:w="2031" w:type="dxa"/>
            <w:vMerge w:val="continue"/>
            <w:vAlign w:val="center"/>
          </w:tcPr>
          <w:p>
            <w:pPr>
              <w:tabs>
                <w:tab w:val="left" w:pos="690"/>
              </w:tabs>
              <w:spacing w:line="276" w:lineRule="auto"/>
              <w:jc w:val="center"/>
              <w:rPr>
                <w:rFonts w:ascii="宋体" w:hAnsi="宋体" w:cs="Calibri"/>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3" w:hRule="atLeast"/>
        </w:trPr>
        <w:tc>
          <w:tcPr>
            <w:tcW w:w="9019" w:type="dxa"/>
            <w:gridSpan w:val="6"/>
            <w:vAlign w:val="center"/>
          </w:tcPr>
          <w:p>
            <w:pPr>
              <w:tabs>
                <w:tab w:val="left" w:pos="690"/>
              </w:tabs>
              <w:spacing w:line="276" w:lineRule="auto"/>
              <w:jc w:val="left"/>
              <w:rPr>
                <w:sz w:val="24"/>
                <w:szCs w:val="22"/>
                <w:highlight w:val="none"/>
              </w:rPr>
            </w:pPr>
            <w:r>
              <w:rPr>
                <w:sz w:val="24"/>
                <w:szCs w:val="22"/>
                <w:highlight w:val="none"/>
              </w:rPr>
              <w:t>经营范围</w:t>
            </w:r>
            <w:r>
              <w:rPr>
                <w:rFonts w:hint="eastAsia"/>
                <w:sz w:val="24"/>
                <w:szCs w:val="22"/>
                <w:highlight w:val="none"/>
              </w:rPr>
              <w:t>：</w:t>
            </w:r>
          </w:p>
          <w:p>
            <w:pPr>
              <w:pStyle w:val="2"/>
              <w:rPr>
                <w:highlight w:val="none"/>
              </w:rPr>
            </w:pPr>
          </w:p>
          <w:p>
            <w:pPr>
              <w:rPr>
                <w:highlight w:val="none"/>
              </w:rPr>
            </w:pPr>
          </w:p>
          <w:p>
            <w:pPr>
              <w:pStyle w:val="2"/>
              <w:rPr>
                <w:highlight w:val="none"/>
              </w:rPr>
            </w:pPr>
          </w:p>
        </w:tc>
      </w:tr>
    </w:tbl>
    <w:p>
      <w:pPr>
        <w:pStyle w:val="6"/>
        <w:spacing w:line="560" w:lineRule="exact"/>
        <w:ind w:right="283" w:rightChars="135"/>
        <w:rPr>
          <w:rFonts w:ascii="宋体" w:hAnsi="宋体" w:eastAsia="宋体" w:cs="宋体"/>
          <w:sz w:val="24"/>
          <w:szCs w:val="24"/>
          <w:highlight w:val="none"/>
        </w:rPr>
      </w:pPr>
      <w:r>
        <w:rPr>
          <w:rFonts w:hint="eastAsia" w:ascii="宋体" w:hAnsi="宋体" w:eastAsia="宋体" w:cs="宋体"/>
          <w:sz w:val="24"/>
          <w:szCs w:val="24"/>
          <w:highlight w:val="none"/>
        </w:rPr>
        <w:t>投标人：（盖章）</w:t>
      </w:r>
    </w:p>
    <w:p>
      <w:pPr>
        <w:spacing w:line="660" w:lineRule="exact"/>
        <w:rPr>
          <w:rFonts w:ascii="宋体" w:hAnsi="宋体" w:cs="宋体"/>
          <w:sz w:val="24"/>
          <w:szCs w:val="24"/>
          <w:highlight w:val="none"/>
        </w:rPr>
      </w:pPr>
      <w:r>
        <w:rPr>
          <w:rFonts w:hint="eastAsia" w:ascii="宋体" w:hAnsi="宋体" w:cs="宋体"/>
          <w:sz w:val="24"/>
          <w:szCs w:val="24"/>
          <w:highlight w:val="none"/>
        </w:rPr>
        <w:t>法定代表人（委托代理人）：（签字）</w:t>
      </w:r>
    </w:p>
    <w:p>
      <w:pPr>
        <w:pStyle w:val="6"/>
        <w:spacing w:line="560" w:lineRule="exact"/>
        <w:ind w:right="283" w:rightChars="135"/>
        <w:rPr>
          <w:rFonts w:ascii="宋体" w:hAnsi="宋体" w:eastAsia="宋体" w:cs="宋体"/>
          <w:sz w:val="24"/>
          <w:szCs w:val="24"/>
          <w:highlight w:val="none"/>
        </w:rPr>
      </w:pPr>
      <w:r>
        <w:rPr>
          <w:rFonts w:hint="eastAsia" w:ascii="宋体" w:hAnsi="宋体" w:eastAsia="宋体" w:cs="宋体"/>
          <w:sz w:val="24"/>
          <w:szCs w:val="24"/>
          <w:highlight w:val="none"/>
        </w:rPr>
        <w:t>日期：    年    月   日</w:t>
      </w:r>
    </w:p>
    <w:p>
      <w:pPr>
        <w:rPr>
          <w:rFonts w:ascii="宋体" w:hAnsi="宋体" w:cs="宋体"/>
          <w:sz w:val="24"/>
          <w:szCs w:val="24"/>
          <w:highlight w:val="none"/>
        </w:rPr>
      </w:pPr>
    </w:p>
    <w:p>
      <w:pPr>
        <w:pStyle w:val="12"/>
        <w:rPr>
          <w:rFonts w:ascii="宋体" w:hAnsi="宋体" w:cs="宋体"/>
          <w:sz w:val="24"/>
          <w:szCs w:val="24"/>
          <w:highlight w:val="none"/>
        </w:rPr>
      </w:pPr>
    </w:p>
    <w:p>
      <w:pPr>
        <w:pStyle w:val="12"/>
        <w:rPr>
          <w:rFonts w:ascii="宋体" w:hAnsi="宋体" w:cs="宋体"/>
          <w:sz w:val="24"/>
          <w:szCs w:val="24"/>
          <w:highlight w:val="none"/>
        </w:rPr>
        <w:sectPr>
          <w:footerReference r:id="rId6" w:type="first"/>
          <w:footerReference r:id="rId5" w:type="default"/>
          <w:pgSz w:w="11906" w:h="16838"/>
          <w:pgMar w:top="1588" w:right="1418" w:bottom="1134" w:left="1418" w:header="851" w:footer="992" w:gutter="0"/>
          <w:pgNumType w:fmt="decimal" w:start="1"/>
          <w:cols w:space="720" w:num="1"/>
          <w:titlePg/>
          <w:docGrid w:type="lines" w:linePitch="312" w:charSpace="0"/>
        </w:sectPr>
      </w:pPr>
    </w:p>
    <w:p>
      <w:pPr>
        <w:rPr>
          <w:rFonts w:ascii="宋体" w:hAnsi="宋体" w:cs="宋体"/>
          <w:sz w:val="24"/>
          <w:szCs w:val="24"/>
          <w:highlight w:val="none"/>
        </w:rPr>
      </w:pPr>
      <w:bookmarkStart w:id="16" w:name="_Toc32286"/>
      <w:r>
        <w:rPr>
          <w:rFonts w:hint="eastAsia" w:ascii="宋体" w:hAnsi="宋体" w:cs="宋体"/>
          <w:sz w:val="24"/>
          <w:szCs w:val="24"/>
          <w:highlight w:val="none"/>
        </w:rPr>
        <w:t>附件3</w:t>
      </w:r>
      <w:bookmarkEnd w:id="16"/>
    </w:p>
    <w:p>
      <w:pPr>
        <w:rPr>
          <w:rFonts w:eastAsia="黑体"/>
          <w:b/>
          <w:bCs/>
          <w:sz w:val="28"/>
          <w:highlight w:val="none"/>
        </w:rPr>
      </w:pPr>
      <w:r>
        <w:rPr>
          <w:rFonts w:hint="eastAsia" w:eastAsia="黑体"/>
          <w:b/>
          <w:bCs/>
          <w:sz w:val="28"/>
          <w:highlight w:val="none"/>
        </w:rPr>
        <w:t>《开标一览表》单独封存，以备唱标使用</w:t>
      </w:r>
    </w:p>
    <w:p>
      <w:pPr>
        <w:jc w:val="center"/>
        <w:rPr>
          <w:rFonts w:ascii="黑体" w:eastAsia="黑体"/>
          <w:sz w:val="30"/>
          <w:highlight w:val="none"/>
        </w:rPr>
      </w:pPr>
      <w:r>
        <w:rPr>
          <w:rFonts w:hint="eastAsia" w:ascii="黑体" w:eastAsia="黑体"/>
          <w:sz w:val="30"/>
          <w:highlight w:val="none"/>
        </w:rPr>
        <w:t>开标一览表</w:t>
      </w:r>
    </w:p>
    <w:tbl>
      <w:tblPr>
        <w:tblStyle w:val="18"/>
        <w:tblpPr w:leftFromText="180" w:rightFromText="180" w:vertAnchor="text" w:horzAnchor="page" w:tblpX="1439" w:tblpY="99"/>
        <w:tblOverlap w:val="never"/>
        <w:tblW w:w="138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3365"/>
        <w:gridCol w:w="2009"/>
        <w:gridCol w:w="2251"/>
        <w:gridCol w:w="1677"/>
        <w:gridCol w:w="17"/>
        <w:gridCol w:w="2187"/>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pPr>
              <w:jc w:val="center"/>
              <w:rPr>
                <w:rFonts w:ascii="宋体" w:hAnsi="宋体"/>
                <w:sz w:val="24"/>
                <w:highlight w:val="none"/>
              </w:rPr>
            </w:pPr>
            <w:r>
              <w:rPr>
                <w:rFonts w:hint="eastAsia" w:ascii="黑体" w:hAnsi="黑体" w:eastAsia="黑体" w:cs="宋体"/>
                <w:color w:val="000000"/>
                <w:kern w:val="0"/>
                <w:sz w:val="24"/>
                <w:highlight w:val="none"/>
              </w:rPr>
              <w:t>序号</w:t>
            </w:r>
          </w:p>
        </w:tc>
        <w:tc>
          <w:tcPr>
            <w:tcW w:w="3365" w:type="dxa"/>
            <w:vAlign w:val="center"/>
          </w:tcPr>
          <w:p>
            <w:pPr>
              <w:jc w:val="center"/>
              <w:rPr>
                <w:rFonts w:hint="default" w:ascii="黑体" w:hAnsi="黑体" w:eastAsia="黑体" w:cs="宋体"/>
                <w:color w:val="000000"/>
                <w:kern w:val="0"/>
                <w:sz w:val="24"/>
                <w:highlight w:val="none"/>
                <w:lang w:val="en-US" w:eastAsia="zh-CN"/>
              </w:rPr>
            </w:pPr>
            <w:r>
              <w:rPr>
                <w:rFonts w:hint="eastAsia" w:ascii="黑体" w:hAnsi="黑体" w:eastAsia="黑体" w:cs="宋体"/>
                <w:color w:val="000000"/>
                <w:kern w:val="0"/>
                <w:sz w:val="24"/>
                <w:highlight w:val="none"/>
                <w:lang w:val="en-US" w:eastAsia="zh-CN"/>
              </w:rPr>
              <w:t>物资/服务/...名称</w:t>
            </w:r>
          </w:p>
        </w:tc>
        <w:tc>
          <w:tcPr>
            <w:tcW w:w="2009" w:type="dxa"/>
            <w:vAlign w:val="center"/>
          </w:tcPr>
          <w:p>
            <w:pPr>
              <w:jc w:val="center"/>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未税</w:t>
            </w:r>
            <w:r>
              <w:rPr>
                <w:rFonts w:hint="eastAsia" w:ascii="黑体" w:hAnsi="黑体" w:eastAsia="黑体" w:cs="黑体"/>
                <w:sz w:val="24"/>
                <w:szCs w:val="24"/>
                <w:highlight w:val="none"/>
              </w:rPr>
              <w:t>单价</w:t>
            </w:r>
            <w:r>
              <w:rPr>
                <w:rFonts w:hint="eastAsia" w:ascii="黑体" w:hAnsi="黑体" w:eastAsia="黑体" w:cs="黑体"/>
                <w:sz w:val="24"/>
                <w:szCs w:val="24"/>
                <w:highlight w:val="none"/>
                <w:lang w:eastAsia="zh-CN"/>
              </w:rPr>
              <w:t>（</w:t>
            </w:r>
            <w:r>
              <w:rPr>
                <w:rFonts w:hint="eastAsia" w:ascii="黑体" w:hAnsi="黑体" w:eastAsia="黑体" w:cs="黑体"/>
                <w:sz w:val="24"/>
                <w:szCs w:val="24"/>
                <w:highlight w:val="none"/>
                <w:lang w:val="en-US" w:eastAsia="zh-CN"/>
              </w:rPr>
              <w:t>元</w:t>
            </w:r>
            <w:r>
              <w:rPr>
                <w:rFonts w:hint="eastAsia" w:ascii="黑体" w:hAnsi="黑体" w:eastAsia="黑体" w:cs="黑体"/>
                <w:sz w:val="24"/>
                <w:szCs w:val="24"/>
                <w:highlight w:val="none"/>
                <w:lang w:eastAsia="zh-CN"/>
              </w:rPr>
              <w:t>）</w:t>
            </w:r>
          </w:p>
        </w:tc>
        <w:tc>
          <w:tcPr>
            <w:tcW w:w="2251" w:type="dxa"/>
            <w:vAlign w:val="center"/>
          </w:tcPr>
          <w:p>
            <w:pPr>
              <w:jc w:val="center"/>
              <w:rPr>
                <w:rFonts w:hint="eastAsia" w:ascii="黑体" w:hAnsi="黑体" w:eastAsia="黑体" w:cs="黑体"/>
                <w:kern w:val="2"/>
                <w:sz w:val="24"/>
                <w:szCs w:val="24"/>
                <w:highlight w:val="none"/>
                <w:lang w:val="en-US" w:eastAsia="zh-CN"/>
              </w:rPr>
            </w:pPr>
            <w:r>
              <w:rPr>
                <w:rFonts w:hint="eastAsia" w:ascii="黑体" w:hAnsi="黑体" w:eastAsia="黑体" w:cs="黑体"/>
                <w:kern w:val="2"/>
                <w:sz w:val="24"/>
                <w:szCs w:val="24"/>
                <w:highlight w:val="none"/>
                <w:lang w:val="en-US" w:eastAsia="zh-CN"/>
              </w:rPr>
              <w:t>计量单位</w:t>
            </w:r>
          </w:p>
        </w:tc>
        <w:tc>
          <w:tcPr>
            <w:tcW w:w="1677" w:type="dxa"/>
            <w:vAlign w:val="center"/>
          </w:tcPr>
          <w:p>
            <w:pPr>
              <w:jc w:val="center"/>
              <w:rPr>
                <w:rFonts w:hint="eastAsia" w:ascii="Times New Roman" w:hAnsi="Times New Roman" w:eastAsia="黑体" w:cs="Times New Roman"/>
                <w:color w:val="000000"/>
                <w:kern w:val="2"/>
                <w:sz w:val="21"/>
                <w:highlight w:val="none"/>
              </w:rPr>
            </w:pPr>
            <w:r>
              <w:rPr>
                <w:rFonts w:hint="default" w:ascii="黑体" w:hAnsi="黑体" w:eastAsia="黑体" w:cs="黑体"/>
                <w:color w:val="000000"/>
                <w:kern w:val="2"/>
                <w:sz w:val="24"/>
                <w:szCs w:val="24"/>
                <w:highlight w:val="none"/>
              </w:rPr>
              <w:t>数量</w:t>
            </w:r>
          </w:p>
        </w:tc>
        <w:tc>
          <w:tcPr>
            <w:tcW w:w="2204" w:type="dxa"/>
            <w:gridSpan w:val="2"/>
            <w:vAlign w:val="center"/>
          </w:tcPr>
          <w:p>
            <w:pPr>
              <w:jc w:val="center"/>
              <w:rPr>
                <w:rFonts w:hint="eastAsia" w:ascii="黑体" w:hAnsi="黑体" w:eastAsia="黑体" w:cs="黑体"/>
                <w:sz w:val="24"/>
                <w:szCs w:val="24"/>
                <w:highlight w:val="none"/>
              </w:rPr>
            </w:pPr>
            <w:r>
              <w:rPr>
                <w:rFonts w:hint="eastAsia" w:ascii="黑体" w:hAnsi="黑体" w:eastAsia="黑体" w:cs="黑体"/>
                <w:sz w:val="24"/>
                <w:szCs w:val="24"/>
                <w:highlight w:val="none"/>
                <w:lang w:val="en-US" w:eastAsia="zh-CN"/>
              </w:rPr>
              <w:t>未税</w:t>
            </w:r>
            <w:r>
              <w:rPr>
                <w:rFonts w:hint="eastAsia" w:ascii="黑体" w:hAnsi="黑体" w:eastAsia="黑体" w:cs="黑体"/>
                <w:sz w:val="24"/>
                <w:szCs w:val="24"/>
                <w:highlight w:val="none"/>
              </w:rPr>
              <w:t>总价</w:t>
            </w:r>
            <w:r>
              <w:rPr>
                <w:rFonts w:hint="eastAsia" w:ascii="黑体" w:hAnsi="黑体" w:eastAsia="黑体" w:cs="黑体"/>
                <w:sz w:val="24"/>
                <w:szCs w:val="24"/>
                <w:highlight w:val="none"/>
                <w:lang w:eastAsia="zh-CN"/>
              </w:rPr>
              <w:t>（</w:t>
            </w:r>
            <w:r>
              <w:rPr>
                <w:rFonts w:hint="eastAsia" w:ascii="黑体" w:hAnsi="黑体" w:eastAsia="黑体" w:cs="黑体"/>
                <w:sz w:val="24"/>
                <w:szCs w:val="24"/>
                <w:highlight w:val="none"/>
                <w:lang w:val="en-US" w:eastAsia="zh-CN"/>
              </w:rPr>
              <w:t>元</w:t>
            </w:r>
            <w:r>
              <w:rPr>
                <w:rFonts w:hint="eastAsia" w:ascii="黑体" w:hAnsi="黑体" w:eastAsia="黑体" w:cs="黑体"/>
                <w:sz w:val="24"/>
                <w:szCs w:val="24"/>
                <w:highlight w:val="none"/>
                <w:lang w:eastAsia="zh-CN"/>
              </w:rPr>
              <w:t>）</w:t>
            </w:r>
          </w:p>
        </w:tc>
        <w:tc>
          <w:tcPr>
            <w:tcW w:w="1191" w:type="dxa"/>
            <w:vAlign w:val="center"/>
          </w:tcPr>
          <w:p>
            <w:pPr>
              <w:jc w:val="center"/>
              <w:rPr>
                <w:rFonts w:ascii="黑体" w:hAnsi="黑体" w:eastAsia="黑体" w:cs="宋体"/>
                <w:color w:val="000000"/>
                <w:kern w:val="0"/>
                <w:sz w:val="24"/>
                <w:highlight w:val="none"/>
              </w:rPr>
            </w:pPr>
            <w:r>
              <w:rPr>
                <w:rFonts w:hint="eastAsia" w:ascii="黑体" w:hAnsi="黑体" w:eastAsia="黑体" w:cs="宋体"/>
                <w:color w:val="000000"/>
                <w:kern w:val="0"/>
                <w:sz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pPr>
              <w:jc w:val="center"/>
              <w:rPr>
                <w:rFonts w:hint="eastAsia" w:ascii="宋体" w:hAnsi="宋体" w:eastAsia="宋体" w:cs="Times New Roman"/>
                <w:color w:val="FF0000"/>
                <w:kern w:val="2"/>
                <w:sz w:val="24"/>
                <w:highlight w:val="none"/>
                <w:lang w:val="en-US" w:eastAsia="zh-CN"/>
              </w:rPr>
            </w:pPr>
            <w:r>
              <w:rPr>
                <w:rFonts w:hint="eastAsia" w:ascii="宋体" w:hAnsi="宋体" w:eastAsia="宋体" w:cs="Times New Roman"/>
                <w:color w:val="FF0000"/>
                <w:kern w:val="2"/>
                <w:sz w:val="24"/>
                <w:highlight w:val="none"/>
                <w:lang w:val="en-US" w:eastAsia="zh-CN"/>
              </w:rPr>
              <w:t>填写</w:t>
            </w:r>
          </w:p>
          <w:p>
            <w:pPr>
              <w:jc w:val="center"/>
              <w:rPr>
                <w:rFonts w:hint="default" w:ascii="宋体" w:hAnsi="宋体" w:eastAsia="宋体" w:cs="Times New Roman"/>
                <w:color w:val="FF0000"/>
                <w:kern w:val="2"/>
                <w:sz w:val="24"/>
                <w:highlight w:val="none"/>
                <w:lang w:val="en-US" w:eastAsia="zh-CN"/>
              </w:rPr>
            </w:pPr>
            <w:r>
              <w:rPr>
                <w:rFonts w:hint="eastAsia" w:ascii="宋体" w:hAnsi="宋体" w:eastAsia="宋体" w:cs="Times New Roman"/>
                <w:color w:val="FF0000"/>
                <w:kern w:val="2"/>
                <w:sz w:val="24"/>
                <w:highlight w:val="none"/>
                <w:lang w:val="en-US" w:eastAsia="zh-CN"/>
              </w:rPr>
              <w:t>示例</w:t>
            </w:r>
          </w:p>
        </w:tc>
        <w:tc>
          <w:tcPr>
            <w:tcW w:w="3365" w:type="dxa"/>
            <w:vAlign w:val="center"/>
          </w:tcPr>
          <w:p>
            <w:pPr>
              <w:jc w:val="center"/>
              <w:rPr>
                <w:rFonts w:hint="eastAsia" w:ascii="宋体" w:hAnsi="宋体" w:eastAsia="宋体"/>
                <w:color w:val="FF0000"/>
                <w:sz w:val="24"/>
                <w:highlight w:val="none"/>
                <w:lang w:val="en-US" w:eastAsia="zh-CN"/>
              </w:rPr>
            </w:pPr>
            <w:r>
              <w:rPr>
                <w:rFonts w:hint="eastAsia" w:ascii="宋体" w:hAnsi="宋体"/>
                <w:color w:val="FF0000"/>
                <w:sz w:val="24"/>
                <w:highlight w:val="none"/>
                <w:lang w:val="en-US" w:eastAsia="zh-CN"/>
              </w:rPr>
              <w:t>XXX课程</w:t>
            </w:r>
          </w:p>
        </w:tc>
        <w:tc>
          <w:tcPr>
            <w:tcW w:w="2009" w:type="dxa"/>
            <w:vAlign w:val="center"/>
          </w:tcPr>
          <w:p>
            <w:pPr>
              <w:jc w:val="center"/>
              <w:rPr>
                <w:rFonts w:hint="default" w:ascii="宋体" w:hAnsi="宋体" w:eastAsia="宋体"/>
                <w:color w:val="FF0000"/>
                <w:sz w:val="24"/>
                <w:highlight w:val="none"/>
                <w:lang w:val="en-US" w:eastAsia="zh-CN"/>
              </w:rPr>
            </w:pPr>
            <w:r>
              <w:rPr>
                <w:rFonts w:hint="eastAsia" w:ascii="宋体" w:hAnsi="宋体"/>
                <w:color w:val="FF0000"/>
                <w:sz w:val="24"/>
                <w:highlight w:val="none"/>
                <w:lang w:val="en-US" w:eastAsia="zh-CN"/>
              </w:rPr>
              <w:t>XX</w:t>
            </w:r>
          </w:p>
        </w:tc>
        <w:tc>
          <w:tcPr>
            <w:tcW w:w="2251" w:type="dxa"/>
            <w:vAlign w:val="center"/>
          </w:tcPr>
          <w:p>
            <w:pPr>
              <w:jc w:val="center"/>
              <w:rPr>
                <w:rFonts w:hint="default" w:ascii="宋体" w:hAnsi="宋体"/>
                <w:color w:val="FF0000"/>
                <w:sz w:val="24"/>
                <w:highlight w:val="none"/>
                <w:lang w:val="en-US" w:eastAsia="zh-CN"/>
              </w:rPr>
            </w:pPr>
            <w:r>
              <w:rPr>
                <w:rFonts w:hint="eastAsia" w:ascii="宋体" w:hAnsi="宋体"/>
                <w:color w:val="FF0000"/>
                <w:sz w:val="24"/>
                <w:highlight w:val="none"/>
                <w:lang w:val="en-US" w:eastAsia="zh-CN"/>
              </w:rPr>
              <w:t>元/小时</w:t>
            </w:r>
          </w:p>
        </w:tc>
        <w:tc>
          <w:tcPr>
            <w:tcW w:w="1677" w:type="dxa"/>
            <w:vAlign w:val="center"/>
          </w:tcPr>
          <w:p>
            <w:pPr>
              <w:jc w:val="center"/>
              <w:rPr>
                <w:rFonts w:hint="default" w:ascii="宋体" w:hAnsi="宋体" w:eastAsia="宋体"/>
                <w:color w:val="FF0000"/>
                <w:sz w:val="24"/>
                <w:highlight w:val="none"/>
                <w:lang w:val="en-US" w:eastAsia="zh-CN"/>
              </w:rPr>
            </w:pPr>
            <w:r>
              <w:rPr>
                <w:rFonts w:hint="eastAsia" w:ascii="宋体" w:hAnsi="宋体"/>
                <w:color w:val="FF0000"/>
                <w:sz w:val="24"/>
                <w:highlight w:val="none"/>
                <w:lang w:val="en-US" w:eastAsia="zh-CN"/>
              </w:rPr>
              <w:t>XX</w:t>
            </w:r>
          </w:p>
        </w:tc>
        <w:tc>
          <w:tcPr>
            <w:tcW w:w="2204" w:type="dxa"/>
            <w:gridSpan w:val="2"/>
            <w:vAlign w:val="center"/>
          </w:tcPr>
          <w:p>
            <w:pPr>
              <w:jc w:val="center"/>
              <w:rPr>
                <w:rFonts w:hint="default" w:ascii="宋体" w:hAnsi="宋体" w:eastAsia="宋体"/>
                <w:color w:val="FF0000"/>
                <w:sz w:val="24"/>
                <w:highlight w:val="none"/>
                <w:lang w:val="en-US" w:eastAsia="zh-CN"/>
              </w:rPr>
            </w:pPr>
            <w:r>
              <w:rPr>
                <w:rFonts w:hint="eastAsia" w:ascii="宋体" w:hAnsi="宋体"/>
                <w:color w:val="FF0000"/>
                <w:sz w:val="24"/>
                <w:highlight w:val="none"/>
                <w:lang w:val="en-US" w:eastAsia="zh-CN"/>
              </w:rPr>
              <w:t>XXXXX元</w:t>
            </w:r>
          </w:p>
        </w:tc>
        <w:tc>
          <w:tcPr>
            <w:tcW w:w="1191" w:type="dxa"/>
            <w:vAlign w:val="center"/>
          </w:tcPr>
          <w:p>
            <w:pPr>
              <w:jc w:val="center"/>
              <w:rPr>
                <w:rFonts w:hint="default" w:ascii="宋体" w:hAnsi="宋体" w:eastAsia="宋体"/>
                <w:color w:val="FF0000"/>
                <w:sz w:val="24"/>
                <w:highlight w:val="none"/>
                <w:lang w:val="en-US" w:eastAsia="zh-CN"/>
              </w:rPr>
            </w:pPr>
            <w:r>
              <w:rPr>
                <w:rFonts w:hint="eastAsia" w:ascii="宋体" w:hAnsi="宋体"/>
                <w:color w:val="FF0000"/>
                <w:sz w:val="24"/>
                <w:highlight w:val="none"/>
                <w:lang w:val="en-US" w:eastAsia="zh-CN"/>
              </w:rPr>
              <w:t>税率6%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pPr>
              <w:jc w:val="center"/>
              <w:rPr>
                <w:rFonts w:ascii="黑体" w:hAnsi="黑体" w:eastAsia="黑体" w:cs="宋体"/>
                <w:color w:val="000000"/>
                <w:kern w:val="0"/>
                <w:sz w:val="24"/>
                <w:highlight w:val="none"/>
              </w:rPr>
            </w:pPr>
          </w:p>
        </w:tc>
        <w:tc>
          <w:tcPr>
            <w:tcW w:w="3365" w:type="dxa"/>
            <w:vAlign w:val="center"/>
          </w:tcPr>
          <w:p>
            <w:pPr>
              <w:rPr>
                <w:rFonts w:ascii="宋体" w:hAnsi="宋体"/>
                <w:sz w:val="24"/>
                <w:highlight w:val="none"/>
              </w:rPr>
            </w:pPr>
          </w:p>
        </w:tc>
        <w:tc>
          <w:tcPr>
            <w:tcW w:w="2009" w:type="dxa"/>
            <w:vAlign w:val="center"/>
          </w:tcPr>
          <w:p>
            <w:pPr>
              <w:rPr>
                <w:rFonts w:ascii="宋体" w:hAnsi="宋体"/>
                <w:sz w:val="24"/>
                <w:highlight w:val="none"/>
              </w:rPr>
            </w:pPr>
          </w:p>
        </w:tc>
        <w:tc>
          <w:tcPr>
            <w:tcW w:w="2251" w:type="dxa"/>
            <w:vAlign w:val="center"/>
          </w:tcPr>
          <w:p>
            <w:pPr>
              <w:rPr>
                <w:rFonts w:ascii="宋体" w:hAnsi="宋体"/>
                <w:sz w:val="24"/>
                <w:highlight w:val="none"/>
              </w:rPr>
            </w:pPr>
          </w:p>
        </w:tc>
        <w:tc>
          <w:tcPr>
            <w:tcW w:w="1677" w:type="dxa"/>
            <w:vAlign w:val="center"/>
          </w:tcPr>
          <w:p>
            <w:pPr>
              <w:rPr>
                <w:rFonts w:ascii="宋体" w:hAnsi="宋体"/>
                <w:sz w:val="24"/>
                <w:highlight w:val="none"/>
              </w:rPr>
            </w:pPr>
          </w:p>
        </w:tc>
        <w:tc>
          <w:tcPr>
            <w:tcW w:w="2204" w:type="dxa"/>
            <w:gridSpan w:val="2"/>
            <w:vAlign w:val="center"/>
          </w:tcPr>
          <w:p>
            <w:pPr>
              <w:rPr>
                <w:rFonts w:ascii="宋体" w:hAnsi="宋体"/>
                <w:sz w:val="24"/>
                <w:highlight w:val="none"/>
              </w:rPr>
            </w:pPr>
          </w:p>
        </w:tc>
        <w:tc>
          <w:tcPr>
            <w:tcW w:w="1191"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9" w:hRule="atLeast"/>
        </w:trPr>
        <w:tc>
          <w:tcPr>
            <w:tcW w:w="1130" w:type="dxa"/>
            <w:vAlign w:val="center"/>
          </w:tcPr>
          <w:p>
            <w:pPr>
              <w:rPr>
                <w:rFonts w:ascii="宋体" w:hAnsi="宋体"/>
                <w:sz w:val="24"/>
                <w:highlight w:val="none"/>
              </w:rPr>
            </w:pPr>
          </w:p>
        </w:tc>
        <w:tc>
          <w:tcPr>
            <w:tcW w:w="3365" w:type="dxa"/>
            <w:vAlign w:val="center"/>
          </w:tcPr>
          <w:p>
            <w:pPr>
              <w:rPr>
                <w:rFonts w:ascii="宋体" w:hAnsi="宋体"/>
                <w:sz w:val="24"/>
                <w:highlight w:val="none"/>
              </w:rPr>
            </w:pPr>
          </w:p>
        </w:tc>
        <w:tc>
          <w:tcPr>
            <w:tcW w:w="2009" w:type="dxa"/>
            <w:vAlign w:val="center"/>
          </w:tcPr>
          <w:p>
            <w:pPr>
              <w:rPr>
                <w:rFonts w:ascii="宋体" w:hAnsi="宋体"/>
                <w:sz w:val="24"/>
                <w:highlight w:val="none"/>
              </w:rPr>
            </w:pPr>
          </w:p>
        </w:tc>
        <w:tc>
          <w:tcPr>
            <w:tcW w:w="2251" w:type="dxa"/>
            <w:vAlign w:val="center"/>
          </w:tcPr>
          <w:p>
            <w:pPr>
              <w:rPr>
                <w:rFonts w:ascii="宋体" w:hAnsi="宋体"/>
                <w:sz w:val="24"/>
                <w:highlight w:val="none"/>
              </w:rPr>
            </w:pPr>
          </w:p>
        </w:tc>
        <w:tc>
          <w:tcPr>
            <w:tcW w:w="1677" w:type="dxa"/>
            <w:vAlign w:val="center"/>
          </w:tcPr>
          <w:p>
            <w:pPr>
              <w:rPr>
                <w:rFonts w:ascii="宋体" w:hAnsi="宋体"/>
                <w:sz w:val="24"/>
                <w:highlight w:val="none"/>
              </w:rPr>
            </w:pPr>
          </w:p>
        </w:tc>
        <w:tc>
          <w:tcPr>
            <w:tcW w:w="2204" w:type="dxa"/>
            <w:gridSpan w:val="2"/>
            <w:vAlign w:val="center"/>
          </w:tcPr>
          <w:p>
            <w:pPr>
              <w:rPr>
                <w:rFonts w:ascii="宋体" w:hAnsi="宋体"/>
                <w:sz w:val="24"/>
                <w:highlight w:val="none"/>
              </w:rPr>
            </w:pPr>
          </w:p>
        </w:tc>
        <w:tc>
          <w:tcPr>
            <w:tcW w:w="1191"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tcBorders>
              <w:bottom w:val="single" w:color="auto" w:sz="4" w:space="0"/>
            </w:tcBorders>
            <w:vAlign w:val="center"/>
          </w:tcPr>
          <w:p>
            <w:pPr>
              <w:rPr>
                <w:rFonts w:ascii="宋体" w:hAnsi="宋体"/>
                <w:sz w:val="24"/>
                <w:highlight w:val="none"/>
              </w:rPr>
            </w:pPr>
          </w:p>
        </w:tc>
        <w:tc>
          <w:tcPr>
            <w:tcW w:w="3365" w:type="dxa"/>
            <w:tcBorders>
              <w:bottom w:val="single" w:color="auto" w:sz="4" w:space="0"/>
            </w:tcBorders>
            <w:vAlign w:val="center"/>
          </w:tcPr>
          <w:p>
            <w:pPr>
              <w:rPr>
                <w:rFonts w:ascii="宋体" w:hAnsi="宋体"/>
                <w:sz w:val="24"/>
                <w:highlight w:val="none"/>
              </w:rPr>
            </w:pPr>
          </w:p>
        </w:tc>
        <w:tc>
          <w:tcPr>
            <w:tcW w:w="2009" w:type="dxa"/>
            <w:tcBorders>
              <w:bottom w:val="single" w:color="auto" w:sz="4" w:space="0"/>
            </w:tcBorders>
            <w:vAlign w:val="center"/>
          </w:tcPr>
          <w:p>
            <w:pPr>
              <w:rPr>
                <w:rFonts w:ascii="宋体" w:hAnsi="宋体"/>
                <w:sz w:val="24"/>
                <w:highlight w:val="none"/>
              </w:rPr>
            </w:pPr>
          </w:p>
        </w:tc>
        <w:tc>
          <w:tcPr>
            <w:tcW w:w="2251" w:type="dxa"/>
            <w:tcBorders>
              <w:bottom w:val="single" w:color="auto" w:sz="4" w:space="0"/>
            </w:tcBorders>
            <w:vAlign w:val="center"/>
          </w:tcPr>
          <w:p>
            <w:pPr>
              <w:rPr>
                <w:rFonts w:ascii="宋体" w:hAnsi="宋体"/>
                <w:sz w:val="24"/>
                <w:highlight w:val="none"/>
              </w:rPr>
            </w:pPr>
          </w:p>
        </w:tc>
        <w:tc>
          <w:tcPr>
            <w:tcW w:w="1677" w:type="dxa"/>
            <w:tcBorders>
              <w:bottom w:val="single" w:color="auto" w:sz="4" w:space="0"/>
            </w:tcBorders>
            <w:vAlign w:val="center"/>
          </w:tcPr>
          <w:p>
            <w:pPr>
              <w:rPr>
                <w:rFonts w:ascii="宋体" w:hAnsi="宋体"/>
                <w:sz w:val="24"/>
                <w:highlight w:val="none"/>
              </w:rPr>
            </w:pPr>
          </w:p>
        </w:tc>
        <w:tc>
          <w:tcPr>
            <w:tcW w:w="2204" w:type="dxa"/>
            <w:gridSpan w:val="2"/>
            <w:tcBorders>
              <w:bottom w:val="single" w:color="auto" w:sz="4" w:space="0"/>
            </w:tcBorders>
            <w:vAlign w:val="center"/>
          </w:tcPr>
          <w:p>
            <w:pPr>
              <w:rPr>
                <w:rFonts w:ascii="宋体" w:hAnsi="宋体"/>
                <w:sz w:val="24"/>
                <w:highlight w:val="none"/>
              </w:rPr>
            </w:pPr>
          </w:p>
        </w:tc>
        <w:tc>
          <w:tcPr>
            <w:tcW w:w="1191" w:type="dxa"/>
            <w:tcBorders>
              <w:bottom w:val="single" w:color="auto" w:sz="4" w:space="0"/>
            </w:tcBorders>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highlight w:val="none"/>
              </w:rPr>
            </w:pPr>
          </w:p>
        </w:tc>
        <w:tc>
          <w:tcPr>
            <w:tcW w:w="3365"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highlight w:val="none"/>
              </w:rPr>
            </w:pPr>
          </w:p>
        </w:tc>
        <w:tc>
          <w:tcPr>
            <w:tcW w:w="200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highlight w:val="none"/>
              </w:rPr>
            </w:pPr>
          </w:p>
        </w:tc>
        <w:tc>
          <w:tcPr>
            <w:tcW w:w="2251"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highlight w:val="none"/>
              </w:rPr>
            </w:pPr>
          </w:p>
        </w:tc>
        <w:tc>
          <w:tcPr>
            <w:tcW w:w="167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highlight w:val="none"/>
              </w:rPr>
            </w:pPr>
          </w:p>
        </w:tc>
        <w:tc>
          <w:tcPr>
            <w:tcW w:w="2204"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9" w:hRule="atLeast"/>
        </w:trPr>
        <w:tc>
          <w:tcPr>
            <w:tcW w:w="1130"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highlight w:val="none"/>
              </w:rPr>
            </w:pPr>
          </w:p>
        </w:tc>
        <w:tc>
          <w:tcPr>
            <w:tcW w:w="3365"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highlight w:val="none"/>
              </w:rPr>
            </w:pPr>
          </w:p>
        </w:tc>
        <w:tc>
          <w:tcPr>
            <w:tcW w:w="200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highlight w:val="none"/>
              </w:rPr>
            </w:pPr>
          </w:p>
        </w:tc>
        <w:tc>
          <w:tcPr>
            <w:tcW w:w="2251"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highlight w:val="none"/>
              </w:rPr>
            </w:pPr>
          </w:p>
        </w:tc>
        <w:tc>
          <w:tcPr>
            <w:tcW w:w="167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highlight w:val="none"/>
              </w:rPr>
            </w:pPr>
          </w:p>
        </w:tc>
        <w:tc>
          <w:tcPr>
            <w:tcW w:w="2204"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449"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highlight w:val="none"/>
              </w:rPr>
            </w:pPr>
            <w:r>
              <w:rPr>
                <w:rFonts w:hint="eastAsia" w:ascii="宋体" w:hAnsi="宋体"/>
                <w:sz w:val="24"/>
                <w:highlight w:val="none"/>
              </w:rPr>
              <w:t>总报价（不含税）</w:t>
            </w:r>
          </w:p>
        </w:tc>
        <w:tc>
          <w:tcPr>
            <w:tcW w:w="337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highlight w:val="none"/>
              </w:rPr>
            </w:pPr>
          </w:p>
        </w:tc>
      </w:tr>
    </w:tbl>
    <w:p>
      <w:pPr>
        <w:rPr>
          <w:rFonts w:ascii="宋体" w:hAnsi="宋体"/>
          <w:b/>
          <w:sz w:val="24"/>
          <w:highlight w:val="none"/>
        </w:rPr>
      </w:pPr>
    </w:p>
    <w:p>
      <w:pPr>
        <w:rPr>
          <w:rFonts w:ascii="宋体" w:hAnsi="宋体"/>
          <w:sz w:val="24"/>
          <w:highlight w:val="none"/>
        </w:rPr>
      </w:pPr>
      <w:r>
        <w:rPr>
          <w:rFonts w:hint="eastAsia" w:ascii="宋体" w:hAnsi="宋体"/>
          <w:sz w:val="24"/>
          <w:highlight w:val="none"/>
        </w:rPr>
        <w:t xml:space="preserve"> </w:t>
      </w:r>
      <w:r>
        <w:rPr>
          <w:rFonts w:ascii="宋体" w:hAnsi="宋体"/>
          <w:sz w:val="24"/>
          <w:highlight w:val="none"/>
        </w:rPr>
        <w:t xml:space="preserve">       </w:t>
      </w:r>
      <w:r>
        <w:rPr>
          <w:rFonts w:hint="eastAsia" w:ascii="宋体" w:hAnsi="宋体"/>
          <w:sz w:val="24"/>
          <w:highlight w:val="none"/>
        </w:rPr>
        <w:t>投标人名称：                   授权代表签字：            日期：</w:t>
      </w:r>
    </w:p>
    <w:p>
      <w:pPr>
        <w:rPr>
          <w:rFonts w:ascii="宋体" w:hAnsi="宋体"/>
          <w:sz w:val="24"/>
          <w:highlight w:val="none"/>
        </w:rPr>
      </w:pPr>
    </w:p>
    <w:p>
      <w:pPr>
        <w:rPr>
          <w:rFonts w:ascii="宋体" w:hAnsi="宋体"/>
          <w:sz w:val="24"/>
          <w:highlight w:val="none"/>
        </w:rPr>
      </w:pPr>
      <w:r>
        <w:rPr>
          <w:rFonts w:hint="eastAsia" w:ascii="宋体" w:hAnsi="宋体"/>
          <w:sz w:val="24"/>
          <w:highlight w:val="none"/>
        </w:rPr>
        <w:t>注： 1</w:t>
      </w:r>
      <w:r>
        <w:rPr>
          <w:rFonts w:ascii="宋体" w:hAnsi="宋体"/>
          <w:sz w:val="24"/>
          <w:highlight w:val="none"/>
        </w:rPr>
        <w:t>.</w:t>
      </w:r>
      <w:r>
        <w:rPr>
          <w:rFonts w:hint="eastAsia" w:ascii="宋体" w:hAnsi="宋体"/>
          <w:sz w:val="24"/>
          <w:highlight w:val="none"/>
        </w:rPr>
        <w:t>请按照《技术协议书》中技术参数内容填写报价，可增项、不可缺项。</w:t>
      </w:r>
    </w:p>
    <w:p>
      <w:pPr>
        <w:ind w:firstLine="600" w:firstLineChars="250"/>
        <w:rPr>
          <w:rFonts w:ascii="宋体" w:hAnsi="宋体"/>
          <w:sz w:val="24"/>
          <w:highlight w:val="none"/>
        </w:rPr>
      </w:pPr>
      <w:r>
        <w:rPr>
          <w:rFonts w:hint="eastAsia" w:ascii="宋体" w:hAnsi="宋体"/>
          <w:sz w:val="24"/>
          <w:highlight w:val="none"/>
        </w:rPr>
        <w:t>2.投标总价为各投标物品的合计单项价之和。</w:t>
      </w:r>
    </w:p>
    <w:p>
      <w:pPr>
        <w:ind w:firstLine="720" w:firstLineChars="300"/>
        <w:rPr>
          <w:highlight w:val="none"/>
        </w:rPr>
      </w:pPr>
      <w:r>
        <w:rPr>
          <w:rFonts w:hint="eastAsia" w:ascii="宋体" w:hAnsi="宋体"/>
          <w:sz w:val="24"/>
          <w:highlight w:val="none"/>
        </w:rPr>
        <w:t>3.本表用于开标宣读用，请单独封存。</w:t>
      </w:r>
    </w:p>
    <w:p>
      <w:pPr>
        <w:rPr>
          <w:rFonts w:hint="eastAsia" w:ascii="宋体" w:hAnsi="宋体"/>
          <w:sz w:val="24"/>
          <w:highlight w:val="none"/>
        </w:rPr>
        <w:sectPr>
          <w:pgSz w:w="16838" w:h="11906" w:orient="landscape"/>
          <w:pgMar w:top="1417" w:right="1587" w:bottom="1417" w:left="1134" w:header="851" w:footer="992" w:gutter="0"/>
          <w:pgNumType w:fmt="decimal"/>
          <w:cols w:space="0" w:num="1"/>
          <w:titlePg/>
          <w:rtlGutter w:val="0"/>
          <w:docGrid w:type="lines" w:linePitch="312" w:charSpace="0"/>
        </w:sectPr>
      </w:pPr>
      <w:bookmarkStart w:id="17" w:name="_Toc8241"/>
    </w:p>
    <w:p>
      <w:pPr>
        <w:rPr>
          <w:rFonts w:ascii="宋体" w:hAnsi="宋体"/>
          <w:sz w:val="24"/>
          <w:highlight w:val="none"/>
        </w:rPr>
      </w:pPr>
      <w:r>
        <w:rPr>
          <w:rFonts w:hint="eastAsia" w:ascii="宋体" w:hAnsi="宋体"/>
          <w:sz w:val="24"/>
          <w:highlight w:val="none"/>
        </w:rPr>
        <w:t>附件4</w:t>
      </w:r>
      <w:bookmarkEnd w:id="17"/>
    </w:p>
    <w:p>
      <w:pPr>
        <w:jc w:val="center"/>
        <w:rPr>
          <w:rFonts w:eastAsia="黑体"/>
          <w:b/>
          <w:bCs/>
          <w:sz w:val="28"/>
          <w:highlight w:val="none"/>
        </w:rPr>
      </w:pPr>
      <w:r>
        <w:rPr>
          <w:rFonts w:hint="eastAsia" w:eastAsia="黑体"/>
          <w:b/>
          <w:bCs/>
          <w:sz w:val="28"/>
          <w:highlight w:val="none"/>
        </w:rPr>
        <w:t>偏离表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pPr>
              <w:jc w:val="center"/>
              <w:rPr>
                <w:rFonts w:ascii="宋体" w:hAnsi="宋体"/>
                <w:sz w:val="24"/>
                <w:highlight w:val="none"/>
              </w:rPr>
            </w:pPr>
            <w:r>
              <w:rPr>
                <w:rFonts w:hint="eastAsia" w:ascii="宋体" w:hAnsi="宋体"/>
                <w:sz w:val="24"/>
                <w:highlight w:val="none"/>
              </w:rPr>
              <w:t>序号</w:t>
            </w:r>
          </w:p>
        </w:tc>
        <w:tc>
          <w:tcPr>
            <w:tcW w:w="3971" w:type="dxa"/>
            <w:gridSpan w:val="2"/>
            <w:vAlign w:val="center"/>
          </w:tcPr>
          <w:p>
            <w:pPr>
              <w:jc w:val="center"/>
              <w:rPr>
                <w:rFonts w:ascii="宋体" w:hAnsi="宋体"/>
                <w:sz w:val="24"/>
                <w:highlight w:val="none"/>
              </w:rPr>
            </w:pPr>
            <w:r>
              <w:rPr>
                <w:rFonts w:hint="eastAsia" w:ascii="宋体" w:hAnsi="宋体"/>
                <w:sz w:val="24"/>
                <w:highlight w:val="none"/>
              </w:rPr>
              <w:t>招标文件条款</w:t>
            </w:r>
          </w:p>
        </w:tc>
        <w:tc>
          <w:tcPr>
            <w:tcW w:w="3723" w:type="dxa"/>
            <w:gridSpan w:val="2"/>
            <w:vAlign w:val="center"/>
          </w:tcPr>
          <w:p>
            <w:pPr>
              <w:jc w:val="center"/>
              <w:rPr>
                <w:rFonts w:ascii="宋体" w:hAnsi="宋体"/>
                <w:sz w:val="24"/>
                <w:highlight w:val="none"/>
              </w:rPr>
            </w:pPr>
            <w:r>
              <w:rPr>
                <w:rFonts w:hint="eastAsia" w:ascii="宋体" w:hAnsi="宋体"/>
                <w:sz w:val="24"/>
                <w:highlight w:val="none"/>
              </w:rPr>
              <w:t>投标书条款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rPr>
                <w:rFonts w:ascii="宋体" w:hAnsi="宋体"/>
                <w:sz w:val="24"/>
                <w:highlight w:val="none"/>
              </w:rPr>
            </w:pPr>
          </w:p>
        </w:tc>
        <w:tc>
          <w:tcPr>
            <w:tcW w:w="1080" w:type="dxa"/>
            <w:vAlign w:val="center"/>
          </w:tcPr>
          <w:p>
            <w:pPr>
              <w:jc w:val="center"/>
              <w:rPr>
                <w:rFonts w:ascii="宋体" w:hAnsi="宋体"/>
                <w:sz w:val="24"/>
                <w:highlight w:val="none"/>
              </w:rPr>
            </w:pPr>
          </w:p>
        </w:tc>
        <w:tc>
          <w:tcPr>
            <w:tcW w:w="2891" w:type="dxa"/>
            <w:vAlign w:val="center"/>
          </w:tcPr>
          <w:p>
            <w:pPr>
              <w:jc w:val="center"/>
              <w:rPr>
                <w:rFonts w:ascii="宋体" w:hAnsi="宋体"/>
                <w:sz w:val="24"/>
                <w:highlight w:val="none"/>
              </w:rPr>
            </w:pPr>
            <w:r>
              <w:rPr>
                <w:rFonts w:hint="eastAsia" w:ascii="宋体" w:hAnsi="宋体"/>
                <w:sz w:val="24"/>
                <w:highlight w:val="none"/>
              </w:rPr>
              <w:t>偏离</w:t>
            </w:r>
          </w:p>
        </w:tc>
        <w:tc>
          <w:tcPr>
            <w:tcW w:w="1110" w:type="dxa"/>
            <w:vAlign w:val="center"/>
          </w:tcPr>
          <w:p>
            <w:pPr>
              <w:jc w:val="center"/>
              <w:rPr>
                <w:rFonts w:ascii="宋体" w:hAnsi="宋体"/>
                <w:sz w:val="24"/>
                <w:highlight w:val="none"/>
              </w:rPr>
            </w:pPr>
          </w:p>
        </w:tc>
        <w:tc>
          <w:tcPr>
            <w:tcW w:w="2613" w:type="dxa"/>
            <w:vAlign w:val="center"/>
          </w:tcPr>
          <w:p>
            <w:pPr>
              <w:jc w:val="center"/>
              <w:rPr>
                <w:rFonts w:ascii="宋体" w:hAnsi="宋体"/>
                <w:sz w:val="24"/>
                <w:highlight w:val="none"/>
              </w:rPr>
            </w:pPr>
            <w:r>
              <w:rPr>
                <w:rFonts w:hint="eastAsia" w:ascii="宋体" w:hAnsi="宋体"/>
                <w:sz w:val="24"/>
                <w:highlight w:val="none"/>
              </w:rPr>
              <w:t>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1</w:t>
            </w:r>
          </w:p>
        </w:tc>
        <w:tc>
          <w:tcPr>
            <w:tcW w:w="1080" w:type="dxa"/>
            <w:vAlign w:val="center"/>
          </w:tcPr>
          <w:p>
            <w:pPr>
              <w:rPr>
                <w:rFonts w:ascii="宋体" w:hAnsi="宋体"/>
                <w:sz w:val="24"/>
                <w:highlight w:val="none"/>
              </w:rPr>
            </w:pPr>
          </w:p>
        </w:tc>
        <w:tc>
          <w:tcPr>
            <w:tcW w:w="2891" w:type="dxa"/>
            <w:vAlign w:val="center"/>
          </w:tcPr>
          <w:p>
            <w:pPr>
              <w:rPr>
                <w:rFonts w:ascii="宋体" w:hAnsi="宋体"/>
                <w:sz w:val="24"/>
                <w:highlight w:val="none"/>
              </w:rPr>
            </w:pPr>
          </w:p>
        </w:tc>
        <w:tc>
          <w:tcPr>
            <w:tcW w:w="1110" w:type="dxa"/>
            <w:vAlign w:val="center"/>
          </w:tcPr>
          <w:p>
            <w:pPr>
              <w:rPr>
                <w:rFonts w:ascii="宋体" w:hAnsi="宋体"/>
                <w:sz w:val="24"/>
                <w:highlight w:val="none"/>
              </w:rPr>
            </w:pPr>
          </w:p>
        </w:tc>
        <w:tc>
          <w:tcPr>
            <w:tcW w:w="2613"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2</w:t>
            </w:r>
          </w:p>
        </w:tc>
        <w:tc>
          <w:tcPr>
            <w:tcW w:w="1080" w:type="dxa"/>
            <w:vAlign w:val="center"/>
          </w:tcPr>
          <w:p>
            <w:pPr>
              <w:rPr>
                <w:rFonts w:ascii="宋体" w:hAnsi="宋体"/>
                <w:sz w:val="24"/>
                <w:highlight w:val="none"/>
              </w:rPr>
            </w:pPr>
          </w:p>
        </w:tc>
        <w:tc>
          <w:tcPr>
            <w:tcW w:w="2891" w:type="dxa"/>
            <w:vAlign w:val="center"/>
          </w:tcPr>
          <w:p>
            <w:pPr>
              <w:rPr>
                <w:rFonts w:ascii="宋体" w:hAnsi="宋体"/>
                <w:sz w:val="24"/>
                <w:highlight w:val="none"/>
              </w:rPr>
            </w:pPr>
          </w:p>
        </w:tc>
        <w:tc>
          <w:tcPr>
            <w:tcW w:w="1110" w:type="dxa"/>
            <w:vAlign w:val="center"/>
          </w:tcPr>
          <w:p>
            <w:pPr>
              <w:rPr>
                <w:rFonts w:ascii="宋体" w:hAnsi="宋体"/>
                <w:sz w:val="24"/>
                <w:highlight w:val="none"/>
              </w:rPr>
            </w:pPr>
          </w:p>
        </w:tc>
        <w:tc>
          <w:tcPr>
            <w:tcW w:w="2613"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3</w:t>
            </w:r>
          </w:p>
        </w:tc>
        <w:tc>
          <w:tcPr>
            <w:tcW w:w="1080" w:type="dxa"/>
            <w:vAlign w:val="center"/>
          </w:tcPr>
          <w:p>
            <w:pPr>
              <w:rPr>
                <w:rFonts w:ascii="宋体" w:hAnsi="宋体"/>
                <w:sz w:val="24"/>
                <w:highlight w:val="none"/>
              </w:rPr>
            </w:pPr>
          </w:p>
        </w:tc>
        <w:tc>
          <w:tcPr>
            <w:tcW w:w="2891" w:type="dxa"/>
            <w:vAlign w:val="center"/>
          </w:tcPr>
          <w:p>
            <w:pPr>
              <w:rPr>
                <w:rFonts w:ascii="宋体" w:hAnsi="宋体"/>
                <w:sz w:val="24"/>
                <w:highlight w:val="none"/>
              </w:rPr>
            </w:pPr>
          </w:p>
        </w:tc>
        <w:tc>
          <w:tcPr>
            <w:tcW w:w="1110" w:type="dxa"/>
            <w:vAlign w:val="center"/>
          </w:tcPr>
          <w:p>
            <w:pPr>
              <w:rPr>
                <w:rFonts w:ascii="宋体" w:hAnsi="宋体"/>
                <w:sz w:val="24"/>
                <w:highlight w:val="none"/>
              </w:rPr>
            </w:pPr>
          </w:p>
        </w:tc>
        <w:tc>
          <w:tcPr>
            <w:tcW w:w="2613"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4</w:t>
            </w:r>
          </w:p>
        </w:tc>
        <w:tc>
          <w:tcPr>
            <w:tcW w:w="1080" w:type="dxa"/>
            <w:vAlign w:val="center"/>
          </w:tcPr>
          <w:p>
            <w:pPr>
              <w:rPr>
                <w:rFonts w:ascii="宋体" w:hAnsi="宋体"/>
                <w:sz w:val="24"/>
                <w:highlight w:val="none"/>
              </w:rPr>
            </w:pPr>
          </w:p>
        </w:tc>
        <w:tc>
          <w:tcPr>
            <w:tcW w:w="2891" w:type="dxa"/>
            <w:vAlign w:val="center"/>
          </w:tcPr>
          <w:p>
            <w:pPr>
              <w:rPr>
                <w:rFonts w:ascii="宋体" w:hAnsi="宋体"/>
                <w:sz w:val="24"/>
                <w:highlight w:val="none"/>
              </w:rPr>
            </w:pPr>
          </w:p>
        </w:tc>
        <w:tc>
          <w:tcPr>
            <w:tcW w:w="1110" w:type="dxa"/>
            <w:vAlign w:val="center"/>
          </w:tcPr>
          <w:p>
            <w:pPr>
              <w:rPr>
                <w:rFonts w:ascii="宋体" w:hAnsi="宋体"/>
                <w:sz w:val="24"/>
                <w:highlight w:val="none"/>
              </w:rPr>
            </w:pPr>
          </w:p>
        </w:tc>
        <w:tc>
          <w:tcPr>
            <w:tcW w:w="2613"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5</w:t>
            </w:r>
          </w:p>
        </w:tc>
        <w:tc>
          <w:tcPr>
            <w:tcW w:w="1080" w:type="dxa"/>
            <w:vAlign w:val="center"/>
          </w:tcPr>
          <w:p>
            <w:pPr>
              <w:rPr>
                <w:rFonts w:ascii="宋体" w:hAnsi="宋体"/>
                <w:sz w:val="24"/>
                <w:highlight w:val="none"/>
              </w:rPr>
            </w:pPr>
          </w:p>
        </w:tc>
        <w:tc>
          <w:tcPr>
            <w:tcW w:w="2891" w:type="dxa"/>
            <w:vAlign w:val="center"/>
          </w:tcPr>
          <w:p>
            <w:pPr>
              <w:rPr>
                <w:rFonts w:ascii="宋体" w:hAnsi="宋体"/>
                <w:sz w:val="24"/>
                <w:highlight w:val="none"/>
              </w:rPr>
            </w:pPr>
          </w:p>
        </w:tc>
        <w:tc>
          <w:tcPr>
            <w:tcW w:w="1110" w:type="dxa"/>
            <w:vAlign w:val="center"/>
          </w:tcPr>
          <w:p>
            <w:pPr>
              <w:rPr>
                <w:rFonts w:ascii="宋体" w:hAnsi="宋体"/>
                <w:sz w:val="24"/>
                <w:highlight w:val="none"/>
              </w:rPr>
            </w:pPr>
          </w:p>
        </w:tc>
        <w:tc>
          <w:tcPr>
            <w:tcW w:w="2613"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6</w:t>
            </w:r>
          </w:p>
        </w:tc>
        <w:tc>
          <w:tcPr>
            <w:tcW w:w="1080" w:type="dxa"/>
            <w:vAlign w:val="center"/>
          </w:tcPr>
          <w:p>
            <w:pPr>
              <w:rPr>
                <w:rFonts w:ascii="宋体" w:hAnsi="宋体"/>
                <w:sz w:val="24"/>
                <w:highlight w:val="none"/>
              </w:rPr>
            </w:pPr>
          </w:p>
        </w:tc>
        <w:tc>
          <w:tcPr>
            <w:tcW w:w="2891" w:type="dxa"/>
            <w:vAlign w:val="center"/>
          </w:tcPr>
          <w:p>
            <w:pPr>
              <w:rPr>
                <w:rFonts w:ascii="宋体" w:hAnsi="宋体"/>
                <w:sz w:val="24"/>
                <w:highlight w:val="none"/>
              </w:rPr>
            </w:pPr>
          </w:p>
        </w:tc>
        <w:tc>
          <w:tcPr>
            <w:tcW w:w="1110" w:type="dxa"/>
            <w:vAlign w:val="center"/>
          </w:tcPr>
          <w:p>
            <w:pPr>
              <w:rPr>
                <w:rFonts w:ascii="宋体" w:hAnsi="宋体"/>
                <w:sz w:val="24"/>
                <w:highlight w:val="none"/>
              </w:rPr>
            </w:pPr>
          </w:p>
        </w:tc>
        <w:tc>
          <w:tcPr>
            <w:tcW w:w="2613"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7</w:t>
            </w:r>
          </w:p>
        </w:tc>
        <w:tc>
          <w:tcPr>
            <w:tcW w:w="1080" w:type="dxa"/>
            <w:vAlign w:val="center"/>
          </w:tcPr>
          <w:p>
            <w:pPr>
              <w:rPr>
                <w:rFonts w:ascii="宋体" w:hAnsi="宋体"/>
                <w:sz w:val="24"/>
                <w:highlight w:val="none"/>
              </w:rPr>
            </w:pPr>
          </w:p>
        </w:tc>
        <w:tc>
          <w:tcPr>
            <w:tcW w:w="2891" w:type="dxa"/>
            <w:vAlign w:val="center"/>
          </w:tcPr>
          <w:p>
            <w:pPr>
              <w:rPr>
                <w:rFonts w:ascii="宋体" w:hAnsi="宋体"/>
                <w:sz w:val="24"/>
                <w:highlight w:val="none"/>
              </w:rPr>
            </w:pPr>
          </w:p>
        </w:tc>
        <w:tc>
          <w:tcPr>
            <w:tcW w:w="1110" w:type="dxa"/>
            <w:vAlign w:val="center"/>
          </w:tcPr>
          <w:p>
            <w:pPr>
              <w:rPr>
                <w:rFonts w:ascii="宋体" w:hAnsi="宋体"/>
                <w:sz w:val="24"/>
                <w:highlight w:val="none"/>
              </w:rPr>
            </w:pPr>
          </w:p>
        </w:tc>
        <w:tc>
          <w:tcPr>
            <w:tcW w:w="2613"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8</w:t>
            </w:r>
          </w:p>
        </w:tc>
        <w:tc>
          <w:tcPr>
            <w:tcW w:w="1080" w:type="dxa"/>
            <w:vAlign w:val="center"/>
          </w:tcPr>
          <w:p>
            <w:pPr>
              <w:rPr>
                <w:rFonts w:ascii="宋体" w:hAnsi="宋体"/>
                <w:sz w:val="24"/>
                <w:highlight w:val="none"/>
              </w:rPr>
            </w:pPr>
          </w:p>
        </w:tc>
        <w:tc>
          <w:tcPr>
            <w:tcW w:w="2891" w:type="dxa"/>
            <w:vAlign w:val="center"/>
          </w:tcPr>
          <w:p>
            <w:pPr>
              <w:rPr>
                <w:rFonts w:ascii="宋体" w:hAnsi="宋体"/>
                <w:sz w:val="24"/>
                <w:highlight w:val="none"/>
              </w:rPr>
            </w:pPr>
          </w:p>
        </w:tc>
        <w:tc>
          <w:tcPr>
            <w:tcW w:w="1110" w:type="dxa"/>
            <w:vAlign w:val="center"/>
          </w:tcPr>
          <w:p>
            <w:pPr>
              <w:rPr>
                <w:rFonts w:ascii="宋体" w:hAnsi="宋体"/>
                <w:sz w:val="24"/>
                <w:highlight w:val="none"/>
              </w:rPr>
            </w:pPr>
          </w:p>
        </w:tc>
        <w:tc>
          <w:tcPr>
            <w:tcW w:w="2613"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9</w:t>
            </w:r>
          </w:p>
        </w:tc>
        <w:tc>
          <w:tcPr>
            <w:tcW w:w="1080" w:type="dxa"/>
            <w:vAlign w:val="center"/>
          </w:tcPr>
          <w:p>
            <w:pPr>
              <w:rPr>
                <w:rFonts w:ascii="宋体" w:hAnsi="宋体"/>
                <w:sz w:val="24"/>
                <w:highlight w:val="none"/>
              </w:rPr>
            </w:pPr>
          </w:p>
        </w:tc>
        <w:tc>
          <w:tcPr>
            <w:tcW w:w="2891" w:type="dxa"/>
            <w:vAlign w:val="center"/>
          </w:tcPr>
          <w:p>
            <w:pPr>
              <w:rPr>
                <w:rFonts w:ascii="宋体" w:hAnsi="宋体"/>
                <w:sz w:val="24"/>
                <w:highlight w:val="none"/>
              </w:rPr>
            </w:pPr>
          </w:p>
        </w:tc>
        <w:tc>
          <w:tcPr>
            <w:tcW w:w="1110" w:type="dxa"/>
            <w:vAlign w:val="center"/>
          </w:tcPr>
          <w:p>
            <w:pPr>
              <w:rPr>
                <w:rFonts w:ascii="宋体" w:hAnsi="宋体"/>
                <w:sz w:val="24"/>
                <w:highlight w:val="none"/>
              </w:rPr>
            </w:pPr>
          </w:p>
        </w:tc>
        <w:tc>
          <w:tcPr>
            <w:tcW w:w="2613"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10</w:t>
            </w:r>
          </w:p>
        </w:tc>
        <w:tc>
          <w:tcPr>
            <w:tcW w:w="1080" w:type="dxa"/>
            <w:vAlign w:val="center"/>
          </w:tcPr>
          <w:p>
            <w:pPr>
              <w:rPr>
                <w:rFonts w:ascii="宋体" w:hAnsi="宋体"/>
                <w:sz w:val="24"/>
                <w:highlight w:val="none"/>
              </w:rPr>
            </w:pPr>
          </w:p>
        </w:tc>
        <w:tc>
          <w:tcPr>
            <w:tcW w:w="2891" w:type="dxa"/>
            <w:vAlign w:val="center"/>
          </w:tcPr>
          <w:p>
            <w:pPr>
              <w:rPr>
                <w:rFonts w:ascii="宋体" w:hAnsi="宋体"/>
                <w:sz w:val="24"/>
                <w:highlight w:val="none"/>
              </w:rPr>
            </w:pPr>
          </w:p>
        </w:tc>
        <w:tc>
          <w:tcPr>
            <w:tcW w:w="1110" w:type="dxa"/>
            <w:vAlign w:val="center"/>
          </w:tcPr>
          <w:p>
            <w:pPr>
              <w:rPr>
                <w:rFonts w:ascii="宋体" w:hAnsi="宋体"/>
                <w:sz w:val="24"/>
                <w:highlight w:val="none"/>
              </w:rPr>
            </w:pPr>
          </w:p>
        </w:tc>
        <w:tc>
          <w:tcPr>
            <w:tcW w:w="2613"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11</w:t>
            </w:r>
          </w:p>
        </w:tc>
        <w:tc>
          <w:tcPr>
            <w:tcW w:w="1080" w:type="dxa"/>
            <w:vAlign w:val="center"/>
          </w:tcPr>
          <w:p>
            <w:pPr>
              <w:rPr>
                <w:rFonts w:ascii="宋体" w:hAnsi="宋体"/>
                <w:sz w:val="24"/>
                <w:highlight w:val="none"/>
              </w:rPr>
            </w:pPr>
          </w:p>
        </w:tc>
        <w:tc>
          <w:tcPr>
            <w:tcW w:w="2891" w:type="dxa"/>
            <w:vAlign w:val="center"/>
          </w:tcPr>
          <w:p>
            <w:pPr>
              <w:rPr>
                <w:rFonts w:ascii="宋体" w:hAnsi="宋体"/>
                <w:sz w:val="24"/>
                <w:highlight w:val="none"/>
              </w:rPr>
            </w:pPr>
          </w:p>
        </w:tc>
        <w:tc>
          <w:tcPr>
            <w:tcW w:w="1110" w:type="dxa"/>
            <w:vAlign w:val="center"/>
          </w:tcPr>
          <w:p>
            <w:pPr>
              <w:rPr>
                <w:rFonts w:ascii="宋体" w:hAnsi="宋体"/>
                <w:sz w:val="24"/>
                <w:highlight w:val="none"/>
              </w:rPr>
            </w:pPr>
          </w:p>
        </w:tc>
        <w:tc>
          <w:tcPr>
            <w:tcW w:w="2613"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12</w:t>
            </w:r>
          </w:p>
        </w:tc>
        <w:tc>
          <w:tcPr>
            <w:tcW w:w="1080" w:type="dxa"/>
            <w:vAlign w:val="center"/>
          </w:tcPr>
          <w:p>
            <w:pPr>
              <w:rPr>
                <w:rFonts w:ascii="宋体" w:hAnsi="宋体"/>
                <w:sz w:val="24"/>
                <w:highlight w:val="none"/>
              </w:rPr>
            </w:pPr>
          </w:p>
        </w:tc>
        <w:tc>
          <w:tcPr>
            <w:tcW w:w="2891" w:type="dxa"/>
            <w:vAlign w:val="center"/>
          </w:tcPr>
          <w:p>
            <w:pPr>
              <w:rPr>
                <w:rFonts w:ascii="宋体" w:hAnsi="宋体"/>
                <w:sz w:val="24"/>
                <w:highlight w:val="none"/>
              </w:rPr>
            </w:pPr>
          </w:p>
        </w:tc>
        <w:tc>
          <w:tcPr>
            <w:tcW w:w="1110" w:type="dxa"/>
            <w:vAlign w:val="center"/>
          </w:tcPr>
          <w:p>
            <w:pPr>
              <w:rPr>
                <w:rFonts w:ascii="宋体" w:hAnsi="宋体"/>
                <w:sz w:val="24"/>
                <w:highlight w:val="none"/>
              </w:rPr>
            </w:pPr>
          </w:p>
        </w:tc>
        <w:tc>
          <w:tcPr>
            <w:tcW w:w="2613"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13</w:t>
            </w:r>
          </w:p>
        </w:tc>
        <w:tc>
          <w:tcPr>
            <w:tcW w:w="1080" w:type="dxa"/>
            <w:vAlign w:val="center"/>
          </w:tcPr>
          <w:p>
            <w:pPr>
              <w:rPr>
                <w:rFonts w:ascii="宋体" w:hAnsi="宋体"/>
                <w:sz w:val="24"/>
                <w:highlight w:val="none"/>
              </w:rPr>
            </w:pPr>
          </w:p>
        </w:tc>
        <w:tc>
          <w:tcPr>
            <w:tcW w:w="2891" w:type="dxa"/>
            <w:vAlign w:val="center"/>
          </w:tcPr>
          <w:p>
            <w:pPr>
              <w:rPr>
                <w:rFonts w:ascii="宋体" w:hAnsi="宋体"/>
                <w:sz w:val="24"/>
                <w:highlight w:val="none"/>
              </w:rPr>
            </w:pPr>
          </w:p>
        </w:tc>
        <w:tc>
          <w:tcPr>
            <w:tcW w:w="1110" w:type="dxa"/>
            <w:vAlign w:val="center"/>
          </w:tcPr>
          <w:p>
            <w:pPr>
              <w:rPr>
                <w:rFonts w:ascii="宋体" w:hAnsi="宋体"/>
                <w:sz w:val="24"/>
                <w:highlight w:val="none"/>
              </w:rPr>
            </w:pPr>
          </w:p>
        </w:tc>
        <w:tc>
          <w:tcPr>
            <w:tcW w:w="2613" w:type="dxa"/>
            <w:vAlign w:val="center"/>
          </w:tcPr>
          <w:p>
            <w:pPr>
              <w:rPr>
                <w:rFonts w:ascii="宋体" w:hAnsi="宋体"/>
                <w:sz w:val="24"/>
                <w:highlight w:val="none"/>
              </w:rPr>
            </w:pPr>
          </w:p>
        </w:tc>
      </w:tr>
    </w:tbl>
    <w:p>
      <w:pPr>
        <w:rPr>
          <w:rFonts w:ascii="宋体" w:hAnsi="宋体"/>
          <w:sz w:val="24"/>
          <w:highlight w:val="none"/>
        </w:rPr>
      </w:pPr>
      <w:r>
        <w:rPr>
          <w:rFonts w:hint="eastAsia" w:ascii="宋体" w:hAnsi="宋体"/>
          <w:b/>
          <w:sz w:val="24"/>
          <w:highlight w:val="none"/>
        </w:rPr>
        <w:t>注：</w:t>
      </w:r>
      <w:r>
        <w:rPr>
          <w:rFonts w:hint="eastAsia" w:ascii="宋体" w:hAnsi="宋体"/>
          <w:sz w:val="24"/>
          <w:highlight w:val="none"/>
        </w:rPr>
        <w:t>即使投标人进行了描述，也要提报该表，</w:t>
      </w:r>
      <w:r>
        <w:rPr>
          <w:rFonts w:hint="eastAsia" w:ascii="宋体" w:hAnsi="宋体"/>
          <w:b/>
          <w:sz w:val="24"/>
          <w:highlight w:val="none"/>
        </w:rPr>
        <w:t>无该表则被视为“无偏离”。</w:t>
      </w:r>
      <w:r>
        <w:rPr>
          <w:rFonts w:hint="eastAsia" w:ascii="宋体" w:hAnsi="宋体"/>
          <w:sz w:val="24"/>
          <w:highlight w:val="none"/>
        </w:rPr>
        <w:t>如无偏离注明“无”字。</w:t>
      </w:r>
    </w:p>
    <w:p>
      <w:pPr>
        <w:pStyle w:val="9"/>
        <w:spacing w:line="360" w:lineRule="auto"/>
        <w:rPr>
          <w:rFonts w:hAnsi="宋体"/>
          <w:b/>
          <w:bCs/>
          <w:sz w:val="28"/>
          <w:szCs w:val="28"/>
          <w:highlight w:val="none"/>
        </w:rPr>
      </w:pPr>
    </w:p>
    <w:p>
      <w:pPr>
        <w:rPr>
          <w:highlight w:val="none"/>
        </w:rPr>
      </w:pPr>
      <w:r>
        <w:rPr>
          <w:rFonts w:hint="eastAsia" w:ascii="宋体" w:hAnsi="宋体"/>
          <w:sz w:val="24"/>
          <w:highlight w:val="none"/>
        </w:rPr>
        <w:t xml:space="preserve"> </w:t>
      </w:r>
      <w:r>
        <w:rPr>
          <w:rFonts w:ascii="宋体" w:hAnsi="宋体"/>
          <w:sz w:val="24"/>
          <w:highlight w:val="none"/>
        </w:rPr>
        <w:t xml:space="preserve">     </w:t>
      </w:r>
      <w:r>
        <w:rPr>
          <w:rFonts w:hint="eastAsia" w:ascii="宋体" w:hAnsi="宋体"/>
          <w:sz w:val="24"/>
          <w:highlight w:val="none"/>
        </w:rPr>
        <w:t>投标人名称：                   授权代表签字：            日期：</w:t>
      </w:r>
    </w:p>
    <w:p>
      <w:pPr>
        <w:rPr>
          <w:rFonts w:eastAsia="黑体"/>
          <w:b/>
          <w:bCs/>
          <w:sz w:val="28"/>
          <w:highlight w:val="none"/>
        </w:rPr>
      </w:pPr>
    </w:p>
    <w:p>
      <w:pPr>
        <w:rPr>
          <w:highlight w:val="none"/>
        </w:rPr>
      </w:pPr>
      <w:bookmarkStart w:id="18" w:name="_Toc32530"/>
    </w:p>
    <w:p>
      <w:pPr>
        <w:pStyle w:val="12"/>
        <w:rPr>
          <w:highlight w:val="none"/>
        </w:rPr>
      </w:pPr>
    </w:p>
    <w:p>
      <w:pPr>
        <w:rPr>
          <w:rFonts w:ascii="宋体" w:hAnsi="宋体"/>
          <w:sz w:val="24"/>
          <w:highlight w:val="none"/>
        </w:rPr>
      </w:pPr>
      <w:r>
        <w:rPr>
          <w:rFonts w:hint="eastAsia" w:ascii="宋体" w:hAnsi="宋体"/>
          <w:sz w:val="24"/>
          <w:highlight w:val="none"/>
        </w:rPr>
        <w:t>附件5</w:t>
      </w:r>
      <w:bookmarkEnd w:id="18"/>
    </w:p>
    <w:p>
      <w:pPr>
        <w:jc w:val="center"/>
        <w:rPr>
          <w:rFonts w:eastAsia="黑体"/>
          <w:b/>
          <w:bCs/>
          <w:sz w:val="28"/>
          <w:highlight w:val="none"/>
        </w:rPr>
      </w:pPr>
      <w:r>
        <w:rPr>
          <w:rFonts w:hint="eastAsia" w:eastAsia="黑体"/>
          <w:b/>
          <w:bCs/>
          <w:sz w:val="28"/>
          <w:highlight w:val="none"/>
        </w:rPr>
        <w:t>封面格式（参考）</w:t>
      </w:r>
    </w:p>
    <w:p>
      <w:pPr>
        <w:jc w:val="center"/>
        <w:rPr>
          <w:rFonts w:eastAsia="黑体"/>
          <w:b/>
          <w:bCs/>
          <w:sz w:val="28"/>
          <w:highlight w:val="none"/>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4285" w:type="dxa"/>
          </w:tcPr>
          <w:p>
            <w:pPr>
              <w:pStyle w:val="7"/>
              <w:ind w:firstLine="470"/>
              <w:jc w:val="left"/>
              <w:rPr>
                <w:rFonts w:ascii="宋体" w:hAnsi="宋体"/>
                <w:sz w:val="24"/>
                <w:szCs w:val="24"/>
                <w:highlight w:val="none"/>
              </w:rPr>
            </w:pPr>
          </w:p>
          <w:p>
            <w:pPr>
              <w:pStyle w:val="7"/>
              <w:ind w:left="0" w:leftChars="0"/>
              <w:jc w:val="left"/>
              <w:rPr>
                <w:rFonts w:ascii="宋体" w:hAnsi="宋体"/>
                <w:b/>
                <w:bCs/>
                <w:sz w:val="30"/>
                <w:szCs w:val="30"/>
                <w:highlight w:val="none"/>
              </w:rPr>
            </w:pPr>
            <w:r>
              <w:rPr>
                <w:rFonts w:hint="eastAsia" w:ascii="宋体" w:hAnsi="宋体" w:cs="宋体"/>
                <w:b/>
                <w:bCs/>
                <w:sz w:val="30"/>
                <w:szCs w:val="30"/>
                <w:highlight w:val="none"/>
              </w:rPr>
              <w:t>投标文件</w:t>
            </w:r>
          </w:p>
          <w:p>
            <w:pPr>
              <w:pStyle w:val="7"/>
              <w:ind w:left="0" w:leftChars="0"/>
              <w:jc w:val="left"/>
              <w:rPr>
                <w:rFonts w:ascii="宋体" w:hAnsi="宋体"/>
                <w:sz w:val="30"/>
                <w:szCs w:val="30"/>
                <w:highlight w:val="none"/>
              </w:rPr>
            </w:pPr>
            <w:r>
              <w:rPr>
                <w:rFonts w:hint="eastAsia" w:ascii="宋体" w:hAnsi="宋体" w:cs="宋体"/>
                <w:b/>
                <w:bCs/>
                <w:sz w:val="30"/>
                <w:szCs w:val="30"/>
                <w:highlight w:val="none"/>
              </w:rPr>
              <w:t>（正本）</w:t>
            </w:r>
          </w:p>
          <w:p>
            <w:pPr>
              <w:pStyle w:val="7"/>
              <w:ind w:firstLine="353"/>
              <w:jc w:val="left"/>
              <w:rPr>
                <w:rFonts w:ascii="宋体" w:hAnsi="宋体"/>
                <w:sz w:val="18"/>
                <w:szCs w:val="18"/>
                <w:highlight w:val="none"/>
              </w:rPr>
            </w:pPr>
          </w:p>
          <w:p>
            <w:pPr>
              <w:pStyle w:val="7"/>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项目名称：</w:t>
            </w:r>
          </w:p>
          <w:p>
            <w:pPr>
              <w:pStyle w:val="7"/>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投标人名称（公章）：</w:t>
            </w:r>
          </w:p>
          <w:p>
            <w:pPr>
              <w:pStyle w:val="7"/>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地址：</w:t>
            </w:r>
          </w:p>
          <w:p>
            <w:pPr>
              <w:pStyle w:val="7"/>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电话：</w:t>
            </w:r>
          </w:p>
          <w:p>
            <w:pPr>
              <w:pStyle w:val="7"/>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传真：</w:t>
            </w:r>
          </w:p>
          <w:p>
            <w:pPr>
              <w:pStyle w:val="7"/>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邮编：</w:t>
            </w:r>
            <w:r>
              <w:rPr>
                <w:rFonts w:ascii="宋体" w:hAnsi="宋体" w:cs="宋体"/>
                <w:sz w:val="32"/>
                <w:szCs w:val="32"/>
                <w:highlight w:val="none"/>
              </w:rPr>
              <w:t xml:space="preserve"> </w:t>
            </w:r>
          </w:p>
        </w:tc>
        <w:tc>
          <w:tcPr>
            <w:tcW w:w="4775" w:type="dxa"/>
          </w:tcPr>
          <w:p>
            <w:pPr>
              <w:pStyle w:val="7"/>
              <w:ind w:firstLine="470"/>
              <w:jc w:val="left"/>
              <w:rPr>
                <w:rFonts w:ascii="宋体" w:hAnsi="宋体"/>
                <w:sz w:val="24"/>
                <w:szCs w:val="24"/>
                <w:highlight w:val="none"/>
              </w:rPr>
            </w:pPr>
          </w:p>
          <w:p>
            <w:pPr>
              <w:pStyle w:val="7"/>
              <w:ind w:left="0" w:leftChars="0"/>
              <w:jc w:val="left"/>
              <w:rPr>
                <w:rFonts w:ascii="宋体" w:hAnsi="宋体"/>
                <w:b/>
                <w:bCs/>
                <w:sz w:val="30"/>
                <w:szCs w:val="30"/>
                <w:highlight w:val="none"/>
              </w:rPr>
            </w:pPr>
            <w:r>
              <w:rPr>
                <w:rFonts w:hint="eastAsia" w:ascii="宋体" w:hAnsi="宋体" w:cs="宋体"/>
                <w:b/>
                <w:bCs/>
                <w:sz w:val="30"/>
                <w:szCs w:val="30"/>
                <w:highlight w:val="none"/>
              </w:rPr>
              <w:t>投标文件</w:t>
            </w:r>
          </w:p>
          <w:p>
            <w:pPr>
              <w:pStyle w:val="7"/>
              <w:ind w:left="0" w:leftChars="0"/>
              <w:jc w:val="left"/>
              <w:rPr>
                <w:rFonts w:ascii="宋体" w:hAnsi="宋体"/>
                <w:sz w:val="30"/>
                <w:szCs w:val="30"/>
                <w:highlight w:val="none"/>
              </w:rPr>
            </w:pPr>
            <w:r>
              <w:rPr>
                <w:rFonts w:hint="eastAsia" w:ascii="宋体" w:hAnsi="宋体" w:cs="宋体"/>
                <w:b/>
                <w:bCs/>
                <w:sz w:val="30"/>
                <w:szCs w:val="30"/>
                <w:highlight w:val="none"/>
              </w:rPr>
              <w:t>（副本）</w:t>
            </w:r>
          </w:p>
          <w:p>
            <w:pPr>
              <w:pStyle w:val="7"/>
              <w:ind w:firstLine="353"/>
              <w:jc w:val="left"/>
              <w:rPr>
                <w:rFonts w:ascii="宋体" w:hAnsi="宋体"/>
                <w:sz w:val="18"/>
                <w:szCs w:val="18"/>
                <w:highlight w:val="none"/>
              </w:rPr>
            </w:pPr>
          </w:p>
          <w:p>
            <w:pPr>
              <w:pStyle w:val="7"/>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项目名称：</w:t>
            </w:r>
          </w:p>
          <w:p>
            <w:pPr>
              <w:pStyle w:val="7"/>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投标人名称（公章）：</w:t>
            </w:r>
          </w:p>
          <w:p>
            <w:pPr>
              <w:pStyle w:val="7"/>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地址：</w:t>
            </w:r>
          </w:p>
          <w:p>
            <w:pPr>
              <w:pStyle w:val="7"/>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电话：</w:t>
            </w:r>
          </w:p>
          <w:p>
            <w:pPr>
              <w:pStyle w:val="7"/>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传真：</w:t>
            </w:r>
          </w:p>
          <w:p>
            <w:pPr>
              <w:pStyle w:val="7"/>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邮编：</w:t>
            </w:r>
            <w:r>
              <w:rPr>
                <w:rFonts w:ascii="宋体" w:hAnsi="宋体" w:cs="宋体"/>
                <w:sz w:val="32"/>
                <w:szCs w:val="32"/>
                <w:highlight w:val="none"/>
              </w:rPr>
              <w:t xml:space="preserve"> </w:t>
            </w:r>
          </w:p>
        </w:tc>
      </w:tr>
    </w:tbl>
    <w:p>
      <w:pPr>
        <w:pStyle w:val="7"/>
        <w:ind w:left="0" w:leftChars="0"/>
        <w:outlineLvl w:val="0"/>
        <w:rPr>
          <w:rFonts w:ascii="宋体" w:hAnsi="宋体"/>
          <w:b/>
          <w:bCs/>
          <w:sz w:val="32"/>
          <w:szCs w:val="32"/>
          <w:highlight w:val="none"/>
        </w:rPr>
      </w:pPr>
      <w:bookmarkStart w:id="19" w:name="_Toc15445"/>
      <w:r>
        <w:rPr>
          <w:rFonts w:hint="eastAsia" w:ascii="宋体" w:hAnsi="宋体" w:cs="宋体"/>
          <w:b/>
          <w:bCs/>
          <w:sz w:val="32"/>
          <w:szCs w:val="32"/>
          <w:highlight w:val="none"/>
        </w:rPr>
        <w:t>封口格式：</w:t>
      </w:r>
      <w:bookmarkEnd w:id="19"/>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168" w:type="dxa"/>
            <w:vAlign w:val="center"/>
          </w:tcPr>
          <w:p>
            <w:pPr>
              <w:pStyle w:val="7"/>
              <w:ind w:left="0" w:leftChars="0"/>
              <w:rPr>
                <w:rFonts w:ascii="宋体" w:hAnsi="宋体"/>
                <w:sz w:val="24"/>
                <w:szCs w:val="24"/>
                <w:highlight w:val="none"/>
              </w:rPr>
            </w:pPr>
            <w:r>
              <w:rPr>
                <w:rFonts w:hint="eastAsia" w:ascii="宋体" w:hAnsi="宋体" w:cs="宋体"/>
                <w:sz w:val="24"/>
                <w:szCs w:val="24"/>
                <w:highlight w:val="none"/>
              </w:rPr>
              <w:t>……………………于</w:t>
            </w:r>
            <w:r>
              <w:rPr>
                <w:rFonts w:hint="eastAsia" w:ascii="宋体" w:hAnsi="宋体" w:cs="宋体"/>
                <w:sz w:val="24"/>
                <w:szCs w:val="24"/>
                <w:highlight w:val="none"/>
                <w:u w:val="single"/>
              </w:rPr>
              <w:t xml:space="preserve">     </w:t>
            </w:r>
            <w:r>
              <w:rPr>
                <w:rFonts w:ascii="宋体" w:hAnsi="宋体" w:cs="宋体"/>
                <w:sz w:val="24"/>
                <w:szCs w:val="24"/>
                <w:highlight w:val="none"/>
              </w:rPr>
              <w:t>年</w:t>
            </w:r>
            <w:r>
              <w:rPr>
                <w:rFonts w:ascii="宋体" w:hAnsi="宋体" w:cs="宋体"/>
                <w:sz w:val="24"/>
                <w:szCs w:val="24"/>
                <w:highlight w:val="none"/>
                <w:u w:val="single"/>
              </w:rPr>
              <w:t xml:space="preserve">  </w:t>
            </w:r>
            <w:r>
              <w:rPr>
                <w:rFonts w:hint="eastAsia" w:ascii="宋体" w:hAnsi="宋体" w:cs="宋体"/>
                <w:sz w:val="24"/>
                <w:szCs w:val="24"/>
                <w:highlight w:val="none"/>
              </w:rPr>
              <w:t>月</w:t>
            </w:r>
            <w:r>
              <w:rPr>
                <w:rFonts w:ascii="宋体" w:hAnsi="宋体" w:cs="宋体"/>
                <w:sz w:val="24"/>
                <w:szCs w:val="24"/>
                <w:highlight w:val="none"/>
                <w:u w:val="single"/>
              </w:rPr>
              <w:t xml:space="preserve">  </w:t>
            </w:r>
            <w:r>
              <w:rPr>
                <w:rFonts w:hint="eastAsia" w:ascii="宋体" w:hAnsi="宋体" w:cs="宋体"/>
                <w:sz w:val="24"/>
                <w:szCs w:val="24"/>
                <w:highlight w:val="none"/>
              </w:rPr>
              <w:t>日</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时之前不准启封（公章）…………………</w:t>
            </w:r>
          </w:p>
        </w:tc>
      </w:tr>
    </w:tbl>
    <w:p>
      <w:pPr>
        <w:tabs>
          <w:tab w:val="left" w:pos="1620"/>
        </w:tabs>
        <w:spacing w:line="400" w:lineRule="exact"/>
        <w:rPr>
          <w:rFonts w:ascii="黑体" w:hAnsi="Courier New" w:eastAsia="黑体"/>
          <w:b/>
          <w:bCs/>
          <w:sz w:val="36"/>
          <w:szCs w:val="36"/>
          <w:highlight w:val="none"/>
        </w:rPr>
      </w:pPr>
    </w:p>
    <w:p>
      <w:pPr>
        <w:rPr>
          <w:highlight w:val="none"/>
        </w:rPr>
      </w:pPr>
    </w:p>
    <w:p>
      <w:pPr>
        <w:rPr>
          <w:rFonts w:eastAsia="黑体"/>
          <w:b/>
          <w:bCs/>
          <w:sz w:val="28"/>
          <w:highlight w:val="none"/>
        </w:rPr>
      </w:pPr>
    </w:p>
    <w:p>
      <w:pPr>
        <w:rPr>
          <w:rFonts w:eastAsia="黑体"/>
          <w:b/>
          <w:bCs/>
          <w:sz w:val="28"/>
          <w:highlight w:val="none"/>
        </w:rPr>
      </w:pPr>
    </w:p>
    <w:p>
      <w:pPr>
        <w:rPr>
          <w:rFonts w:eastAsia="黑体"/>
          <w:b/>
          <w:bCs/>
          <w:sz w:val="28"/>
          <w:highlight w:val="none"/>
        </w:rPr>
      </w:pPr>
    </w:p>
    <w:p>
      <w:pPr>
        <w:pStyle w:val="9"/>
        <w:spacing w:line="440" w:lineRule="exact"/>
        <w:rPr>
          <w:rFonts w:ascii="Times New Roman" w:hAnsi="Times New Roman" w:eastAsia="黑体" w:cs="Times New Roman"/>
          <w:b/>
          <w:bCs/>
          <w:sz w:val="28"/>
          <w:szCs w:val="20"/>
          <w:highlight w:val="none"/>
        </w:rPr>
      </w:pPr>
    </w:p>
    <w:p>
      <w:pPr>
        <w:pStyle w:val="9"/>
        <w:spacing w:line="440" w:lineRule="exact"/>
        <w:jc w:val="center"/>
        <w:rPr>
          <w:rFonts w:ascii="Times New Roman" w:hAnsi="Times New Roman" w:eastAsia="黑体" w:cs="Times New Roman"/>
          <w:b/>
          <w:bCs/>
          <w:sz w:val="28"/>
          <w:szCs w:val="20"/>
          <w:highlight w:val="none"/>
        </w:rPr>
      </w:pPr>
    </w:p>
    <w:p>
      <w:pPr>
        <w:pStyle w:val="9"/>
        <w:spacing w:line="440" w:lineRule="exact"/>
        <w:jc w:val="center"/>
        <w:outlineLvl w:val="1"/>
        <w:rPr>
          <w:rFonts w:ascii="Times New Roman" w:hAnsi="Times New Roman" w:eastAsia="黑体" w:cs="Times New Roman"/>
          <w:b/>
          <w:bCs/>
          <w:sz w:val="36"/>
          <w:highlight w:val="none"/>
        </w:rPr>
      </w:pPr>
    </w:p>
    <w:p>
      <w:pPr>
        <w:pStyle w:val="9"/>
        <w:spacing w:line="440" w:lineRule="exact"/>
        <w:jc w:val="center"/>
        <w:outlineLvl w:val="1"/>
        <w:rPr>
          <w:rFonts w:ascii="Times New Roman" w:hAnsi="Times New Roman" w:eastAsia="黑体" w:cs="Times New Roman"/>
          <w:b/>
          <w:bCs/>
          <w:sz w:val="36"/>
          <w:highlight w:val="none"/>
        </w:rPr>
      </w:pPr>
    </w:p>
    <w:p>
      <w:pPr>
        <w:pStyle w:val="9"/>
        <w:spacing w:line="440" w:lineRule="exact"/>
        <w:jc w:val="center"/>
        <w:outlineLvl w:val="1"/>
        <w:rPr>
          <w:rFonts w:ascii="Times New Roman" w:hAnsi="Times New Roman" w:eastAsia="黑体" w:cs="Times New Roman"/>
          <w:b/>
          <w:bCs/>
          <w:sz w:val="36"/>
          <w:highlight w:val="none"/>
        </w:rPr>
      </w:pPr>
      <w:r>
        <w:rPr>
          <w:rFonts w:hint="eastAsia" w:ascii="Times New Roman" w:hAnsi="Times New Roman" w:eastAsia="黑体" w:cs="Times New Roman"/>
          <w:b/>
          <w:bCs/>
          <w:sz w:val="36"/>
          <w:highlight w:val="none"/>
        </w:rPr>
        <w:t xml:space="preserve"> </w:t>
      </w:r>
    </w:p>
    <w:p>
      <w:pPr>
        <w:rPr>
          <w:rFonts w:eastAsia="黑体"/>
          <w:b/>
          <w:bCs/>
          <w:sz w:val="36"/>
          <w:szCs w:val="22"/>
          <w:highlight w:val="none"/>
        </w:rPr>
      </w:pPr>
      <w:r>
        <w:rPr>
          <w:rFonts w:hint="eastAsia" w:eastAsia="黑体"/>
          <w:b/>
          <w:bCs/>
          <w:sz w:val="36"/>
          <w:szCs w:val="22"/>
          <w:highlight w:val="none"/>
        </w:rPr>
        <w:br w:type="page"/>
      </w:r>
    </w:p>
    <w:p>
      <w:pPr>
        <w:pStyle w:val="9"/>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Ansi="宋体"/>
          <w:b/>
          <w:bCs/>
          <w:sz w:val="36"/>
          <w:szCs w:val="36"/>
          <w:highlight w:val="none"/>
        </w:rPr>
      </w:pPr>
      <w:r>
        <w:rPr>
          <w:rFonts w:hint="eastAsia" w:ascii="Times New Roman" w:hAnsi="Times New Roman" w:eastAsia="黑体" w:cs="Times New Roman"/>
          <w:b/>
          <w:bCs/>
          <w:sz w:val="32"/>
          <w:szCs w:val="21"/>
          <w:highlight w:val="none"/>
        </w:rPr>
        <w:t>技术协议书</w:t>
      </w:r>
      <w:bookmarkStart w:id="31" w:name="_GoBack"/>
      <w:bookmarkEnd w:id="31"/>
    </w:p>
    <w:p>
      <w:pPr>
        <w:pStyle w:val="9"/>
        <w:keepNext w:val="0"/>
        <w:keepLines w:val="0"/>
        <w:pageBreakBefore w:val="0"/>
        <w:widowControl w:val="0"/>
        <w:kinsoku/>
        <w:wordWrap/>
        <w:overflowPunct/>
        <w:topLinePunct w:val="0"/>
        <w:autoSpaceDE/>
        <w:autoSpaceDN/>
        <w:bidi w:val="0"/>
        <w:adjustRightInd/>
        <w:snapToGrid/>
        <w:spacing w:line="500" w:lineRule="exact"/>
        <w:ind w:left="1031" w:leftChars="200" w:hanging="611" w:hangingChars="290"/>
        <w:textAlignment w:val="auto"/>
        <w:outlineLvl w:val="1"/>
        <w:rPr>
          <w:rFonts w:ascii="黑体" w:hAnsi="黑体" w:eastAsia="黑体"/>
          <w:highlight w:val="none"/>
        </w:rPr>
      </w:pPr>
      <w:r>
        <w:rPr>
          <w:rFonts w:hint="eastAsia" w:ascii="黑体" w:hAnsi="黑体" w:eastAsia="黑体"/>
          <w:b/>
          <w:bCs/>
          <w:highlight w:val="none"/>
        </w:rPr>
        <w:t>一、项目名称</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highlight w:val="none"/>
        </w:rPr>
      </w:pPr>
      <w:r>
        <w:rPr>
          <w:rFonts w:hint="eastAsia" w:ascii="宋体" w:hAnsi="Courier New"/>
          <w:highlight w:val="none"/>
          <w:lang w:eastAsia="zh-CN"/>
        </w:rPr>
        <w:t>中国重汽海外营销人员素质提升培训项目</w:t>
      </w:r>
      <w:r>
        <w:rPr>
          <w:rFonts w:hint="eastAsia"/>
          <w:highlight w:val="none"/>
        </w:rPr>
        <w:t>。</w:t>
      </w:r>
    </w:p>
    <w:p>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1"/>
        <w:rPr>
          <w:rFonts w:ascii="黑体" w:hAnsi="黑体" w:eastAsia="黑体"/>
          <w:b/>
          <w:bCs/>
          <w:highlight w:val="none"/>
        </w:rPr>
      </w:pPr>
      <w:r>
        <w:rPr>
          <w:rFonts w:hint="eastAsia" w:ascii="黑体" w:hAnsi="黑体" w:eastAsia="黑体" w:cstheme="minorBidi"/>
          <w:b/>
          <w:bCs/>
          <w:szCs w:val="22"/>
          <w:highlight w:val="none"/>
        </w:rPr>
        <w:t>二、标的组成及分类</w:t>
      </w:r>
    </w:p>
    <w:p>
      <w:pPr>
        <w:pStyle w:val="9"/>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highlight w:val="none"/>
          <w:lang w:val="en-US" w:eastAsia="zh-CN"/>
        </w:rPr>
      </w:pPr>
      <w:r>
        <w:rPr>
          <w:rFonts w:hint="eastAsia"/>
          <w:highlight w:val="none"/>
          <w:lang w:eastAsia="zh-CN"/>
        </w:rPr>
        <w:t>中国重汽海外营销人员素质提升培训项目</w:t>
      </w:r>
      <w:r>
        <w:rPr>
          <w:rFonts w:hint="eastAsia"/>
          <w:highlight w:val="none"/>
          <w:lang w:val="en-US" w:eastAsia="zh-CN"/>
        </w:rPr>
        <w:t>共4期，2个班/期，</w:t>
      </w:r>
      <w:r>
        <w:rPr>
          <w:rFonts w:hint="eastAsia"/>
          <w:highlight w:val="none"/>
        </w:rPr>
        <w:t>约25人/班</w:t>
      </w:r>
      <w:r>
        <w:rPr>
          <w:rFonts w:hint="eastAsia"/>
          <w:highlight w:val="none"/>
          <w:lang w:eastAsia="zh-CN"/>
        </w:rPr>
        <w:t>。</w:t>
      </w:r>
      <w:r>
        <w:rPr>
          <w:rFonts w:hint="eastAsia"/>
          <w:highlight w:val="none"/>
          <w:lang w:val="en-US" w:eastAsia="zh-CN"/>
        </w:rPr>
        <w:t>外部课程分为2个包进行招标，具体内容如下：</w:t>
      </w:r>
    </w:p>
    <w:tbl>
      <w:tblPr>
        <w:tblStyle w:val="18"/>
        <w:tblpPr w:leftFromText="180" w:rightFromText="180" w:vertAnchor="text" w:horzAnchor="page" w:tblpX="1465" w:tblpY="373"/>
        <w:tblOverlap w:val="never"/>
        <w:tblW w:w="962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04"/>
        <w:gridCol w:w="578"/>
        <w:gridCol w:w="2196"/>
        <w:gridCol w:w="1791"/>
        <w:gridCol w:w="794"/>
        <w:gridCol w:w="29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黑体" w:hAnsi="宋体" w:eastAsia="黑体" w:cs="黑体"/>
                <w:b/>
                <w:bCs/>
                <w:i w:val="0"/>
                <w:iCs w:val="0"/>
                <w:color w:val="000000"/>
                <w:sz w:val="18"/>
                <w:szCs w:val="18"/>
                <w:highlight w:val="none"/>
                <w:u w:val="none"/>
              </w:rPr>
            </w:pPr>
            <w:r>
              <w:rPr>
                <w:rFonts w:hint="eastAsia" w:ascii="黑体" w:hAnsi="宋体" w:eastAsia="黑体" w:cs="黑体"/>
                <w:b/>
                <w:bCs/>
                <w:i w:val="0"/>
                <w:iCs w:val="0"/>
                <w:color w:val="000000"/>
                <w:kern w:val="0"/>
                <w:sz w:val="18"/>
                <w:szCs w:val="18"/>
                <w:highlight w:val="none"/>
                <w:u w:val="none"/>
                <w:lang w:val="en-US" w:eastAsia="zh-CN" w:bidi="ar"/>
              </w:rPr>
              <w:t>分包</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18"/>
                <w:szCs w:val="18"/>
                <w:highlight w:val="none"/>
                <w:u w:val="none"/>
              </w:rPr>
            </w:pPr>
            <w:r>
              <w:rPr>
                <w:rFonts w:hint="eastAsia" w:ascii="黑体" w:hAnsi="宋体" w:eastAsia="黑体" w:cs="黑体"/>
                <w:b/>
                <w:bCs/>
                <w:i w:val="0"/>
                <w:iCs w:val="0"/>
                <w:color w:val="000000"/>
                <w:kern w:val="0"/>
                <w:sz w:val="18"/>
                <w:szCs w:val="18"/>
                <w:highlight w:val="none"/>
                <w:u w:val="none"/>
                <w:lang w:val="en-US" w:eastAsia="zh-CN" w:bidi="ar"/>
              </w:rPr>
              <w:t>序号</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18"/>
                <w:szCs w:val="18"/>
                <w:highlight w:val="none"/>
                <w:u w:val="none"/>
              </w:rPr>
            </w:pPr>
            <w:r>
              <w:rPr>
                <w:rFonts w:hint="eastAsia" w:ascii="黑体" w:hAnsi="宋体" w:eastAsia="黑体" w:cs="黑体"/>
                <w:b/>
                <w:bCs/>
                <w:i w:val="0"/>
                <w:iCs w:val="0"/>
                <w:color w:val="000000"/>
                <w:kern w:val="0"/>
                <w:sz w:val="18"/>
                <w:szCs w:val="18"/>
                <w:highlight w:val="none"/>
                <w:u w:val="none"/>
                <w:lang w:val="en-US" w:eastAsia="zh-CN" w:bidi="ar"/>
              </w:rPr>
              <w:t>课程名称</w:t>
            </w:r>
          </w:p>
        </w:tc>
        <w:tc>
          <w:tcPr>
            <w:tcW w:w="1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18"/>
                <w:szCs w:val="18"/>
                <w:highlight w:val="none"/>
                <w:u w:val="none"/>
              </w:rPr>
            </w:pPr>
            <w:r>
              <w:rPr>
                <w:rFonts w:hint="eastAsia" w:ascii="黑体" w:hAnsi="宋体" w:eastAsia="黑体" w:cs="黑体"/>
                <w:b/>
                <w:bCs/>
                <w:i w:val="0"/>
                <w:iCs w:val="0"/>
                <w:color w:val="000000"/>
                <w:kern w:val="0"/>
                <w:sz w:val="18"/>
                <w:szCs w:val="18"/>
                <w:highlight w:val="none"/>
                <w:u w:val="none"/>
                <w:lang w:val="en-US" w:eastAsia="zh-CN" w:bidi="ar"/>
              </w:rPr>
              <w:t>规格型号</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18"/>
                <w:szCs w:val="18"/>
                <w:highlight w:val="none"/>
                <w:u w:val="none"/>
              </w:rPr>
            </w:pPr>
            <w:r>
              <w:rPr>
                <w:rFonts w:hint="eastAsia" w:ascii="黑体" w:hAnsi="宋体" w:eastAsia="黑体" w:cs="黑体"/>
                <w:b/>
                <w:bCs/>
                <w:i w:val="0"/>
                <w:iCs w:val="0"/>
                <w:color w:val="000000"/>
                <w:kern w:val="0"/>
                <w:sz w:val="18"/>
                <w:szCs w:val="18"/>
                <w:highlight w:val="none"/>
                <w:u w:val="none"/>
                <w:lang w:val="en-US" w:eastAsia="zh-CN" w:bidi="ar"/>
              </w:rPr>
              <w:t>数量</w:t>
            </w:r>
          </w:p>
        </w:tc>
        <w:tc>
          <w:tcPr>
            <w:tcW w:w="2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18"/>
                <w:szCs w:val="18"/>
                <w:highlight w:val="none"/>
                <w:u w:val="none"/>
              </w:rPr>
            </w:pPr>
            <w:r>
              <w:rPr>
                <w:rFonts w:hint="eastAsia" w:ascii="黑体" w:hAnsi="宋体" w:eastAsia="黑体" w:cs="黑体"/>
                <w:b/>
                <w:bCs/>
                <w:i w:val="0"/>
                <w:iCs w:val="0"/>
                <w:color w:val="000000"/>
                <w:kern w:val="0"/>
                <w:sz w:val="18"/>
                <w:szCs w:val="18"/>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3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包1：</w:t>
            </w:r>
          </w:p>
          <w:p>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sz w:val="18"/>
                <w:szCs w:val="18"/>
                <w:highlight w:val="none"/>
                <w:lang w:val="en-US" w:eastAsia="zh-CN"/>
              </w:rPr>
              <w:t>形势政策与营销工具课程</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区域市场环境与形势解析</w:t>
            </w:r>
          </w:p>
        </w:tc>
        <w:tc>
          <w:tcPr>
            <w:tcW w:w="17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元/</w:t>
            </w:r>
            <w:r>
              <w:rPr>
                <w:rFonts w:hint="eastAsia" w:ascii="宋体" w:hAnsi="宋体" w:cs="宋体"/>
                <w:i w:val="0"/>
                <w:iCs w:val="0"/>
                <w:color w:val="000000"/>
                <w:kern w:val="0"/>
                <w:sz w:val="18"/>
                <w:szCs w:val="18"/>
                <w:highlight w:val="none"/>
                <w:u w:val="none"/>
                <w:lang w:val="en-US" w:eastAsia="zh-CN" w:bidi="ar"/>
              </w:rPr>
              <w:t>小时</w:t>
            </w:r>
          </w:p>
        </w:tc>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Fonts w:hint="eastAsia" w:ascii="宋体" w:hAnsi="宋体" w:cs="宋体"/>
                <w:i w:val="0"/>
                <w:iCs w:val="0"/>
                <w:color w:val="000000"/>
                <w:kern w:val="0"/>
                <w:sz w:val="18"/>
                <w:szCs w:val="18"/>
                <w:highlight w:val="none"/>
                <w:u w:val="none"/>
                <w:lang w:val="en-US" w:eastAsia="zh-CN" w:bidi="ar"/>
              </w:rPr>
              <w:t>32小时</w:t>
            </w:r>
          </w:p>
        </w:tc>
        <w:tc>
          <w:tcPr>
            <w:tcW w:w="2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cs="宋体"/>
                <w:i w:val="0"/>
                <w:iCs w:val="0"/>
                <w:color w:val="000000"/>
                <w:kern w:val="0"/>
                <w:sz w:val="18"/>
                <w:szCs w:val="18"/>
                <w:highlight w:val="none"/>
                <w:u w:val="none"/>
                <w:lang w:val="en-US" w:eastAsia="zh-CN" w:bidi="ar"/>
              </w:rPr>
              <w:t>8小时</w:t>
            </w:r>
            <w:r>
              <w:rPr>
                <w:rFonts w:hint="eastAsia" w:ascii="宋体" w:hAnsi="宋体" w:eastAsia="宋体" w:cs="宋体"/>
                <w:i w:val="0"/>
                <w:iCs w:val="0"/>
                <w:color w:val="000000"/>
                <w:kern w:val="0"/>
                <w:sz w:val="18"/>
                <w:szCs w:val="18"/>
                <w:highlight w:val="none"/>
                <w:u w:val="none"/>
                <w:lang w:val="en-US" w:eastAsia="zh-CN" w:bidi="ar"/>
              </w:rPr>
              <w:t>/期，共开展4期，集中授课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18"/>
                <w:szCs w:val="18"/>
                <w:highlight w:val="none"/>
                <w:u w:val="none"/>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绕车讲解及车辆专业知识</w:t>
            </w:r>
          </w:p>
        </w:tc>
        <w:tc>
          <w:tcPr>
            <w:tcW w:w="17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元/</w:t>
            </w:r>
            <w:r>
              <w:rPr>
                <w:rFonts w:hint="eastAsia" w:ascii="宋体" w:hAnsi="宋体" w:cs="宋体"/>
                <w:i w:val="0"/>
                <w:iCs w:val="0"/>
                <w:color w:val="000000"/>
                <w:kern w:val="0"/>
                <w:sz w:val="18"/>
                <w:szCs w:val="18"/>
                <w:highlight w:val="none"/>
                <w:u w:val="none"/>
                <w:lang w:val="en-US" w:eastAsia="zh-CN" w:bidi="ar"/>
              </w:rPr>
              <w:t>小时</w:t>
            </w:r>
          </w:p>
        </w:tc>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Fonts w:hint="eastAsia" w:ascii="宋体" w:hAnsi="宋体" w:cs="宋体"/>
                <w:i w:val="0"/>
                <w:iCs w:val="0"/>
                <w:color w:val="000000"/>
                <w:kern w:val="0"/>
                <w:sz w:val="18"/>
                <w:szCs w:val="18"/>
                <w:highlight w:val="none"/>
                <w:u w:val="none"/>
                <w:lang w:val="en-US" w:eastAsia="zh-CN" w:bidi="ar"/>
              </w:rPr>
              <w:t>64小时</w:t>
            </w:r>
          </w:p>
        </w:tc>
        <w:tc>
          <w:tcPr>
            <w:tcW w:w="2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cs="宋体"/>
                <w:i w:val="0"/>
                <w:iCs w:val="0"/>
                <w:color w:val="000000"/>
                <w:kern w:val="0"/>
                <w:sz w:val="18"/>
                <w:szCs w:val="18"/>
                <w:highlight w:val="none"/>
                <w:u w:val="none"/>
                <w:lang w:val="en-US" w:eastAsia="zh-CN" w:bidi="ar"/>
              </w:rPr>
              <w:t>16小时</w:t>
            </w:r>
            <w:r>
              <w:rPr>
                <w:rFonts w:hint="eastAsia" w:ascii="宋体" w:hAnsi="宋体" w:eastAsia="宋体" w:cs="宋体"/>
                <w:i w:val="0"/>
                <w:iCs w:val="0"/>
                <w:color w:val="000000"/>
                <w:kern w:val="0"/>
                <w:sz w:val="18"/>
                <w:szCs w:val="18"/>
                <w:highlight w:val="none"/>
                <w:u w:val="none"/>
                <w:lang w:val="en-US" w:eastAsia="zh-CN" w:bidi="ar"/>
              </w:rPr>
              <w:t>/期，共开展4期，分班授课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18"/>
                <w:szCs w:val="18"/>
                <w:highlight w:val="none"/>
                <w:u w:val="none"/>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车队客户开发与管理</w:t>
            </w:r>
          </w:p>
        </w:tc>
        <w:tc>
          <w:tcPr>
            <w:tcW w:w="17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元/</w:t>
            </w:r>
            <w:r>
              <w:rPr>
                <w:rFonts w:hint="eastAsia" w:ascii="宋体" w:hAnsi="宋体" w:cs="宋体"/>
                <w:i w:val="0"/>
                <w:iCs w:val="0"/>
                <w:color w:val="000000"/>
                <w:kern w:val="0"/>
                <w:sz w:val="18"/>
                <w:szCs w:val="18"/>
                <w:highlight w:val="none"/>
                <w:u w:val="none"/>
                <w:lang w:val="en-US" w:eastAsia="zh-CN" w:bidi="ar"/>
              </w:rPr>
              <w:t>小时</w:t>
            </w:r>
          </w:p>
        </w:tc>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cs="宋体"/>
                <w:i w:val="0"/>
                <w:iCs w:val="0"/>
                <w:color w:val="000000"/>
                <w:kern w:val="0"/>
                <w:sz w:val="18"/>
                <w:szCs w:val="18"/>
                <w:highlight w:val="none"/>
                <w:u w:val="none"/>
                <w:lang w:val="en-US" w:eastAsia="zh-CN" w:bidi="ar"/>
              </w:rPr>
              <w:t>64小时</w:t>
            </w:r>
          </w:p>
        </w:tc>
        <w:tc>
          <w:tcPr>
            <w:tcW w:w="2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cs="宋体"/>
                <w:i w:val="0"/>
                <w:iCs w:val="0"/>
                <w:color w:val="000000"/>
                <w:kern w:val="0"/>
                <w:sz w:val="18"/>
                <w:szCs w:val="18"/>
                <w:highlight w:val="none"/>
                <w:u w:val="none"/>
                <w:lang w:val="en-US" w:eastAsia="zh-CN" w:bidi="ar"/>
              </w:rPr>
              <w:t>16小时</w:t>
            </w:r>
            <w:r>
              <w:rPr>
                <w:rFonts w:hint="eastAsia" w:ascii="宋体" w:hAnsi="宋体" w:eastAsia="宋体" w:cs="宋体"/>
                <w:i w:val="0"/>
                <w:iCs w:val="0"/>
                <w:color w:val="000000"/>
                <w:kern w:val="0"/>
                <w:sz w:val="18"/>
                <w:szCs w:val="18"/>
                <w:highlight w:val="none"/>
                <w:u w:val="none"/>
                <w:lang w:val="en-US" w:eastAsia="zh-CN" w:bidi="ar"/>
              </w:rPr>
              <w:t>/期，共开展4期，集中授课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3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sz w:val="18"/>
                <w:szCs w:val="18"/>
                <w:highlight w:val="none"/>
                <w:lang w:val="en-US" w:eastAsia="zh-CN"/>
              </w:rPr>
            </w:pPr>
            <w:r>
              <w:rPr>
                <w:rFonts w:hint="eastAsia" w:ascii="宋体" w:hAnsi="宋体" w:eastAsia="宋体" w:cs="宋体"/>
                <w:b/>
                <w:bCs/>
                <w:sz w:val="18"/>
                <w:szCs w:val="18"/>
                <w:highlight w:val="none"/>
                <w:lang w:val="en-US" w:eastAsia="zh-CN"/>
              </w:rPr>
              <w:t>包2：</w:t>
            </w:r>
          </w:p>
          <w:p>
            <w:pPr>
              <w:pStyle w:val="12"/>
              <w:jc w:val="center"/>
              <w:rPr>
                <w:rFonts w:hint="eastAsia" w:ascii="宋体" w:hAnsi="宋体" w:eastAsia="宋体" w:cs="宋体"/>
                <w:sz w:val="18"/>
                <w:szCs w:val="18"/>
                <w:highlight w:val="none"/>
              </w:rPr>
            </w:pPr>
            <w:r>
              <w:rPr>
                <w:rFonts w:hint="eastAsia" w:ascii="宋体" w:hAnsi="宋体" w:eastAsia="宋体" w:cs="宋体"/>
                <w:b/>
                <w:bCs/>
                <w:sz w:val="18"/>
                <w:szCs w:val="18"/>
                <w:highlight w:val="none"/>
                <w:lang w:val="en-US" w:eastAsia="zh-CN"/>
              </w:rPr>
              <w:t>素质测评与管理提升课程</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素质测评及测评解读</w:t>
            </w:r>
          </w:p>
        </w:tc>
        <w:tc>
          <w:tcPr>
            <w:tcW w:w="1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元/人</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lang w:val="en-US"/>
              </w:rPr>
            </w:pPr>
            <w:r>
              <w:rPr>
                <w:rFonts w:hint="eastAsia" w:ascii="宋体" w:hAnsi="宋体" w:eastAsia="宋体" w:cs="宋体"/>
                <w:i w:val="0"/>
                <w:iCs w:val="0"/>
                <w:color w:val="000000"/>
                <w:kern w:val="0"/>
                <w:sz w:val="18"/>
                <w:szCs w:val="18"/>
                <w:highlight w:val="none"/>
                <w:u w:val="none"/>
                <w:lang w:val="en-US" w:eastAsia="zh-CN" w:bidi="ar"/>
              </w:rPr>
              <w:t>200人</w:t>
            </w:r>
          </w:p>
        </w:tc>
        <w:tc>
          <w:tcPr>
            <w:tcW w:w="2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具体数量根据实际参训人数确定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highlight w:val="none"/>
                <w:u w:val="none"/>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结构性思维</w:t>
            </w:r>
          </w:p>
        </w:tc>
        <w:tc>
          <w:tcPr>
            <w:tcW w:w="17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元/</w:t>
            </w:r>
            <w:r>
              <w:rPr>
                <w:rFonts w:hint="eastAsia" w:ascii="宋体" w:hAnsi="宋体" w:cs="宋体"/>
                <w:i w:val="0"/>
                <w:iCs w:val="0"/>
                <w:color w:val="000000"/>
                <w:kern w:val="0"/>
                <w:sz w:val="18"/>
                <w:szCs w:val="18"/>
                <w:highlight w:val="none"/>
                <w:u w:val="none"/>
                <w:lang w:val="en-US" w:eastAsia="zh-CN" w:bidi="ar"/>
              </w:rPr>
              <w:t>小时</w:t>
            </w:r>
          </w:p>
        </w:tc>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cs="宋体"/>
                <w:i w:val="0"/>
                <w:iCs w:val="0"/>
                <w:color w:val="000000"/>
                <w:kern w:val="0"/>
                <w:sz w:val="18"/>
                <w:szCs w:val="18"/>
                <w:highlight w:val="none"/>
                <w:u w:val="none"/>
                <w:lang w:val="en-US" w:eastAsia="zh-CN" w:bidi="ar"/>
              </w:rPr>
              <w:t>64小时</w:t>
            </w:r>
          </w:p>
        </w:tc>
        <w:tc>
          <w:tcPr>
            <w:tcW w:w="2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cs="宋体"/>
                <w:i w:val="0"/>
                <w:iCs w:val="0"/>
                <w:color w:val="000000"/>
                <w:kern w:val="0"/>
                <w:sz w:val="18"/>
                <w:szCs w:val="18"/>
                <w:highlight w:val="none"/>
                <w:u w:val="none"/>
                <w:lang w:val="en-US" w:eastAsia="zh-CN" w:bidi="ar"/>
              </w:rPr>
              <w:t>16小时</w:t>
            </w:r>
            <w:r>
              <w:rPr>
                <w:rFonts w:hint="eastAsia" w:ascii="宋体" w:hAnsi="宋体" w:eastAsia="宋体" w:cs="宋体"/>
                <w:i w:val="0"/>
                <w:iCs w:val="0"/>
                <w:color w:val="000000"/>
                <w:kern w:val="0"/>
                <w:sz w:val="18"/>
                <w:szCs w:val="18"/>
                <w:highlight w:val="none"/>
                <w:u w:val="none"/>
                <w:lang w:val="en-US" w:eastAsia="zh-CN" w:bidi="ar"/>
              </w:rPr>
              <w:t>/期，共开展4期，分班授课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highlight w:val="none"/>
                <w:u w:val="none"/>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问题分析与解决</w:t>
            </w:r>
          </w:p>
        </w:tc>
        <w:tc>
          <w:tcPr>
            <w:tcW w:w="17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元/</w:t>
            </w:r>
            <w:r>
              <w:rPr>
                <w:rFonts w:hint="eastAsia" w:ascii="宋体" w:hAnsi="宋体" w:cs="宋体"/>
                <w:i w:val="0"/>
                <w:iCs w:val="0"/>
                <w:color w:val="000000"/>
                <w:kern w:val="0"/>
                <w:sz w:val="18"/>
                <w:szCs w:val="18"/>
                <w:highlight w:val="none"/>
                <w:u w:val="none"/>
                <w:lang w:val="en-US" w:eastAsia="zh-CN" w:bidi="ar"/>
              </w:rPr>
              <w:t>小时</w:t>
            </w:r>
          </w:p>
        </w:tc>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cs="宋体"/>
                <w:i w:val="0"/>
                <w:iCs w:val="0"/>
                <w:color w:val="000000"/>
                <w:kern w:val="0"/>
                <w:sz w:val="18"/>
                <w:szCs w:val="18"/>
                <w:highlight w:val="none"/>
                <w:u w:val="none"/>
                <w:lang w:val="en-US" w:eastAsia="zh-CN" w:bidi="ar"/>
              </w:rPr>
              <w:t>64小时</w:t>
            </w:r>
          </w:p>
        </w:tc>
        <w:tc>
          <w:tcPr>
            <w:tcW w:w="2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cs="宋体"/>
                <w:i w:val="0"/>
                <w:iCs w:val="0"/>
                <w:color w:val="000000"/>
                <w:kern w:val="0"/>
                <w:sz w:val="18"/>
                <w:szCs w:val="18"/>
                <w:highlight w:val="none"/>
                <w:u w:val="none"/>
                <w:lang w:val="en-US" w:eastAsia="zh-CN" w:bidi="ar"/>
              </w:rPr>
              <w:t>16小时</w:t>
            </w:r>
            <w:r>
              <w:rPr>
                <w:rFonts w:hint="eastAsia" w:ascii="宋体" w:hAnsi="宋体" w:eastAsia="宋体" w:cs="宋体"/>
                <w:i w:val="0"/>
                <w:iCs w:val="0"/>
                <w:color w:val="000000"/>
                <w:kern w:val="0"/>
                <w:sz w:val="18"/>
                <w:szCs w:val="18"/>
                <w:highlight w:val="none"/>
                <w:u w:val="none"/>
                <w:lang w:val="en-US" w:eastAsia="zh-CN" w:bidi="ar"/>
              </w:rPr>
              <w:t>/期，共开展4期，分班授课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highlight w:val="none"/>
                <w:u w:val="none"/>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从管理到领导</w:t>
            </w:r>
          </w:p>
        </w:tc>
        <w:tc>
          <w:tcPr>
            <w:tcW w:w="17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元/</w:t>
            </w:r>
            <w:r>
              <w:rPr>
                <w:rFonts w:hint="eastAsia" w:ascii="宋体" w:hAnsi="宋体" w:cs="宋体"/>
                <w:i w:val="0"/>
                <w:iCs w:val="0"/>
                <w:color w:val="000000"/>
                <w:kern w:val="0"/>
                <w:sz w:val="18"/>
                <w:szCs w:val="18"/>
                <w:highlight w:val="none"/>
                <w:u w:val="none"/>
                <w:lang w:val="en-US" w:eastAsia="zh-CN" w:bidi="ar"/>
              </w:rPr>
              <w:t>小时</w:t>
            </w:r>
          </w:p>
        </w:tc>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Fonts w:hint="eastAsia" w:ascii="宋体" w:hAnsi="宋体" w:cs="宋体"/>
                <w:i w:val="0"/>
                <w:iCs w:val="0"/>
                <w:color w:val="000000"/>
                <w:kern w:val="0"/>
                <w:sz w:val="18"/>
                <w:szCs w:val="18"/>
                <w:highlight w:val="none"/>
                <w:u w:val="none"/>
                <w:lang w:val="en-US" w:eastAsia="zh-CN" w:bidi="ar"/>
              </w:rPr>
              <w:t>96小时</w:t>
            </w:r>
          </w:p>
        </w:tc>
        <w:tc>
          <w:tcPr>
            <w:tcW w:w="2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cs="宋体"/>
                <w:i w:val="0"/>
                <w:iCs w:val="0"/>
                <w:color w:val="000000"/>
                <w:kern w:val="0"/>
                <w:sz w:val="18"/>
                <w:szCs w:val="18"/>
                <w:highlight w:val="none"/>
                <w:u w:val="none"/>
                <w:lang w:val="en-US" w:eastAsia="zh-CN" w:bidi="ar"/>
              </w:rPr>
              <w:t>24小时</w:t>
            </w:r>
            <w:r>
              <w:rPr>
                <w:rFonts w:hint="eastAsia" w:ascii="宋体" w:hAnsi="宋体" w:eastAsia="宋体" w:cs="宋体"/>
                <w:i w:val="0"/>
                <w:iCs w:val="0"/>
                <w:color w:val="000000"/>
                <w:kern w:val="0"/>
                <w:sz w:val="18"/>
                <w:szCs w:val="18"/>
                <w:highlight w:val="none"/>
                <w:u w:val="none"/>
                <w:lang w:val="en-US" w:eastAsia="zh-CN" w:bidi="ar"/>
              </w:rPr>
              <w:t>/期，共开展4期，分班授课</w:t>
            </w:r>
          </w:p>
        </w:tc>
      </w:tr>
    </w:tbl>
    <w:p>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1"/>
        <w:rPr>
          <w:rFonts w:ascii="黑体" w:hAnsi="黑体" w:eastAsia="黑体"/>
          <w:b/>
          <w:bCs/>
          <w:highlight w:val="none"/>
        </w:rPr>
      </w:pPr>
      <w:r>
        <w:rPr>
          <w:rFonts w:hint="eastAsia" w:ascii="黑体" w:hAnsi="黑体" w:eastAsia="黑体" w:cstheme="minorBidi"/>
          <w:b/>
          <w:bCs/>
          <w:szCs w:val="22"/>
          <w:highlight w:val="none"/>
        </w:rPr>
        <w:t>三、技术要求</w:t>
      </w:r>
    </w:p>
    <w:p>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2"/>
        <w:rPr>
          <w:rFonts w:hint="default" w:ascii="宋体" w:hAnsi="Courier New"/>
          <w:b/>
          <w:bCs/>
          <w:highlight w:val="none"/>
          <w:lang w:val="en-US" w:eastAsia="zh-CN"/>
        </w:rPr>
      </w:pPr>
      <w:r>
        <w:rPr>
          <w:rFonts w:hint="eastAsia" w:ascii="宋体" w:hAnsi="Courier New"/>
          <w:b/>
          <w:bCs/>
          <w:highlight w:val="none"/>
          <w:lang w:val="en-US" w:eastAsia="zh-CN"/>
        </w:rPr>
        <w:t>1.形势政策与营销工具课程</w:t>
      </w:r>
    </w:p>
    <w:p>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2"/>
        <w:rPr>
          <w:rFonts w:hint="eastAsia" w:ascii="宋体" w:hAnsi="Courier New"/>
          <w:b/>
          <w:bCs/>
          <w:highlight w:val="none"/>
          <w:lang w:val="en-US" w:eastAsia="zh-CN"/>
        </w:rPr>
      </w:pPr>
      <w:bookmarkStart w:id="20" w:name="OLE_LINK1"/>
      <w:r>
        <w:rPr>
          <w:rFonts w:hint="eastAsia" w:ascii="宋体" w:hAnsi="Courier New"/>
          <w:b/>
          <w:bCs/>
          <w:highlight w:val="none"/>
          <w:lang w:val="en-US" w:eastAsia="zh-CN"/>
        </w:rPr>
        <w:t>（1）《区域市场环境与形势解析》</w:t>
      </w:r>
    </w:p>
    <w:p>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rPr>
          <w:rFonts w:hint="eastAsia" w:ascii="宋体" w:hAnsi="Courier New" w:eastAsia="宋体" w:cs="Times New Roman"/>
          <w:kern w:val="2"/>
          <w:sz w:val="21"/>
          <w:szCs w:val="20"/>
          <w:highlight w:val="none"/>
          <w:lang w:val="en-US" w:eastAsia="zh-CN" w:bidi="ar-SA"/>
        </w:rPr>
      </w:pPr>
      <w:r>
        <w:rPr>
          <w:rFonts w:hint="eastAsia" w:ascii="宋体" w:hAnsi="Courier New"/>
          <w:b/>
          <w:bCs/>
          <w:highlight w:val="none"/>
          <w:lang w:val="en-US" w:eastAsia="zh-CN"/>
        </w:rPr>
        <w:t>课程目标：</w:t>
      </w:r>
      <w:r>
        <w:rPr>
          <w:rFonts w:hint="eastAsia" w:ascii="宋体" w:hAnsi="Courier New" w:eastAsia="宋体" w:cs="Times New Roman"/>
          <w:kern w:val="2"/>
          <w:sz w:val="21"/>
          <w:szCs w:val="20"/>
          <w:highlight w:val="none"/>
          <w:lang w:val="en-US" w:eastAsia="zh-CN" w:bidi="ar-SA"/>
        </w:rPr>
        <w:t>帮助学员全面了解全球贸易环境、中美贸易战、贸易保护主义、大宗贸易的营销与监管以及中国企业国际形象等宏观因素对装备制造行业，尤其是重、轻卡行业的多维度影响。</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宋体" w:hAnsi="Courier New"/>
          <w:highlight w:val="none"/>
          <w:lang w:val="en-US" w:eastAsia="zh-CN"/>
        </w:rPr>
      </w:pPr>
      <w:r>
        <w:rPr>
          <w:rFonts w:hint="eastAsia" w:ascii="宋体" w:hAnsi="Courier New"/>
          <w:highlight w:val="none"/>
          <w:lang w:val="en-US" w:eastAsia="zh-CN"/>
        </w:rPr>
        <w:t>课程内容要求：需紧跟国际最新形势，重点对海外市场覆盖地区的政治影响、区域经济状况、法律规范、区域市场特点（特别是重、轻卡市场）和市场开拓要素（区分传统市场、高端市场、战略市场）等内容进行解读。统筹考虑授课期数与大区分布情况，将大区</w:t>
      </w:r>
      <w:r>
        <w:rPr>
          <w:rFonts w:hint="eastAsia" w:ascii="黑体" w:hAnsi="黑体" w:eastAsia="黑体" w:cs="黑体"/>
          <w:b/>
          <w:bCs/>
          <w:kern w:val="2"/>
          <w:sz w:val="21"/>
          <w:szCs w:val="20"/>
          <w:highlight w:val="none"/>
          <w:lang w:val="en-US" w:eastAsia="zh-CN" w:bidi="ar-SA"/>
        </w:rPr>
        <w:t>按照重卡市场的特点划分为4个区域</w:t>
      </w:r>
      <w:r>
        <w:rPr>
          <w:rFonts w:hint="eastAsia" w:ascii="宋体" w:hAnsi="Courier New"/>
          <w:highlight w:val="none"/>
          <w:lang w:val="en-US" w:eastAsia="zh-CN"/>
        </w:rPr>
        <w:t>，结合区域特点，定制化设计课程，实现差异化授课。具体划分如下：</w:t>
      </w:r>
    </w:p>
    <w:p>
      <w:pPr>
        <w:pStyle w:val="12"/>
        <w:keepNext w:val="0"/>
        <w:keepLines w:val="0"/>
        <w:pageBreakBefore w:val="0"/>
        <w:widowControl w:val="0"/>
        <w:kinsoku/>
        <w:wordWrap/>
        <w:overflowPunct/>
        <w:topLinePunct w:val="0"/>
        <w:autoSpaceDE/>
        <w:autoSpaceDN/>
        <w:bidi w:val="0"/>
        <w:adjustRightInd/>
        <w:spacing w:line="500" w:lineRule="exact"/>
        <w:ind w:firstLine="422" w:firstLineChars="200"/>
        <w:textAlignment w:val="auto"/>
        <w:rPr>
          <w:rFonts w:hint="eastAsia" w:ascii="宋体" w:hAnsi="Courier New" w:eastAsia="宋体" w:cs="Times New Roman"/>
          <w:b/>
          <w:bCs/>
          <w:kern w:val="2"/>
          <w:sz w:val="21"/>
          <w:szCs w:val="20"/>
          <w:highlight w:val="none"/>
          <w:lang w:val="en-US" w:eastAsia="zh-CN" w:bidi="ar-SA"/>
        </w:rPr>
      </w:pPr>
      <w:r>
        <w:rPr>
          <w:rFonts w:hint="eastAsia" w:ascii="宋体" w:hAnsi="Courier New" w:cs="Times New Roman"/>
          <w:b/>
          <w:bCs/>
          <w:kern w:val="2"/>
          <w:sz w:val="21"/>
          <w:szCs w:val="20"/>
          <w:highlight w:val="none"/>
          <w:lang w:val="en-US" w:eastAsia="zh-CN" w:bidi="ar-SA"/>
        </w:rPr>
        <w:t>区域</w:t>
      </w:r>
      <w:r>
        <w:rPr>
          <w:rFonts w:hint="eastAsia" w:ascii="宋体" w:hAnsi="Courier New" w:eastAsia="宋体" w:cs="Times New Roman"/>
          <w:b/>
          <w:bCs/>
          <w:kern w:val="2"/>
          <w:sz w:val="21"/>
          <w:szCs w:val="20"/>
          <w:highlight w:val="none"/>
          <w:lang w:val="en-US" w:eastAsia="zh-CN" w:bidi="ar-SA"/>
        </w:rPr>
        <w:t>一：发展中国家</w:t>
      </w:r>
    </w:p>
    <w:p>
      <w:pPr>
        <w:pStyle w:val="12"/>
        <w:keepNext w:val="0"/>
        <w:keepLines w:val="0"/>
        <w:pageBreakBefore w:val="0"/>
        <w:widowControl w:val="0"/>
        <w:kinsoku/>
        <w:wordWrap/>
        <w:overflowPunct/>
        <w:topLinePunct w:val="0"/>
        <w:autoSpaceDE/>
        <w:autoSpaceDN/>
        <w:bidi w:val="0"/>
        <w:adjustRightInd/>
        <w:spacing w:line="500" w:lineRule="exact"/>
        <w:ind w:firstLine="420" w:firstLineChars="200"/>
        <w:textAlignment w:val="auto"/>
        <w:rPr>
          <w:rFonts w:hint="eastAsia" w:ascii="宋体" w:hAnsi="Courier New" w:eastAsia="宋体" w:cs="Times New Roman"/>
          <w:kern w:val="2"/>
          <w:sz w:val="21"/>
          <w:szCs w:val="20"/>
          <w:highlight w:val="none"/>
          <w:lang w:val="en-US" w:eastAsia="zh-CN" w:bidi="ar-SA"/>
        </w:rPr>
      </w:pPr>
      <w:r>
        <w:rPr>
          <w:rFonts w:hint="eastAsia" w:ascii="宋体" w:hAnsi="Courier New" w:eastAsia="宋体" w:cs="Times New Roman"/>
          <w:kern w:val="2"/>
          <w:sz w:val="21"/>
          <w:szCs w:val="20"/>
          <w:highlight w:val="none"/>
          <w:lang w:val="en-US" w:eastAsia="zh-CN" w:bidi="ar-SA"/>
        </w:rPr>
        <w:t>地区：非洲（尼日利亚、埃塞俄比亚、坦桑尼亚、刚果金、阿尔及利亚）、东南亚（越南、菲律宾、印尼、泰国）、中亚（哈萨克斯坦、乌兹别克斯坦）</w:t>
      </w:r>
    </w:p>
    <w:p>
      <w:pPr>
        <w:pStyle w:val="12"/>
        <w:keepNext w:val="0"/>
        <w:keepLines w:val="0"/>
        <w:pageBreakBefore w:val="0"/>
        <w:widowControl w:val="0"/>
        <w:kinsoku/>
        <w:wordWrap/>
        <w:overflowPunct/>
        <w:topLinePunct w:val="0"/>
        <w:autoSpaceDE/>
        <w:autoSpaceDN/>
        <w:bidi w:val="0"/>
        <w:adjustRightInd/>
        <w:spacing w:line="500" w:lineRule="exact"/>
        <w:ind w:firstLine="422" w:firstLineChars="200"/>
        <w:textAlignment w:val="auto"/>
        <w:rPr>
          <w:rFonts w:hint="eastAsia" w:ascii="宋体" w:hAnsi="Courier New" w:eastAsia="宋体" w:cs="Times New Roman"/>
          <w:b/>
          <w:bCs/>
          <w:kern w:val="2"/>
          <w:sz w:val="21"/>
          <w:szCs w:val="20"/>
          <w:highlight w:val="none"/>
          <w:lang w:val="en-US" w:eastAsia="zh-CN" w:bidi="ar-SA"/>
        </w:rPr>
      </w:pPr>
      <w:r>
        <w:rPr>
          <w:rFonts w:hint="eastAsia" w:ascii="宋体" w:hAnsi="Courier New" w:cs="Times New Roman"/>
          <w:b/>
          <w:bCs/>
          <w:kern w:val="2"/>
          <w:sz w:val="21"/>
          <w:szCs w:val="20"/>
          <w:highlight w:val="none"/>
          <w:lang w:val="en-US" w:eastAsia="zh-CN" w:bidi="ar-SA"/>
        </w:rPr>
        <w:t>区域</w:t>
      </w:r>
      <w:r>
        <w:rPr>
          <w:rFonts w:hint="eastAsia" w:ascii="宋体" w:hAnsi="Courier New" w:eastAsia="宋体" w:cs="Times New Roman"/>
          <w:b/>
          <w:bCs/>
          <w:kern w:val="2"/>
          <w:sz w:val="21"/>
          <w:szCs w:val="20"/>
          <w:highlight w:val="none"/>
          <w:lang w:val="en-US" w:eastAsia="zh-CN" w:bidi="ar-SA"/>
        </w:rPr>
        <w:t>二：新兴经济体</w:t>
      </w:r>
    </w:p>
    <w:p>
      <w:pPr>
        <w:pStyle w:val="12"/>
        <w:keepNext w:val="0"/>
        <w:keepLines w:val="0"/>
        <w:pageBreakBefore w:val="0"/>
        <w:widowControl w:val="0"/>
        <w:kinsoku/>
        <w:wordWrap/>
        <w:overflowPunct/>
        <w:topLinePunct w:val="0"/>
        <w:autoSpaceDE/>
        <w:autoSpaceDN/>
        <w:bidi w:val="0"/>
        <w:adjustRightInd/>
        <w:spacing w:line="500" w:lineRule="exact"/>
        <w:ind w:firstLine="420" w:firstLineChars="200"/>
        <w:textAlignment w:val="auto"/>
        <w:rPr>
          <w:rFonts w:hint="eastAsia" w:ascii="宋体" w:hAnsi="Courier New" w:eastAsia="宋体" w:cs="Times New Roman"/>
          <w:kern w:val="2"/>
          <w:sz w:val="21"/>
          <w:szCs w:val="20"/>
          <w:highlight w:val="none"/>
          <w:lang w:val="en-US" w:eastAsia="zh-CN" w:bidi="ar-SA"/>
        </w:rPr>
      </w:pPr>
      <w:r>
        <w:rPr>
          <w:rFonts w:hint="eastAsia" w:ascii="宋体" w:hAnsi="Courier New" w:eastAsia="宋体" w:cs="Times New Roman"/>
          <w:kern w:val="2"/>
          <w:sz w:val="21"/>
          <w:szCs w:val="20"/>
          <w:highlight w:val="none"/>
          <w:lang w:val="en-US" w:eastAsia="zh-CN" w:bidi="ar-SA"/>
        </w:rPr>
        <w:t>地区：拉丁美洲（墨西哥、智利、秘鲁）、阿根廷、中东（沙特）、南非</w:t>
      </w:r>
    </w:p>
    <w:p>
      <w:pPr>
        <w:pStyle w:val="12"/>
        <w:keepNext w:val="0"/>
        <w:keepLines w:val="0"/>
        <w:pageBreakBefore w:val="0"/>
        <w:widowControl w:val="0"/>
        <w:kinsoku/>
        <w:wordWrap/>
        <w:overflowPunct/>
        <w:topLinePunct w:val="0"/>
        <w:autoSpaceDE/>
        <w:autoSpaceDN/>
        <w:bidi w:val="0"/>
        <w:adjustRightInd/>
        <w:spacing w:line="500" w:lineRule="exact"/>
        <w:ind w:firstLine="422" w:firstLineChars="200"/>
        <w:textAlignment w:val="auto"/>
        <w:rPr>
          <w:rFonts w:hint="eastAsia" w:ascii="宋体" w:hAnsi="Courier New" w:eastAsia="宋体" w:cs="Times New Roman"/>
          <w:kern w:val="2"/>
          <w:sz w:val="21"/>
          <w:szCs w:val="20"/>
          <w:highlight w:val="none"/>
          <w:lang w:val="en-US" w:eastAsia="zh-CN" w:bidi="ar-SA"/>
        </w:rPr>
      </w:pPr>
      <w:r>
        <w:rPr>
          <w:rFonts w:hint="eastAsia" w:ascii="宋体" w:hAnsi="Courier New" w:cs="Times New Roman"/>
          <w:b/>
          <w:bCs/>
          <w:kern w:val="2"/>
          <w:sz w:val="21"/>
          <w:szCs w:val="20"/>
          <w:highlight w:val="none"/>
          <w:lang w:val="en-US" w:eastAsia="zh-CN" w:bidi="ar-SA"/>
        </w:rPr>
        <w:t>区域</w:t>
      </w:r>
      <w:r>
        <w:rPr>
          <w:rFonts w:hint="eastAsia" w:ascii="宋体" w:hAnsi="Courier New" w:eastAsia="宋体" w:cs="Times New Roman"/>
          <w:b/>
          <w:bCs/>
          <w:kern w:val="2"/>
          <w:sz w:val="21"/>
          <w:szCs w:val="20"/>
          <w:highlight w:val="none"/>
          <w:lang w:val="en-US" w:eastAsia="zh-CN" w:bidi="ar-SA"/>
        </w:rPr>
        <w:t>三：特殊市场</w:t>
      </w:r>
    </w:p>
    <w:p>
      <w:pPr>
        <w:pStyle w:val="12"/>
        <w:keepNext w:val="0"/>
        <w:keepLines w:val="0"/>
        <w:pageBreakBefore w:val="0"/>
        <w:widowControl w:val="0"/>
        <w:kinsoku/>
        <w:wordWrap/>
        <w:overflowPunct/>
        <w:topLinePunct w:val="0"/>
        <w:autoSpaceDE/>
        <w:autoSpaceDN/>
        <w:bidi w:val="0"/>
        <w:adjustRightInd/>
        <w:spacing w:line="500" w:lineRule="exact"/>
        <w:ind w:firstLine="420" w:firstLineChars="200"/>
        <w:textAlignment w:val="auto"/>
        <w:rPr>
          <w:rFonts w:hint="eastAsia" w:ascii="宋体" w:hAnsi="Courier New" w:eastAsia="宋体" w:cs="Times New Roman"/>
          <w:kern w:val="2"/>
          <w:sz w:val="21"/>
          <w:szCs w:val="20"/>
          <w:highlight w:val="none"/>
          <w:lang w:val="en-US" w:eastAsia="zh-CN" w:bidi="ar-SA"/>
        </w:rPr>
      </w:pPr>
      <w:r>
        <w:rPr>
          <w:rFonts w:hint="eastAsia" w:ascii="宋体" w:hAnsi="Courier New" w:eastAsia="宋体" w:cs="Times New Roman"/>
          <w:kern w:val="2"/>
          <w:sz w:val="21"/>
          <w:szCs w:val="20"/>
          <w:highlight w:val="none"/>
          <w:lang w:val="en-US" w:eastAsia="zh-CN" w:bidi="ar-SA"/>
        </w:rPr>
        <w:t>地区：俄罗斯、巴西</w:t>
      </w:r>
    </w:p>
    <w:p>
      <w:pPr>
        <w:pStyle w:val="12"/>
        <w:keepNext w:val="0"/>
        <w:keepLines w:val="0"/>
        <w:pageBreakBefore w:val="0"/>
        <w:widowControl w:val="0"/>
        <w:kinsoku/>
        <w:wordWrap/>
        <w:overflowPunct/>
        <w:topLinePunct w:val="0"/>
        <w:autoSpaceDE/>
        <w:autoSpaceDN/>
        <w:bidi w:val="0"/>
        <w:adjustRightInd/>
        <w:spacing w:line="500" w:lineRule="exact"/>
        <w:ind w:firstLine="422" w:firstLineChars="200"/>
        <w:textAlignment w:val="auto"/>
        <w:rPr>
          <w:rFonts w:hint="eastAsia" w:ascii="宋体" w:hAnsi="Courier New" w:eastAsia="宋体" w:cs="Times New Roman"/>
          <w:b/>
          <w:bCs/>
          <w:kern w:val="2"/>
          <w:sz w:val="21"/>
          <w:szCs w:val="20"/>
          <w:highlight w:val="none"/>
          <w:lang w:val="en-US" w:eastAsia="zh-CN" w:bidi="ar-SA"/>
        </w:rPr>
      </w:pPr>
      <w:r>
        <w:rPr>
          <w:rFonts w:hint="eastAsia" w:ascii="宋体" w:hAnsi="Courier New" w:cs="Times New Roman"/>
          <w:b/>
          <w:bCs/>
          <w:kern w:val="2"/>
          <w:sz w:val="21"/>
          <w:szCs w:val="20"/>
          <w:highlight w:val="none"/>
          <w:lang w:val="en-US" w:eastAsia="zh-CN" w:bidi="ar-SA"/>
        </w:rPr>
        <w:t>区域</w:t>
      </w:r>
      <w:r>
        <w:rPr>
          <w:rFonts w:hint="eastAsia" w:ascii="宋体" w:hAnsi="Courier New" w:eastAsia="宋体" w:cs="Times New Roman"/>
          <w:b/>
          <w:bCs/>
          <w:kern w:val="2"/>
          <w:sz w:val="21"/>
          <w:szCs w:val="20"/>
          <w:highlight w:val="none"/>
          <w:lang w:val="en-US" w:eastAsia="zh-CN" w:bidi="ar-SA"/>
        </w:rPr>
        <w:t>四：发达市场</w:t>
      </w:r>
    </w:p>
    <w:p>
      <w:pPr>
        <w:pStyle w:val="12"/>
        <w:keepNext w:val="0"/>
        <w:keepLines w:val="0"/>
        <w:pageBreakBefore w:val="0"/>
        <w:widowControl w:val="0"/>
        <w:kinsoku/>
        <w:wordWrap/>
        <w:overflowPunct/>
        <w:topLinePunct w:val="0"/>
        <w:autoSpaceDE/>
        <w:autoSpaceDN/>
        <w:bidi w:val="0"/>
        <w:adjustRightInd/>
        <w:spacing w:line="500" w:lineRule="exact"/>
        <w:ind w:firstLine="420" w:firstLineChars="200"/>
        <w:textAlignment w:val="auto"/>
        <w:rPr>
          <w:rFonts w:hint="eastAsia" w:ascii="宋体" w:hAnsi="Courier New" w:eastAsia="宋体" w:cs="Times New Roman"/>
          <w:kern w:val="2"/>
          <w:sz w:val="21"/>
          <w:szCs w:val="20"/>
          <w:highlight w:val="none"/>
          <w:lang w:val="en-US" w:eastAsia="zh-CN" w:bidi="ar-SA"/>
        </w:rPr>
      </w:pPr>
      <w:r>
        <w:rPr>
          <w:rFonts w:hint="eastAsia" w:ascii="宋体" w:hAnsi="Courier New" w:eastAsia="宋体" w:cs="Times New Roman"/>
          <w:kern w:val="2"/>
          <w:sz w:val="21"/>
          <w:szCs w:val="20"/>
          <w:highlight w:val="none"/>
          <w:lang w:val="en-US" w:eastAsia="zh-CN" w:bidi="ar-SA"/>
        </w:rPr>
        <w:t>地区：东欧（土耳其、乌克兰）、澳大利亚</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lang w:val="en-US" w:eastAsia="zh-CN"/>
        </w:rPr>
      </w:pPr>
      <w:r>
        <w:rPr>
          <w:rFonts w:hint="eastAsia" w:ascii="宋体" w:hAnsi="Courier New" w:eastAsia="宋体" w:cs="Times New Roman"/>
          <w:kern w:val="2"/>
          <w:sz w:val="21"/>
          <w:szCs w:val="20"/>
          <w:highlight w:val="none"/>
          <w:lang w:val="en-US" w:eastAsia="zh-CN" w:bidi="ar-SA"/>
        </w:rPr>
        <w:t>课程形式要求：</w:t>
      </w:r>
      <w:r>
        <w:rPr>
          <w:rFonts w:hint="eastAsia" w:ascii="宋体" w:hAnsi="Courier New" w:cs="Times New Roman"/>
          <w:kern w:val="2"/>
          <w:sz w:val="21"/>
          <w:szCs w:val="20"/>
          <w:highlight w:val="none"/>
          <w:lang w:val="en-US" w:eastAsia="zh-CN" w:bidi="ar-SA"/>
        </w:rPr>
        <w:t>采用</w:t>
      </w:r>
      <w:r>
        <w:rPr>
          <w:rFonts w:hint="eastAsia" w:ascii="宋体" w:hAnsi="Courier New" w:eastAsia="宋体" w:cs="Times New Roman"/>
          <w:kern w:val="2"/>
          <w:sz w:val="21"/>
          <w:szCs w:val="20"/>
          <w:highlight w:val="none"/>
          <w:lang w:val="en-US" w:eastAsia="zh-CN" w:bidi="ar-SA"/>
        </w:rPr>
        <w:t>面授讲解、案例分析、小组研讨、模拟演练等多种</w:t>
      </w:r>
      <w:r>
        <w:rPr>
          <w:rFonts w:hint="eastAsia" w:ascii="宋体" w:hAnsi="Courier New"/>
          <w:highlight w:val="none"/>
          <w:lang w:val="en-US" w:eastAsia="zh-CN"/>
        </w:rPr>
        <w:t>教学方法。</w:t>
      </w:r>
      <w:r>
        <w:rPr>
          <w:rFonts w:hint="eastAsia" w:ascii="黑体" w:hAnsi="黑体" w:eastAsia="黑体" w:cs="黑体"/>
          <w:b/>
          <w:bCs/>
          <w:highlight w:val="none"/>
          <w:lang w:val="en-US" w:eastAsia="zh-CN"/>
        </w:rPr>
        <w:t>鉴于国际人员分布全球的特殊性，公司有权对该课程实施全程直播，并在一定时间期限内进行回看。</w:t>
      </w:r>
    </w:p>
    <w:bookmarkEnd w:id="20"/>
    <w:p>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2"/>
        <w:rPr>
          <w:rFonts w:hint="eastAsia" w:ascii="宋体" w:hAnsi="Courier New"/>
          <w:highlight w:val="none"/>
          <w:lang w:val="en-US" w:eastAsia="zh-CN"/>
        </w:rPr>
      </w:pPr>
      <w:r>
        <w:rPr>
          <w:rFonts w:hint="eastAsia" w:ascii="宋体" w:hAnsi="Courier New"/>
          <w:b/>
          <w:bCs/>
          <w:highlight w:val="none"/>
          <w:lang w:val="en-US" w:eastAsia="zh-CN"/>
        </w:rPr>
        <w:t>（2）《绕车讲解及车辆专业知识》</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lang w:val="en-US" w:eastAsia="zh-CN"/>
        </w:rPr>
      </w:pPr>
      <w:r>
        <w:rPr>
          <w:rFonts w:hint="eastAsia" w:ascii="宋体" w:hAnsi="Courier New"/>
          <w:highlight w:val="none"/>
          <w:lang w:val="en-US" w:eastAsia="zh-CN"/>
        </w:rPr>
        <w:t>课程目标：使参训学员掌握需求挖掘与产品介绍技巧，提升其需求分析及产品介绍能力，确保能够精准把握各类型客户的显性和隐性需求，熟练运用产品介绍、推荐技巧方法及标准化工具，提高车辆销售成效。</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lang w:val="en-US" w:eastAsia="zh-CN"/>
        </w:rPr>
      </w:pPr>
      <w:r>
        <w:rPr>
          <w:rFonts w:hint="eastAsia" w:ascii="宋体" w:hAnsi="Courier New"/>
          <w:highlight w:val="none"/>
          <w:lang w:val="en-US" w:eastAsia="zh-CN"/>
        </w:rPr>
        <w:t>课程内容要求：课程需包含需求挖掘与产品介绍技巧相关的理论、工具及案例面授讲解，以及绕车讲解实战PK环节。培训开始前需对培训对象开展需求调研，结合中国重汽集团海外市场实际进行课程设计，确保培训方案具有针对性和可操作性。</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lang w:val="en-US" w:eastAsia="zh-CN"/>
        </w:rPr>
      </w:pPr>
      <w:r>
        <w:rPr>
          <w:rFonts w:hint="eastAsia" w:ascii="宋体" w:hAnsi="Courier New"/>
          <w:highlight w:val="none"/>
          <w:lang w:val="en-US" w:eastAsia="zh-CN"/>
        </w:rPr>
        <w:t>课程形式要求：面授讲解需结合实际案例，实战PK环节需组织学员进行真实的绕车讲解演练，并由专业讲师进行点评、指导和总结，以达到最佳培训效果。</w:t>
      </w:r>
    </w:p>
    <w:p>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2"/>
        <w:rPr>
          <w:rFonts w:hint="eastAsia" w:ascii="宋体" w:hAnsi="Courier New"/>
          <w:b/>
          <w:bCs/>
          <w:highlight w:val="none"/>
          <w:lang w:val="en-US" w:eastAsia="zh-CN"/>
        </w:rPr>
      </w:pPr>
      <w:r>
        <w:rPr>
          <w:rFonts w:hint="eastAsia" w:ascii="宋体" w:hAnsi="Courier New"/>
          <w:b/>
          <w:bCs/>
          <w:highlight w:val="none"/>
          <w:lang w:val="en-US" w:eastAsia="zh-CN"/>
        </w:rPr>
        <w:t>（3）《车队客户开发与管理》</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lang w:val="en-US" w:eastAsia="zh-CN"/>
        </w:rPr>
      </w:pPr>
      <w:r>
        <w:rPr>
          <w:rFonts w:hint="eastAsia" w:ascii="宋体" w:hAnsi="Courier New"/>
          <w:highlight w:val="none"/>
          <w:lang w:val="en-US" w:eastAsia="zh-CN"/>
        </w:rPr>
        <w:t>课程目标：使参训学员了解车队客户开发流程，掌握车队客户开发的关键技巧及标准化工具，能够熟练进行车队客户行业场景化分析、上门拜访与执行方案设计、潜客管理及客户成交管理、沟通与谈判策略、保客营销等关键环节的操作。</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lang w:val="en-US" w:eastAsia="zh-CN"/>
        </w:rPr>
      </w:pPr>
      <w:r>
        <w:rPr>
          <w:rFonts w:hint="eastAsia" w:ascii="宋体" w:hAnsi="Courier New"/>
          <w:highlight w:val="none"/>
          <w:lang w:val="en-US" w:eastAsia="zh-CN"/>
        </w:rPr>
        <w:t>课程内容要求：课程需围绕车队客户开发与管理的全流程展开，涵盖行业场景化分析、上门拜访与执行方案设计、潜客管理、客户成交管理、沟通与谈判策略、保客营销等内容，结合中国重汽集团海外营销人员实际进行课程设计，出具详实的课程方案、价格方案，确保培训方案具有针对性和可操作性。</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lang w:val="en-US" w:eastAsia="zh-CN"/>
        </w:rPr>
      </w:pPr>
      <w:r>
        <w:rPr>
          <w:rFonts w:hint="eastAsia" w:ascii="宋体" w:hAnsi="Courier New"/>
          <w:highlight w:val="none"/>
          <w:lang w:val="en-US" w:eastAsia="zh-CN"/>
        </w:rPr>
        <w:t>课程形式要求：采用面授讲解、案例分析、小组研讨、实战模拟等多种教学方法，培训后需对参训学员培训内容进行考核评价，以确保所有参训学员能够熟练掌握相关技巧和方法。</w:t>
      </w:r>
    </w:p>
    <w:p>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2"/>
        <w:rPr>
          <w:rFonts w:hint="default" w:ascii="宋体" w:hAnsi="Courier New"/>
          <w:b/>
          <w:bCs/>
          <w:highlight w:val="none"/>
          <w:lang w:val="en-US" w:eastAsia="zh-CN"/>
        </w:rPr>
      </w:pPr>
      <w:r>
        <w:rPr>
          <w:rFonts w:hint="eastAsia" w:ascii="宋体" w:hAnsi="Courier New"/>
          <w:b/>
          <w:bCs/>
          <w:highlight w:val="none"/>
          <w:lang w:val="en-US" w:eastAsia="zh-CN"/>
        </w:rPr>
        <w:t>2.素质测评及管理提升课程</w:t>
      </w:r>
    </w:p>
    <w:p>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2"/>
        <w:rPr>
          <w:rFonts w:hint="eastAsia" w:ascii="宋体" w:hAnsi="Courier New"/>
          <w:b/>
          <w:bCs/>
          <w:highlight w:val="none"/>
          <w:lang w:val="en-US" w:eastAsia="zh-CN"/>
        </w:rPr>
      </w:pPr>
      <w:r>
        <w:rPr>
          <w:rFonts w:hint="eastAsia" w:ascii="宋体" w:hAnsi="Courier New"/>
          <w:b/>
          <w:bCs/>
          <w:highlight w:val="none"/>
          <w:lang w:val="en-US" w:eastAsia="zh-CN"/>
        </w:rPr>
        <w:t>（1）职业性格测评、胜任能力评估及报告解读</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lang w:val="en-US" w:eastAsia="zh-CN"/>
        </w:rPr>
      </w:pPr>
      <w:r>
        <w:rPr>
          <w:rFonts w:hint="eastAsia" w:ascii="宋体" w:hAnsi="Courier New"/>
          <w:highlight w:val="none"/>
          <w:lang w:val="en-US" w:eastAsia="zh-CN"/>
        </w:rPr>
        <w:t>测评目标：通过职业性格测评和胜任能力评估，帮助参训学员全面了解自身的行为模式、性格特点、胜任能力水平，明确自我个性潜在优势和风险，为个人职业发展提供科学依据。</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lang w:val="en-US" w:eastAsia="zh-CN"/>
        </w:rPr>
      </w:pPr>
      <w:r>
        <w:rPr>
          <w:rFonts w:hint="eastAsia" w:ascii="宋体" w:hAnsi="Courier New"/>
          <w:highlight w:val="none"/>
          <w:lang w:val="en-US" w:eastAsia="zh-CN"/>
        </w:rPr>
        <w:t>测评内容要求：测评报告需涵盖行为模式、胜任能力评估与报告解读，输出内容应包括性格（行为风格）偏向性对个性工作的影响、自我个性潜在优势和风险、中国重汽海外营销人员的胜任力概要及评估总结、每项胜任力的详细信息及未来发展建议、个人改进计划模板等，确保测评结果准确、全面、具有指导性。</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lang w:val="en-US" w:eastAsia="zh-CN"/>
        </w:rPr>
      </w:pPr>
      <w:r>
        <w:rPr>
          <w:rFonts w:hint="eastAsia" w:ascii="宋体" w:hAnsi="Courier New"/>
          <w:highlight w:val="none"/>
          <w:lang w:val="en-US" w:eastAsia="zh-CN"/>
        </w:rPr>
        <w:t>报告解读要求：由专业测评师对测评报告进行详细解读，帮助参训学员充分理解测评结果，指导其制定个人改进计划，促进个人职业成长。</w:t>
      </w:r>
    </w:p>
    <w:p>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2"/>
        <w:rPr>
          <w:rFonts w:hint="eastAsia" w:ascii="宋体" w:hAnsi="Courier New"/>
          <w:highlight w:val="none"/>
          <w:lang w:val="en-US" w:eastAsia="zh-CN"/>
        </w:rPr>
      </w:pPr>
      <w:r>
        <w:rPr>
          <w:rFonts w:hint="eastAsia" w:ascii="宋体" w:hAnsi="Courier New"/>
          <w:b/>
          <w:bCs/>
          <w:highlight w:val="none"/>
          <w:lang w:val="en-US" w:eastAsia="zh-CN"/>
        </w:rPr>
        <w:t>（2）《结构性思维》</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lang w:val="en-US" w:eastAsia="zh-CN"/>
        </w:rPr>
      </w:pPr>
      <w:r>
        <w:rPr>
          <w:rFonts w:hint="eastAsia" w:ascii="宋体" w:hAnsi="Courier New"/>
          <w:highlight w:val="none"/>
          <w:lang w:val="en-US" w:eastAsia="zh-CN"/>
        </w:rPr>
        <w:t>课程目标：培养参训学员运用金字塔思维突破思维定势，强化逻辑思维方式，掌握精准汇报技巧，理清文案制作思路，提高思考表达能力，学习大幅提高工作效率的方法，让思考更清晰，表达更准确。</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lang w:val="en-US" w:eastAsia="zh-CN"/>
        </w:rPr>
      </w:pPr>
      <w:r>
        <w:rPr>
          <w:rFonts w:hint="eastAsia" w:ascii="宋体" w:hAnsi="Courier New"/>
          <w:highlight w:val="none"/>
          <w:lang w:val="en-US" w:eastAsia="zh-CN"/>
        </w:rPr>
        <w:t>课程内容要求：课程需包含金字塔思维的原理与应用、逻辑思维方式的培养、精准汇报技巧的掌握、文案制作思路的梳理等内容，结合实际案例进行讲解和练习，确保学员能够熟练运用结构性思维工具。</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lang w:val="en-US" w:eastAsia="zh-CN"/>
        </w:rPr>
      </w:pPr>
      <w:r>
        <w:rPr>
          <w:rFonts w:hint="eastAsia" w:ascii="宋体" w:hAnsi="Courier New"/>
          <w:highlight w:val="none"/>
          <w:lang w:val="en-US" w:eastAsia="zh-CN"/>
        </w:rPr>
        <w:t>课程形式要求：采用面授讲解、案例分析、小组讨论、实战演练等多种教学方法，增强课程的互动性和实用性，提高学员的学习效果。</w:t>
      </w:r>
    </w:p>
    <w:p>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2"/>
        <w:rPr>
          <w:rFonts w:hint="eastAsia" w:ascii="宋体" w:hAnsi="Courier New"/>
          <w:highlight w:val="none"/>
          <w:lang w:val="en-US" w:eastAsia="zh-CN"/>
        </w:rPr>
      </w:pPr>
      <w:r>
        <w:rPr>
          <w:rFonts w:hint="eastAsia" w:ascii="宋体" w:hAnsi="Courier New"/>
          <w:b/>
          <w:bCs/>
          <w:highlight w:val="none"/>
          <w:lang w:val="en-US" w:eastAsia="zh-CN"/>
        </w:rPr>
        <w:t>（3）《问题分析与解决》</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lang w:val="en-US" w:eastAsia="zh-CN"/>
        </w:rPr>
      </w:pPr>
      <w:r>
        <w:rPr>
          <w:rFonts w:hint="eastAsia" w:ascii="宋体" w:hAnsi="Courier New"/>
          <w:highlight w:val="none"/>
          <w:lang w:val="en-US" w:eastAsia="zh-CN"/>
        </w:rPr>
        <w:t>课程目标：使参训学员在复杂任务中快速识别焦点问题并寻找解决契机，找到最有效的解决方案，通过理性分析作出最理智的决策，学会一套行之有效的方法、工具和流程，快速抓住问题的本质和重点，精准有效地提升问题分析能力与决策能力。</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lang w:val="en-US" w:eastAsia="zh-CN"/>
        </w:rPr>
      </w:pPr>
      <w:r>
        <w:rPr>
          <w:rFonts w:hint="eastAsia" w:ascii="宋体" w:hAnsi="Courier New"/>
          <w:highlight w:val="none"/>
          <w:lang w:val="en-US" w:eastAsia="zh-CN"/>
        </w:rPr>
        <w:t>课程内容要求：课程需包含问题分析与解决的理论基础、方法论、工具与流程等内容，结合实际案例进行深入剖析，教授学员如何在不同情境下运用问题分析与解决的技巧，确保学员能够学以致用。</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lang w:val="en-US" w:eastAsia="zh-CN"/>
        </w:rPr>
      </w:pPr>
      <w:r>
        <w:rPr>
          <w:rFonts w:hint="eastAsia" w:ascii="宋体" w:hAnsi="Courier New"/>
          <w:highlight w:val="none"/>
          <w:lang w:val="en-US" w:eastAsia="zh-CN"/>
        </w:rPr>
        <w:t>课程形式要求：采用面授讲解、案例分析、小组研讨、模拟演练等多种教学方法，增强课程的互动性和实用性，提高学员的学习效果。</w:t>
      </w:r>
    </w:p>
    <w:p>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2"/>
        <w:rPr>
          <w:rFonts w:hint="eastAsia" w:ascii="宋体" w:hAnsi="Courier New"/>
          <w:highlight w:val="none"/>
          <w:lang w:val="en-US" w:eastAsia="zh-CN"/>
        </w:rPr>
      </w:pPr>
      <w:r>
        <w:rPr>
          <w:rFonts w:hint="eastAsia" w:ascii="宋体" w:hAnsi="Courier New"/>
          <w:b/>
          <w:bCs/>
          <w:highlight w:val="none"/>
          <w:lang w:val="en-US" w:eastAsia="zh-CN"/>
        </w:rPr>
        <w:t>（4）《从管理到领导》</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lang w:val="en-US" w:eastAsia="zh-CN"/>
        </w:rPr>
      </w:pPr>
      <w:r>
        <w:rPr>
          <w:rFonts w:hint="eastAsia" w:ascii="宋体" w:hAnsi="Courier New"/>
          <w:highlight w:val="none"/>
          <w:lang w:val="en-US" w:eastAsia="zh-CN"/>
        </w:rPr>
        <w:t>课程目标：帮助参训学员从传统的团队管理思维转变为领导思维，掌握团队管理过程中不同人员的差异化管理方法，根据团队激励、授权、教练辅导等团队管理场景，提供有效的管理方法、技巧及工具，提升团队管理效能。</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lang w:val="en-US" w:eastAsia="zh-CN"/>
        </w:rPr>
      </w:pPr>
      <w:r>
        <w:rPr>
          <w:rFonts w:hint="eastAsia" w:ascii="宋体" w:hAnsi="Courier New"/>
          <w:highlight w:val="none"/>
          <w:lang w:val="en-US" w:eastAsia="zh-CN"/>
        </w:rPr>
        <w:t>课程内容要求：课程需涵盖从管理到领导的转变路径、差异化管理方法、团队激励与授权技巧、教练辅导工具等内容，结合实际案例进行讲解和练习，确保学员能够熟练运用所学知识与技能。</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lang w:val="en-US" w:eastAsia="zh-CN"/>
        </w:rPr>
      </w:pPr>
      <w:r>
        <w:rPr>
          <w:rFonts w:hint="eastAsia" w:ascii="宋体" w:hAnsi="Courier New"/>
          <w:highlight w:val="none"/>
          <w:lang w:val="en-US" w:eastAsia="zh-CN"/>
        </w:rPr>
        <w:t>课程形式要求：采用面授讲解、案例分析、小组研讨、角色扮演等多种教学方法，增强课程的互动性和实用性，提高学员的学习效果。</w:t>
      </w:r>
    </w:p>
    <w:p>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2"/>
        <w:rPr>
          <w:rFonts w:ascii="宋体" w:hAnsi="Courier New"/>
          <w:b/>
          <w:bCs/>
          <w:highlight w:val="none"/>
        </w:rPr>
      </w:pPr>
      <w:r>
        <w:rPr>
          <w:rFonts w:hint="eastAsia" w:ascii="宋体" w:hAnsi="Courier New"/>
          <w:b/>
          <w:bCs/>
          <w:highlight w:val="none"/>
        </w:rPr>
        <w:t>3.相关要求</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rPr>
      </w:pPr>
      <w:r>
        <w:rPr>
          <w:rFonts w:hint="eastAsia" w:ascii="宋体" w:hAnsi="Courier New"/>
          <w:highlight w:val="none"/>
        </w:rPr>
        <w:t>（1）出具详实的课程方案、价格方案。课程应根据中国重汽企业实际情况所设计，具有实战性和操作性。项目运营必须包含课前调研准备、课前实施预热、课中培训赋能、课中汇报总结、课后行动实践、课后实践跟进反馈、课程核心知识点萃取提炼。</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rPr>
      </w:pPr>
      <w:r>
        <w:rPr>
          <w:rFonts w:hint="eastAsia" w:ascii="宋体" w:hAnsi="Courier New"/>
          <w:highlight w:val="none"/>
          <w:lang w:eastAsia="zh-CN"/>
        </w:rPr>
        <w:t>（</w:t>
      </w:r>
      <w:r>
        <w:rPr>
          <w:rFonts w:hint="eastAsia" w:ascii="宋体" w:hAnsi="Courier New"/>
          <w:highlight w:val="none"/>
          <w:lang w:val="en-US" w:eastAsia="zh-CN"/>
        </w:rPr>
        <w:t>2</w:t>
      </w:r>
      <w:r>
        <w:rPr>
          <w:rFonts w:hint="eastAsia" w:ascii="宋体" w:hAnsi="Courier New"/>
          <w:highlight w:val="none"/>
          <w:lang w:eastAsia="zh-CN"/>
        </w:rPr>
        <w:t>）</w:t>
      </w:r>
      <w:r>
        <w:rPr>
          <w:rFonts w:hint="eastAsia" w:ascii="宋体" w:hAnsi="Courier New"/>
          <w:highlight w:val="none"/>
          <w:lang w:val="en-US" w:eastAsia="zh-CN"/>
        </w:rPr>
        <w:t>中标人在中标后5日内，</w:t>
      </w:r>
      <w:r>
        <w:rPr>
          <w:rFonts w:hint="eastAsia" w:ascii="宋体" w:hAnsi="Courier New"/>
          <w:highlight w:val="none"/>
        </w:rPr>
        <w:t>按照中标的技术标及澄清内容完成课程设计，并</w:t>
      </w:r>
      <w:r>
        <w:rPr>
          <w:rFonts w:hint="eastAsia" w:ascii="黑体" w:hAnsi="黑体" w:eastAsia="黑体" w:cs="黑体"/>
          <w:b/>
          <w:bCs/>
          <w:highlight w:val="none"/>
        </w:rPr>
        <w:t>按招标人要求进行课程试讲。</w:t>
      </w:r>
      <w:r>
        <w:rPr>
          <w:rFonts w:hint="eastAsia" w:ascii="宋体" w:hAnsi="Courier New"/>
          <w:highlight w:val="none"/>
        </w:rPr>
        <w:t>若课程试讲评价未达到技术标及澄清内容要求，招标人有权否决投标人的中标资格。</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ascii="宋体" w:hAnsi="Courier New"/>
          <w:highlight w:val="none"/>
        </w:rPr>
      </w:pPr>
      <w:r>
        <w:rPr>
          <w:rFonts w:hint="eastAsia" w:ascii="宋体" w:hAnsi="Courier New"/>
          <w:highlight w:val="none"/>
        </w:rPr>
        <w:t>（</w:t>
      </w:r>
      <w:r>
        <w:rPr>
          <w:rFonts w:hint="eastAsia" w:ascii="宋体" w:hAnsi="Courier New"/>
          <w:highlight w:val="none"/>
          <w:lang w:val="en-US" w:eastAsia="zh-CN"/>
        </w:rPr>
        <w:t>3</w:t>
      </w:r>
      <w:r>
        <w:rPr>
          <w:rFonts w:hint="eastAsia" w:ascii="宋体" w:hAnsi="Courier New"/>
          <w:highlight w:val="none"/>
        </w:rPr>
        <w:t>）</w:t>
      </w:r>
      <w:r>
        <w:rPr>
          <w:rFonts w:hint="eastAsia" w:ascii="黑体" w:hAnsi="黑体" w:eastAsia="黑体" w:cs="黑体"/>
          <w:b/>
          <w:bCs/>
          <w:highlight w:val="none"/>
        </w:rPr>
        <w:t>培训讲师应具有5年以上的培训经验，</w:t>
      </w:r>
      <w:r>
        <w:rPr>
          <w:rFonts w:hint="eastAsia" w:ascii="宋体" w:hAnsi="Courier New"/>
          <w:highlight w:val="none"/>
        </w:rPr>
        <w:t>具有把教学内容与实践能力相结合的能力，可以将理论知识演绎得生动易懂。保障课程设计到执行的统一性，授课老师课前需进行课程认证，经中国重汽审核通过后才可进行授课。</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ascii="宋体" w:hAnsi="Courier New"/>
          <w:highlight w:val="none"/>
        </w:rPr>
      </w:pPr>
      <w:r>
        <w:rPr>
          <w:rFonts w:hint="eastAsia" w:ascii="宋体" w:hAnsi="Courier New"/>
          <w:highlight w:val="none"/>
        </w:rPr>
        <w:t>（</w:t>
      </w:r>
      <w:r>
        <w:rPr>
          <w:rFonts w:hint="eastAsia" w:ascii="宋体" w:hAnsi="Courier New"/>
          <w:highlight w:val="none"/>
          <w:lang w:val="en-US" w:eastAsia="zh-CN"/>
        </w:rPr>
        <w:t>4</w:t>
      </w:r>
      <w:r>
        <w:rPr>
          <w:rFonts w:hint="eastAsia" w:ascii="宋体" w:hAnsi="Courier New"/>
          <w:highlight w:val="none"/>
        </w:rPr>
        <w:t>）培训师应极为重视和学员之间的互动交流，以此来激发学员充分参与，提高学员关注度，达到最佳的授课效果。</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方正小标宋简体" w:hAnsi="方正小标宋简体" w:eastAsia="方正小标宋简体" w:cs="方正小标宋简体"/>
          <w:sz w:val="40"/>
          <w:szCs w:val="21"/>
          <w:highlight w:val="none"/>
        </w:rPr>
      </w:pPr>
      <w:r>
        <w:rPr>
          <w:rFonts w:hint="eastAsia" w:ascii="宋体" w:hAnsi="Courier New"/>
          <w:highlight w:val="none"/>
        </w:rPr>
        <w:t>（</w:t>
      </w:r>
      <w:r>
        <w:rPr>
          <w:rFonts w:hint="eastAsia" w:ascii="宋体" w:hAnsi="Courier New"/>
          <w:highlight w:val="none"/>
          <w:lang w:val="en-US" w:eastAsia="zh-CN"/>
        </w:rPr>
        <w:t>5</w:t>
      </w:r>
      <w:r>
        <w:rPr>
          <w:rFonts w:hint="eastAsia" w:ascii="宋体" w:hAnsi="Courier New"/>
          <w:highlight w:val="none"/>
        </w:rPr>
        <w:t>）中标方应指定一名经验丰富的工作人员负责与中国重汽集团沟通和联络，每期培训前应根据中国重汽集团的要求，制定好培训计划及授课前的各项准备工作，培训现场除培训师之外应确保有1名工作人员布置会场、教具准备和签到等工作</w:t>
      </w:r>
      <w:r>
        <w:rPr>
          <w:rFonts w:hint="eastAsia" w:ascii="宋体" w:hAnsi="Courier New"/>
          <w:highlight w:val="none"/>
          <w:lang w:val="en-US" w:eastAsia="zh-CN"/>
        </w:rPr>
        <w:t>。</w:t>
      </w:r>
      <w:bookmarkStart w:id="21" w:name="_Toc15177"/>
    </w:p>
    <w:p>
      <w:pPr>
        <w:spacing w:before="118"/>
        <w:ind w:right="30"/>
        <w:jc w:val="center"/>
        <w:outlineLvl w:val="0"/>
        <w:rPr>
          <w:rFonts w:hint="eastAsia" w:ascii="方正小标宋简体" w:hAnsi="方正小标宋简体" w:eastAsia="方正小标宋简体" w:cs="方正小标宋简体"/>
          <w:sz w:val="40"/>
          <w:szCs w:val="21"/>
          <w:highlight w:val="none"/>
        </w:rPr>
      </w:pPr>
    </w:p>
    <w:p>
      <w:pPr>
        <w:spacing w:before="118"/>
        <w:ind w:right="30"/>
        <w:jc w:val="center"/>
        <w:outlineLvl w:val="0"/>
        <w:rPr>
          <w:rFonts w:hint="eastAsia" w:ascii="方正小标宋简体" w:hAnsi="方正小标宋简体" w:eastAsia="方正小标宋简体" w:cs="方正小标宋简体"/>
          <w:sz w:val="40"/>
          <w:szCs w:val="21"/>
          <w:highlight w:val="none"/>
        </w:rPr>
      </w:pPr>
    </w:p>
    <w:p>
      <w:pPr>
        <w:spacing w:before="118"/>
        <w:ind w:right="30"/>
        <w:jc w:val="center"/>
        <w:outlineLvl w:val="0"/>
        <w:rPr>
          <w:rFonts w:hint="eastAsia" w:ascii="方正小标宋简体" w:hAnsi="方正小标宋简体" w:eastAsia="方正小标宋简体" w:cs="方正小标宋简体"/>
          <w:sz w:val="40"/>
          <w:szCs w:val="21"/>
          <w:highlight w:val="none"/>
        </w:rPr>
      </w:pPr>
    </w:p>
    <w:p>
      <w:pPr>
        <w:spacing w:before="118"/>
        <w:ind w:right="30"/>
        <w:jc w:val="center"/>
        <w:outlineLvl w:val="0"/>
        <w:rPr>
          <w:rFonts w:hint="eastAsia" w:ascii="方正小标宋简体" w:hAnsi="方正小标宋简体" w:eastAsia="方正小标宋简体" w:cs="方正小标宋简体"/>
          <w:sz w:val="40"/>
          <w:szCs w:val="21"/>
          <w:highlight w:val="none"/>
        </w:rPr>
      </w:pPr>
    </w:p>
    <w:p>
      <w:pPr>
        <w:spacing w:before="118"/>
        <w:ind w:right="30"/>
        <w:jc w:val="center"/>
        <w:outlineLvl w:val="0"/>
        <w:rPr>
          <w:rFonts w:hint="eastAsia" w:ascii="方正小标宋简体" w:hAnsi="方正小标宋简体" w:eastAsia="方正小标宋简体" w:cs="方正小标宋简体"/>
          <w:sz w:val="40"/>
          <w:szCs w:val="21"/>
          <w:highlight w:val="none"/>
        </w:rPr>
      </w:pPr>
    </w:p>
    <w:p>
      <w:pPr>
        <w:spacing w:before="118"/>
        <w:ind w:right="30"/>
        <w:jc w:val="center"/>
        <w:outlineLvl w:val="0"/>
        <w:rPr>
          <w:rFonts w:ascii="楷体" w:hAnsi="楷体" w:eastAsia="楷体" w:cs="楷体"/>
          <w:sz w:val="40"/>
          <w:szCs w:val="21"/>
          <w:highlight w:val="none"/>
        </w:rPr>
      </w:pPr>
      <w:r>
        <w:rPr>
          <w:rFonts w:hint="eastAsia" w:ascii="方正小标宋简体" w:hAnsi="方正小标宋简体" w:eastAsia="方正小标宋简体" w:cs="方正小标宋简体"/>
          <w:sz w:val="40"/>
          <w:szCs w:val="21"/>
          <w:highlight w:val="none"/>
        </w:rPr>
        <w:t>廉洁诚信协议</w:t>
      </w:r>
      <w:bookmarkEnd w:id="21"/>
    </w:p>
    <w:p>
      <w:pPr>
        <w:pStyle w:val="6"/>
        <w:spacing w:before="8"/>
        <w:rPr>
          <w:rFonts w:ascii="楷体" w:hAnsi="楷体" w:eastAsia="楷体" w:cs="楷体"/>
          <w:sz w:val="44"/>
          <w:szCs w:val="28"/>
          <w:highlight w:val="none"/>
        </w:rPr>
      </w:pPr>
    </w:p>
    <w:p>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甲方：</w:t>
      </w:r>
    </w:p>
    <w:p>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乙方：</w:t>
      </w:r>
    </w:p>
    <w:p>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hint="eastAsia" w:ascii="楷体" w:hAnsi="楷体" w:eastAsia="楷体" w:cs="楷体"/>
          <w:spacing w:val="-2"/>
          <w:sz w:val="28"/>
          <w:szCs w:val="28"/>
          <w:highlight w:val="none"/>
          <w:lang w:eastAsia="zh-CN"/>
        </w:rPr>
        <w:t>，</w:t>
      </w:r>
      <w:r>
        <w:rPr>
          <w:rFonts w:ascii="楷体" w:hAnsi="楷体" w:eastAsia="楷体" w:cs="楷体"/>
          <w:spacing w:val="-2"/>
          <w:sz w:val="28"/>
          <w:szCs w:val="28"/>
          <w:highlight w:val="none"/>
        </w:rPr>
        <w:t>共同加强廉洁自律建设，甲乙双方在平等、自愿、协商一致的原则下，签订本协议。</w:t>
      </w:r>
    </w:p>
    <w:p>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1.甲乙双方应当共同遵守国家、地方法律法规以及本协议的约定，在合同的订立、履行过程中廉洁自律，绝不弄虚作假、以次充好，虚结虚算。</w:t>
      </w:r>
    </w:p>
    <w:p>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2.乙方声明并承诺甲方人员或其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和其他特定关系人（甲方人员为领导干部的，其他特定关系人包含身边工作人员）</w:t>
      </w:r>
      <w:r>
        <w:rPr>
          <w:rFonts w:ascii="楷体" w:hAnsi="楷体" w:eastAsia="楷体" w:cs="楷体"/>
          <w:spacing w:val="-2"/>
          <w:sz w:val="28"/>
          <w:szCs w:val="28"/>
          <w:highlight w:val="none"/>
        </w:rPr>
        <w:t>没有直接或间接投资乙方或持有乙方股权，没有直接或间接投资乙方关联企业或持有乙方关联企业股权。</w:t>
      </w:r>
    </w:p>
    <w:p>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3.乙方承诺乙方或乙方关联企业股东、实际出资人或持股人、高管、主要业务人员不得与甲方人员或其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共同成立公司，不得聘请甲方人员或其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在乙方或乙方关联企业股东或实际出资人或高管或主要业务人员成立的企业中担任高管或为其</w:t>
      </w:r>
      <w:r>
        <w:rPr>
          <w:rFonts w:hint="eastAsia" w:ascii="楷体" w:hAnsi="楷体" w:eastAsia="楷体" w:cs="楷体"/>
          <w:spacing w:val="-2"/>
          <w:sz w:val="28"/>
          <w:szCs w:val="28"/>
          <w:highlight w:val="none"/>
        </w:rPr>
        <w:t>违规</w:t>
      </w:r>
      <w:r>
        <w:rPr>
          <w:rFonts w:ascii="楷体" w:hAnsi="楷体" w:eastAsia="楷体" w:cs="楷体"/>
          <w:spacing w:val="-2"/>
          <w:sz w:val="28"/>
          <w:szCs w:val="28"/>
          <w:highlight w:val="none"/>
        </w:rPr>
        <w:t>发放薪酬。</w:t>
      </w:r>
      <w:r>
        <w:rPr>
          <w:rFonts w:hint="eastAsia" w:ascii="楷体" w:hAnsi="楷体" w:eastAsia="楷体" w:cs="楷体"/>
          <w:spacing w:val="-2"/>
          <w:sz w:val="28"/>
          <w:szCs w:val="28"/>
          <w:highlight w:val="none"/>
        </w:rPr>
        <w:t>违规发放薪酬包括不实际工作而获取薪酬或者虽实际工作但领取明显超出同职级标准薪酬。</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若乙方为甲方</w:t>
      </w:r>
      <w:r>
        <w:rPr>
          <w:rFonts w:ascii="楷体" w:hAnsi="楷体" w:eastAsia="楷体" w:cs="楷体"/>
          <w:spacing w:val="-2"/>
          <w:sz w:val="28"/>
          <w:szCs w:val="28"/>
          <w:highlight w:val="none"/>
        </w:rPr>
        <w:t>新</w:t>
      </w:r>
      <w:r>
        <w:rPr>
          <w:rFonts w:hint="eastAsia" w:ascii="楷体" w:hAnsi="楷体" w:eastAsia="楷体" w:cs="楷体"/>
          <w:spacing w:val="-2"/>
          <w:sz w:val="28"/>
          <w:szCs w:val="28"/>
          <w:highlight w:val="none"/>
        </w:rPr>
        <w:t>合作伙伴</w:t>
      </w:r>
      <w:r>
        <w:rPr>
          <w:rFonts w:ascii="楷体" w:hAnsi="楷体" w:eastAsia="楷体" w:cs="楷体"/>
          <w:spacing w:val="-2"/>
          <w:sz w:val="28"/>
          <w:szCs w:val="28"/>
          <w:highlight w:val="none"/>
        </w:rPr>
        <w:t>，如在本协议签订前乙方存在本条规定情形的，需在本协议签订后30日内，将相关情况报</w:t>
      </w:r>
      <w:r>
        <w:rPr>
          <w:rFonts w:hint="eastAsia" w:ascii="楷体" w:hAnsi="楷体" w:eastAsia="楷体" w:cs="楷体"/>
          <w:spacing w:val="-2"/>
          <w:sz w:val="28"/>
          <w:szCs w:val="28"/>
          <w:highlight w:val="none"/>
        </w:rPr>
        <w:t>甲方所属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w:t>
      </w:r>
      <w:r>
        <w:rPr>
          <w:rFonts w:hint="eastAsia" w:ascii="楷体" w:hAnsi="楷体" w:eastAsia="楷体" w:cs="楷体"/>
          <w:spacing w:val="-2"/>
          <w:sz w:val="28"/>
          <w:szCs w:val="28"/>
          <w:highlight w:val="none"/>
        </w:rPr>
        <w:t>门</w:t>
      </w:r>
      <w:r>
        <w:rPr>
          <w:rFonts w:ascii="楷体" w:hAnsi="楷体" w:eastAsia="楷体" w:cs="楷体"/>
          <w:spacing w:val="-2"/>
          <w:sz w:val="28"/>
          <w:szCs w:val="28"/>
          <w:highlight w:val="none"/>
        </w:rPr>
        <w:t>备案）。</w:t>
      </w:r>
    </w:p>
    <w:p>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4.乙方承诺依法开展经营活动，不得有任何形式的商业贿赂行为。乙方一经发现其员工或其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highlight w:val="none"/>
        </w:rPr>
        <w:t>已</w:t>
      </w:r>
      <w:r>
        <w:rPr>
          <w:rFonts w:ascii="楷体" w:hAnsi="楷体" w:eastAsia="楷体" w:cs="楷体"/>
          <w:spacing w:val="-2"/>
          <w:sz w:val="28"/>
          <w:szCs w:val="28"/>
          <w:highlight w:val="none"/>
        </w:rPr>
        <w:t>签订的</w:t>
      </w:r>
      <w:r>
        <w:rPr>
          <w:rFonts w:hint="eastAsia" w:ascii="楷体" w:hAnsi="楷体" w:eastAsia="楷体" w:cs="楷体"/>
          <w:spacing w:val="-2"/>
          <w:sz w:val="28"/>
          <w:szCs w:val="28"/>
          <w:highlight w:val="none"/>
        </w:rPr>
        <w:t>所有合同</w:t>
      </w:r>
      <w:r>
        <w:rPr>
          <w:rFonts w:ascii="楷体" w:hAnsi="楷体" w:eastAsia="楷体" w:cs="楷体"/>
          <w:spacing w:val="-2"/>
          <w:sz w:val="28"/>
          <w:szCs w:val="28"/>
          <w:highlight w:val="none"/>
        </w:rPr>
        <w:t>协议，并要求乙方赔偿。</w:t>
      </w:r>
    </w:p>
    <w:p>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5.乙方承诺不以任何理由为甲方人员及其</w:t>
      </w:r>
      <w:r>
        <w:rPr>
          <w:rFonts w:hint="eastAsia" w:ascii="楷体" w:hAnsi="楷体" w:eastAsia="楷体" w:cs="楷体"/>
          <w:spacing w:val="-2"/>
          <w:sz w:val="28"/>
          <w:szCs w:val="28"/>
          <w:highlight w:val="none"/>
        </w:rPr>
        <w:t>配偶、子女及其配偶等亲属和其他特定关系人提供如下：</w:t>
      </w:r>
    </w:p>
    <w:p>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a)</w:t>
      </w:r>
      <w:r>
        <w:rPr>
          <w:rFonts w:ascii="楷体" w:hAnsi="楷体" w:eastAsia="楷体" w:cs="楷体"/>
          <w:spacing w:val="-2"/>
          <w:sz w:val="28"/>
          <w:szCs w:val="28"/>
          <w:highlight w:val="none"/>
        </w:rPr>
        <w:t>赠送</w:t>
      </w:r>
      <w:r>
        <w:rPr>
          <w:rFonts w:hint="eastAsia" w:ascii="楷体" w:hAnsi="楷体" w:eastAsia="楷体" w:cs="楷体"/>
          <w:spacing w:val="-2"/>
          <w:sz w:val="28"/>
          <w:szCs w:val="28"/>
          <w:highlight w:val="none"/>
        </w:rPr>
        <w:t>礼品、</w:t>
      </w:r>
      <w:r>
        <w:rPr>
          <w:rFonts w:ascii="楷体" w:hAnsi="楷体" w:eastAsia="楷体" w:cs="楷体"/>
          <w:spacing w:val="-2"/>
          <w:sz w:val="28"/>
          <w:szCs w:val="28"/>
          <w:highlight w:val="none"/>
        </w:rPr>
        <w:t>礼金、</w:t>
      </w:r>
      <w:r>
        <w:rPr>
          <w:rFonts w:hint="eastAsia" w:ascii="楷体" w:hAnsi="楷体" w:eastAsia="楷体" w:cs="楷体"/>
          <w:spacing w:val="-2"/>
          <w:sz w:val="28"/>
          <w:szCs w:val="28"/>
          <w:highlight w:val="none"/>
        </w:rPr>
        <w:t>消费卡（券）、</w:t>
      </w:r>
      <w:r>
        <w:rPr>
          <w:rFonts w:ascii="楷体" w:hAnsi="楷体" w:eastAsia="楷体" w:cs="楷体"/>
          <w:spacing w:val="-2"/>
          <w:sz w:val="28"/>
          <w:szCs w:val="28"/>
          <w:highlight w:val="none"/>
        </w:rPr>
        <w:t>购物卡、充值卡、信用卡</w:t>
      </w:r>
      <w:r>
        <w:rPr>
          <w:rFonts w:hint="eastAsia" w:ascii="楷体" w:hAnsi="楷体" w:eastAsia="楷体" w:cs="楷体"/>
          <w:spacing w:val="-2"/>
          <w:sz w:val="28"/>
          <w:szCs w:val="28"/>
          <w:highlight w:val="none"/>
        </w:rPr>
        <w:t>和</w:t>
      </w:r>
      <w:r>
        <w:rPr>
          <w:rFonts w:ascii="楷体" w:hAnsi="楷体" w:eastAsia="楷体" w:cs="楷体"/>
          <w:spacing w:val="-2"/>
          <w:sz w:val="28"/>
          <w:szCs w:val="28"/>
          <w:highlight w:val="none"/>
        </w:rPr>
        <w:t>有价证券</w:t>
      </w:r>
      <w:r>
        <w:rPr>
          <w:rFonts w:hint="eastAsia" w:ascii="楷体" w:hAnsi="楷体" w:eastAsia="楷体" w:cs="楷体"/>
          <w:spacing w:val="-2"/>
          <w:sz w:val="28"/>
          <w:szCs w:val="28"/>
          <w:highlight w:val="none"/>
        </w:rPr>
        <w:t>、股权、其他金融产品等财物</w:t>
      </w:r>
      <w:r>
        <w:rPr>
          <w:rFonts w:ascii="楷体" w:hAnsi="楷体" w:eastAsia="楷体" w:cs="楷体"/>
          <w:spacing w:val="-2"/>
          <w:sz w:val="28"/>
          <w:szCs w:val="28"/>
          <w:highlight w:val="none"/>
        </w:rPr>
        <w:t>和其他贵重物品；</w:t>
      </w:r>
    </w:p>
    <w:p>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b)</w:t>
      </w:r>
      <w:r>
        <w:rPr>
          <w:rFonts w:ascii="楷体" w:hAnsi="楷体" w:eastAsia="楷体" w:cs="楷体"/>
          <w:spacing w:val="-2"/>
          <w:sz w:val="28"/>
          <w:szCs w:val="28"/>
          <w:highlight w:val="none"/>
        </w:rPr>
        <w:t>报销个人费用</w:t>
      </w:r>
      <w:r>
        <w:rPr>
          <w:rFonts w:hint="eastAsia" w:ascii="楷体" w:hAnsi="楷体" w:eastAsia="楷体" w:cs="楷体"/>
          <w:spacing w:val="-2"/>
          <w:sz w:val="28"/>
          <w:szCs w:val="28"/>
          <w:highlight w:val="none"/>
        </w:rPr>
        <w:t>或以讲课费、课题费、咨询费等名义支付费用</w:t>
      </w:r>
      <w:r>
        <w:rPr>
          <w:rFonts w:ascii="楷体" w:hAnsi="楷体" w:eastAsia="楷体" w:cs="楷体"/>
          <w:spacing w:val="-2"/>
          <w:sz w:val="28"/>
          <w:szCs w:val="28"/>
          <w:highlight w:val="none"/>
        </w:rPr>
        <w:t>；</w:t>
      </w:r>
    </w:p>
    <w:p>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c)</w:t>
      </w:r>
      <w:r>
        <w:rPr>
          <w:rFonts w:ascii="楷体" w:hAnsi="楷体" w:eastAsia="楷体" w:cs="楷体"/>
          <w:spacing w:val="-2"/>
          <w:sz w:val="28"/>
          <w:szCs w:val="28"/>
          <w:highlight w:val="none"/>
        </w:rPr>
        <w:t>以洽谈业务、签订合同等为借口宴请或邀请外出旅游</w:t>
      </w:r>
      <w:r>
        <w:rPr>
          <w:rFonts w:hint="eastAsia" w:ascii="楷体" w:hAnsi="楷体" w:eastAsia="楷体" w:cs="楷体"/>
          <w:spacing w:val="-2"/>
          <w:sz w:val="28"/>
          <w:szCs w:val="28"/>
          <w:highlight w:val="none"/>
        </w:rPr>
        <w:t>、健身、娱乐</w:t>
      </w:r>
      <w:r>
        <w:rPr>
          <w:rFonts w:ascii="楷体" w:hAnsi="楷体" w:eastAsia="楷体" w:cs="楷体"/>
          <w:spacing w:val="-2"/>
          <w:sz w:val="28"/>
          <w:szCs w:val="28"/>
          <w:highlight w:val="none"/>
        </w:rPr>
        <w:t>和进入营业性娱乐场所；</w:t>
      </w:r>
    </w:p>
    <w:p>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d)</w:t>
      </w:r>
      <w:r>
        <w:rPr>
          <w:rFonts w:ascii="楷体" w:hAnsi="楷体" w:eastAsia="楷体" w:cs="楷体"/>
          <w:spacing w:val="-2"/>
          <w:sz w:val="28"/>
          <w:szCs w:val="28"/>
          <w:highlight w:val="none"/>
        </w:rPr>
        <w:t>购置或提供通讯、交通工具</w:t>
      </w:r>
      <w:r>
        <w:rPr>
          <w:rFonts w:hint="eastAsia" w:ascii="楷体" w:hAnsi="楷体" w:eastAsia="楷体" w:cs="楷体"/>
          <w:spacing w:val="-2"/>
          <w:sz w:val="28"/>
          <w:szCs w:val="28"/>
          <w:highlight w:val="none"/>
        </w:rPr>
        <w:t>、钱款、住房、车辆等或提供通过民间借贷等金融助其获得大额回报</w:t>
      </w:r>
      <w:r>
        <w:rPr>
          <w:rFonts w:ascii="楷体" w:hAnsi="楷体" w:eastAsia="楷体" w:cs="楷体"/>
          <w:spacing w:val="-2"/>
          <w:sz w:val="28"/>
          <w:szCs w:val="28"/>
          <w:highlight w:val="none"/>
        </w:rPr>
        <w:t>；</w:t>
      </w:r>
    </w:p>
    <w:p>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e)</w:t>
      </w:r>
      <w:r>
        <w:rPr>
          <w:rFonts w:ascii="楷体" w:hAnsi="楷体" w:eastAsia="楷体" w:cs="楷体"/>
          <w:spacing w:val="-2"/>
          <w:sz w:val="28"/>
          <w:szCs w:val="28"/>
          <w:highlight w:val="none"/>
        </w:rPr>
        <w:t>住房装修、婚丧嫁娶、家属和子女的工作安排以及出国等提供任何金钱或非金钱方式的资助或帮助</w:t>
      </w:r>
      <w:r>
        <w:rPr>
          <w:rFonts w:hint="eastAsia" w:ascii="楷体" w:hAnsi="楷体" w:eastAsia="楷体" w:cs="楷体"/>
          <w:spacing w:val="-2"/>
          <w:sz w:val="28"/>
          <w:szCs w:val="28"/>
          <w:highlight w:val="none"/>
        </w:rPr>
        <w:t>；</w:t>
      </w:r>
    </w:p>
    <w:p>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f)吸收存款、推销金融产品、经营名贵特产类资源等提供帮助谋取利益；</w:t>
      </w:r>
    </w:p>
    <w:p>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g)其他可能影响甲方人员公平、公正的履行职权或者履行职责的情形</w:t>
      </w:r>
      <w:r>
        <w:rPr>
          <w:rFonts w:ascii="楷体" w:hAnsi="楷体" w:eastAsia="楷体" w:cs="楷体"/>
          <w:spacing w:val="-2"/>
          <w:sz w:val="28"/>
          <w:szCs w:val="28"/>
          <w:highlight w:val="none"/>
        </w:rPr>
        <w:t>。</w:t>
      </w:r>
    </w:p>
    <w:p>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6.乙方应当通过正常途径开展相关业务，决不为谋取不正当利益诱使甲方人员就</w:t>
      </w:r>
      <w:r>
        <w:rPr>
          <w:rFonts w:hint="eastAsia" w:ascii="楷体" w:hAnsi="楷体" w:eastAsia="楷体" w:cs="楷体"/>
          <w:spacing w:val="-2"/>
          <w:sz w:val="28"/>
          <w:szCs w:val="28"/>
          <w:highlight w:val="none"/>
        </w:rPr>
        <w:t>采购、服务或销售、经销的物项种类</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物项</w:t>
      </w:r>
      <w:r>
        <w:rPr>
          <w:rFonts w:ascii="楷体" w:hAnsi="楷体" w:eastAsia="楷体" w:cs="楷体"/>
          <w:spacing w:val="-2"/>
          <w:sz w:val="28"/>
          <w:szCs w:val="28"/>
          <w:highlight w:val="none"/>
        </w:rPr>
        <w:t>数量、价格</w:t>
      </w:r>
      <w:r>
        <w:rPr>
          <w:rFonts w:hint="eastAsia" w:ascii="楷体" w:hAnsi="楷体" w:eastAsia="楷体" w:cs="楷体"/>
          <w:spacing w:val="-2"/>
          <w:sz w:val="28"/>
          <w:szCs w:val="28"/>
          <w:highlight w:val="none"/>
        </w:rPr>
        <w:t>条件</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付款条件、</w:t>
      </w:r>
      <w:r>
        <w:rPr>
          <w:rFonts w:ascii="楷体" w:hAnsi="楷体" w:eastAsia="楷体" w:cs="楷体"/>
          <w:spacing w:val="-2"/>
          <w:sz w:val="28"/>
          <w:szCs w:val="28"/>
          <w:highlight w:val="none"/>
        </w:rPr>
        <w:t>质量问题处理等方面私下商谈或达成默契</w:t>
      </w:r>
      <w:r>
        <w:rPr>
          <w:rFonts w:hint="eastAsia" w:ascii="楷体" w:hAnsi="楷体" w:eastAsia="楷体" w:cs="楷体"/>
          <w:spacing w:val="-2"/>
          <w:sz w:val="28"/>
          <w:szCs w:val="28"/>
          <w:highlight w:val="none"/>
        </w:rPr>
        <w:t>；</w:t>
      </w:r>
      <w:r>
        <w:rPr>
          <w:rFonts w:ascii="楷体" w:hAnsi="楷体" w:eastAsia="楷体" w:cs="楷体"/>
          <w:spacing w:val="-2"/>
          <w:sz w:val="28"/>
          <w:szCs w:val="28"/>
          <w:highlight w:val="none"/>
        </w:rPr>
        <w:t>决不以任何方式诱使甲方人员接受或共同编造虚假议价及质量资料、影响交易价格或交易之达成、违背职务、将合同权利义务转让给第三方及其它损害甲方利益的行为。</w:t>
      </w:r>
    </w:p>
    <w:p>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7.若乙方发现甲方人员或其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有任何形式的索贿受贿行为，乙方有责任向甲方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纪委监察部门举报（举报电话：0531-58062233，举报邮箱：jianchabu@sinotruk.com）。甲方不得</w:t>
      </w:r>
      <w:r>
        <w:rPr>
          <w:rFonts w:hint="eastAsia" w:ascii="楷体" w:hAnsi="楷体" w:eastAsia="楷体" w:cs="楷体"/>
          <w:spacing w:val="-2"/>
          <w:sz w:val="28"/>
          <w:szCs w:val="28"/>
          <w:highlight w:val="none"/>
        </w:rPr>
        <w:t>以</w:t>
      </w:r>
      <w:r>
        <w:rPr>
          <w:rFonts w:ascii="楷体" w:hAnsi="楷体" w:eastAsia="楷体" w:cs="楷体"/>
          <w:spacing w:val="-2"/>
          <w:sz w:val="28"/>
          <w:szCs w:val="28"/>
          <w:highlight w:val="none"/>
        </w:rPr>
        <w:t>任何借口对乙方进行报复。对举报属实和严格遵守廉洁协议的乙方，在同等条件下甲方优先考虑与乙方继续合作并给予更优惠的商务合作条件。</w:t>
      </w:r>
    </w:p>
    <w:p>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8.若乙方知悉其它与甲方合作的供应商</w:t>
      </w:r>
      <w:r>
        <w:rPr>
          <w:rFonts w:hint="eastAsia" w:ascii="楷体" w:hAnsi="楷体" w:eastAsia="楷体" w:cs="楷体"/>
          <w:spacing w:val="-2"/>
          <w:sz w:val="28"/>
          <w:szCs w:val="28"/>
          <w:highlight w:val="none"/>
        </w:rPr>
        <w:t>、服务商或采购商、经销商等合作伙伴</w:t>
      </w:r>
      <w:r>
        <w:rPr>
          <w:rFonts w:ascii="楷体" w:hAnsi="楷体" w:eastAsia="楷体" w:cs="楷体"/>
          <w:spacing w:val="-2"/>
          <w:sz w:val="28"/>
          <w:szCs w:val="28"/>
          <w:highlight w:val="none"/>
        </w:rPr>
        <w:t>存在违反本协议规定之行为，乙方应向甲方</w:t>
      </w:r>
      <w:r>
        <w:rPr>
          <w:rFonts w:hint="eastAsia" w:ascii="楷体" w:hAnsi="楷体" w:eastAsia="楷体" w:cs="楷体"/>
          <w:spacing w:val="-2"/>
          <w:sz w:val="28"/>
          <w:szCs w:val="28"/>
          <w:highlight w:val="none"/>
        </w:rPr>
        <w:t>或</w:t>
      </w:r>
      <w:r>
        <w:rPr>
          <w:rFonts w:ascii="楷体" w:hAnsi="楷体" w:eastAsia="楷体" w:cs="楷体"/>
          <w:spacing w:val="-2"/>
          <w:sz w:val="28"/>
          <w:szCs w:val="28"/>
          <w:highlight w:val="none"/>
        </w:rPr>
        <w:t>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纪委监察部门检举并提供证据。</w:t>
      </w:r>
    </w:p>
    <w:p>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9.乙方承诺在双方业务往来期间，不得对甲方人员采取任何手段使其离开甲方到乙方或乙方关联企业任职，若出现上述情况，则属于乙方违约，应承担给甲方造成的一切损失。</w:t>
      </w:r>
    </w:p>
    <w:p>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10.乙方承诺不聘任甲方内退领导干部或其他人员在乙方或乙方关联企业工作；乙方承诺不聘任甲方离职或退休三年内的领导干部或其他人员在乙方或乙方关联企业工作。</w:t>
      </w:r>
    </w:p>
    <w:p>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highlight w:val="none"/>
        </w:rPr>
        <w:t>等</w:t>
      </w:r>
      <w:r>
        <w:rPr>
          <w:rFonts w:ascii="楷体" w:hAnsi="楷体" w:eastAsia="楷体" w:cs="楷体"/>
          <w:spacing w:val="-2"/>
          <w:sz w:val="28"/>
          <w:szCs w:val="28"/>
          <w:highlight w:val="none"/>
        </w:rPr>
        <w:t>能够对其实际支配的企业或单位。</w:t>
      </w:r>
    </w:p>
    <w:p>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14.本协议作为执行</w:t>
      </w:r>
      <w:r>
        <w:rPr>
          <w:rFonts w:hint="eastAsia" w:ascii="楷体" w:hAnsi="楷体" w:eastAsia="楷体" w:cs="楷体"/>
          <w:spacing w:val="-2"/>
          <w:sz w:val="28"/>
          <w:szCs w:val="28"/>
          <w:highlight w:val="none"/>
        </w:rPr>
        <w:t>甲乙双方</w:t>
      </w:r>
      <w:r>
        <w:rPr>
          <w:rFonts w:ascii="楷体" w:hAnsi="楷体" w:eastAsia="楷体" w:cs="楷体"/>
          <w:spacing w:val="-2"/>
          <w:sz w:val="28"/>
          <w:szCs w:val="28"/>
          <w:highlight w:val="none"/>
        </w:rPr>
        <w:t>采购协议</w:t>
      </w:r>
      <w:r>
        <w:rPr>
          <w:rFonts w:hint="eastAsia" w:ascii="楷体" w:hAnsi="楷体" w:eastAsia="楷体" w:cs="楷体"/>
          <w:spacing w:val="-2"/>
          <w:sz w:val="28"/>
          <w:szCs w:val="28"/>
          <w:highlight w:val="none"/>
        </w:rPr>
        <w:t>或其他合作合同、协议</w:t>
      </w:r>
      <w:r>
        <w:rPr>
          <w:rFonts w:ascii="楷体" w:hAnsi="楷体" w:eastAsia="楷体" w:cs="楷体"/>
          <w:spacing w:val="-2"/>
          <w:sz w:val="28"/>
          <w:szCs w:val="28"/>
          <w:highlight w:val="none"/>
        </w:rPr>
        <w:t>的附件，自双方签署之日起生效，此协议在</w:t>
      </w:r>
      <w:r>
        <w:rPr>
          <w:rFonts w:hint="eastAsia" w:ascii="楷体" w:hAnsi="楷体" w:eastAsia="楷体" w:cs="楷体"/>
          <w:spacing w:val="-2"/>
          <w:sz w:val="28"/>
          <w:szCs w:val="28"/>
          <w:highlight w:val="none"/>
        </w:rPr>
        <w:t>甲乙</w:t>
      </w:r>
      <w:r>
        <w:rPr>
          <w:rFonts w:ascii="楷体" w:hAnsi="楷体" w:eastAsia="楷体" w:cs="楷体"/>
          <w:spacing w:val="-2"/>
          <w:sz w:val="28"/>
          <w:szCs w:val="28"/>
          <w:highlight w:val="none"/>
        </w:rPr>
        <w:t>双方</w:t>
      </w:r>
      <w:r>
        <w:rPr>
          <w:rFonts w:hint="eastAsia" w:ascii="楷体" w:hAnsi="楷体" w:eastAsia="楷体" w:cs="楷体"/>
          <w:spacing w:val="-2"/>
          <w:sz w:val="28"/>
          <w:szCs w:val="28"/>
          <w:highlight w:val="none"/>
        </w:rPr>
        <w:t>业务</w:t>
      </w:r>
      <w:r>
        <w:rPr>
          <w:rFonts w:ascii="楷体" w:hAnsi="楷体" w:eastAsia="楷体" w:cs="楷体"/>
          <w:spacing w:val="-2"/>
          <w:sz w:val="28"/>
          <w:szCs w:val="28"/>
          <w:highlight w:val="none"/>
        </w:rPr>
        <w:t>合作期间有效</w:t>
      </w:r>
      <w:r>
        <w:rPr>
          <w:rFonts w:hint="eastAsia" w:ascii="楷体" w:hAnsi="楷体" w:eastAsia="楷体" w:cs="楷体"/>
          <w:spacing w:val="-2"/>
          <w:sz w:val="28"/>
          <w:szCs w:val="28"/>
          <w:highlight w:val="none"/>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w:t>
      </w:r>
      <w:r>
        <w:rPr>
          <w:rFonts w:hint="eastAsia" w:ascii="楷体" w:hAnsi="楷体" w:eastAsia="楷体" w:cs="楷体"/>
          <w:spacing w:val="-2"/>
          <w:sz w:val="28"/>
          <w:szCs w:val="28"/>
          <w:highlight w:val="none"/>
        </w:rPr>
        <w:t>5</w:t>
      </w:r>
      <w:r>
        <w:rPr>
          <w:rFonts w:ascii="楷体" w:hAnsi="楷体" w:eastAsia="楷体" w:cs="楷体"/>
          <w:spacing w:val="-2"/>
          <w:sz w:val="28"/>
          <w:szCs w:val="28"/>
          <w:highlight w:val="none"/>
        </w:rPr>
        <w:t>.本协议一式二份，双方各执一份，具有同等法律效力。若产生争议，双方协商解决，协商不成的在甲方所在地有管辖权的法院诉讼解决。</w:t>
      </w:r>
    </w:p>
    <w:p>
      <w:pPr>
        <w:pStyle w:val="6"/>
        <w:spacing w:before="9"/>
        <w:rPr>
          <w:rFonts w:ascii="楷体" w:hAnsi="楷体" w:eastAsia="楷体" w:cs="楷体"/>
          <w:sz w:val="40"/>
          <w:szCs w:val="28"/>
          <w:highlight w:val="none"/>
        </w:rPr>
      </w:pPr>
    </w:p>
    <w:p>
      <w:pPr>
        <w:tabs>
          <w:tab w:val="left" w:pos="5457"/>
        </w:tabs>
        <w:spacing w:before="1"/>
        <w:ind w:left="117"/>
        <w:outlineLvl w:val="0"/>
        <w:rPr>
          <w:rFonts w:ascii="楷体" w:hAnsi="楷体" w:eastAsia="楷体" w:cs="楷体"/>
          <w:b/>
          <w:sz w:val="24"/>
          <w:szCs w:val="21"/>
          <w:highlight w:val="none"/>
        </w:rPr>
      </w:pPr>
      <w:bookmarkStart w:id="22" w:name="_Toc3301"/>
      <w:r>
        <w:rPr>
          <w:rFonts w:hint="eastAsia" w:ascii="楷体" w:hAnsi="楷体" w:eastAsia="楷体" w:cs="楷体"/>
          <w:b/>
          <w:spacing w:val="-1"/>
          <w:w w:val="99"/>
          <w:sz w:val="24"/>
          <w:szCs w:val="21"/>
          <w:highlight w:val="none"/>
        </w:rPr>
        <w:t>甲方（盖章</w:t>
      </w:r>
      <w:r>
        <w:rPr>
          <w:rFonts w:hint="eastAsia" w:ascii="楷体" w:hAnsi="楷体" w:eastAsia="楷体" w:cs="楷体"/>
          <w:b/>
          <w:spacing w:val="-140"/>
          <w:w w:val="99"/>
          <w:sz w:val="24"/>
          <w:szCs w:val="21"/>
          <w:highlight w:val="none"/>
        </w:rPr>
        <w:t>）</w:t>
      </w:r>
      <w:r>
        <w:rPr>
          <w:rFonts w:hint="eastAsia" w:ascii="楷体" w:hAnsi="楷体" w:eastAsia="楷体" w:cs="楷体"/>
          <w:b/>
          <w:w w:val="99"/>
          <w:sz w:val="24"/>
          <w:szCs w:val="21"/>
          <w:highlight w:val="none"/>
        </w:rPr>
        <w:t>：</w:t>
      </w:r>
      <w:r>
        <w:rPr>
          <w:rFonts w:hint="eastAsia" w:ascii="楷体" w:hAnsi="楷体" w:eastAsia="楷体" w:cs="楷体"/>
          <w:b/>
          <w:sz w:val="24"/>
          <w:szCs w:val="21"/>
          <w:highlight w:val="none"/>
        </w:rPr>
        <w:tab/>
      </w:r>
      <w:r>
        <w:rPr>
          <w:rFonts w:hint="eastAsia" w:ascii="楷体" w:hAnsi="楷体" w:eastAsia="楷体" w:cs="楷体"/>
          <w:b/>
          <w:spacing w:val="-1"/>
          <w:w w:val="99"/>
          <w:sz w:val="24"/>
          <w:szCs w:val="21"/>
          <w:highlight w:val="none"/>
        </w:rPr>
        <w:t>乙方（盖</w:t>
      </w:r>
      <w:r>
        <w:rPr>
          <w:rFonts w:hint="eastAsia" w:ascii="楷体" w:hAnsi="楷体" w:eastAsia="楷体" w:cs="楷体"/>
          <w:b/>
          <w:spacing w:val="2"/>
          <w:w w:val="99"/>
          <w:sz w:val="24"/>
          <w:szCs w:val="21"/>
          <w:highlight w:val="none"/>
        </w:rPr>
        <w:t>章</w:t>
      </w:r>
      <w:r>
        <w:rPr>
          <w:rFonts w:hint="eastAsia" w:ascii="楷体" w:hAnsi="楷体" w:eastAsia="楷体" w:cs="楷体"/>
          <w:b/>
          <w:spacing w:val="-142"/>
          <w:w w:val="99"/>
          <w:sz w:val="24"/>
          <w:szCs w:val="21"/>
          <w:highlight w:val="none"/>
        </w:rPr>
        <w:t>）</w:t>
      </w:r>
      <w:r>
        <w:rPr>
          <w:rFonts w:hint="eastAsia" w:ascii="楷体" w:hAnsi="楷体" w:eastAsia="楷体" w:cs="楷体"/>
          <w:b/>
          <w:w w:val="99"/>
          <w:sz w:val="24"/>
          <w:szCs w:val="21"/>
          <w:highlight w:val="none"/>
        </w:rPr>
        <w:t>：</w:t>
      </w:r>
      <w:bookmarkEnd w:id="22"/>
    </w:p>
    <w:p>
      <w:pPr>
        <w:pStyle w:val="6"/>
        <w:rPr>
          <w:rFonts w:ascii="楷体" w:hAnsi="楷体" w:eastAsia="楷体" w:cs="楷体"/>
          <w:b/>
          <w:sz w:val="24"/>
          <w:szCs w:val="28"/>
          <w:highlight w:val="none"/>
        </w:rPr>
      </w:pPr>
    </w:p>
    <w:p>
      <w:pPr>
        <w:pStyle w:val="6"/>
        <w:spacing w:before="1"/>
        <w:rPr>
          <w:rFonts w:ascii="楷体" w:hAnsi="楷体" w:eastAsia="楷体" w:cs="楷体"/>
          <w:b/>
          <w:sz w:val="24"/>
          <w:szCs w:val="28"/>
          <w:highlight w:val="none"/>
        </w:rPr>
      </w:pPr>
    </w:p>
    <w:p>
      <w:pPr>
        <w:tabs>
          <w:tab w:val="left" w:pos="5457"/>
        </w:tabs>
        <w:ind w:left="117"/>
        <w:outlineLvl w:val="0"/>
        <w:rPr>
          <w:rFonts w:ascii="楷体" w:hAnsi="楷体" w:eastAsia="楷体" w:cs="楷体"/>
          <w:b/>
          <w:sz w:val="24"/>
          <w:szCs w:val="21"/>
          <w:highlight w:val="none"/>
        </w:rPr>
      </w:pPr>
      <w:bookmarkStart w:id="23" w:name="_Toc5270"/>
      <w:r>
        <w:rPr>
          <w:rFonts w:hint="eastAsia" w:ascii="楷体" w:hAnsi="楷体" w:eastAsia="楷体" w:cs="楷体"/>
          <w:b/>
          <w:sz w:val="24"/>
          <w:szCs w:val="21"/>
          <w:highlight w:val="none"/>
        </w:rPr>
        <w:t>法定代表/授权代表</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法定代表/授权代表</w:t>
      </w:r>
      <w:bookmarkEnd w:id="23"/>
    </w:p>
    <w:p>
      <w:pPr>
        <w:pStyle w:val="6"/>
        <w:rPr>
          <w:rFonts w:ascii="楷体" w:hAnsi="楷体" w:eastAsia="楷体" w:cs="楷体"/>
          <w:b/>
          <w:sz w:val="24"/>
          <w:szCs w:val="28"/>
          <w:highlight w:val="none"/>
        </w:rPr>
      </w:pPr>
    </w:p>
    <w:p>
      <w:pPr>
        <w:pStyle w:val="6"/>
        <w:spacing w:before="4"/>
        <w:rPr>
          <w:rFonts w:ascii="楷体" w:hAnsi="楷体" w:eastAsia="楷体" w:cs="楷体"/>
          <w:b/>
          <w:sz w:val="24"/>
          <w:szCs w:val="28"/>
          <w:highlight w:val="none"/>
        </w:rPr>
      </w:pPr>
    </w:p>
    <w:p>
      <w:pPr>
        <w:tabs>
          <w:tab w:val="left" w:pos="5457"/>
        </w:tabs>
        <w:ind w:left="117"/>
        <w:outlineLvl w:val="0"/>
        <w:rPr>
          <w:rFonts w:ascii="Calibri" w:hAnsi="Calibri"/>
          <w:b/>
          <w:bCs/>
          <w:kern w:val="44"/>
          <w:sz w:val="36"/>
          <w:szCs w:val="44"/>
          <w:highlight w:val="none"/>
        </w:rPr>
        <w:sectPr>
          <w:pgSz w:w="11906" w:h="16838"/>
          <w:pgMar w:top="1587" w:right="1417" w:bottom="1134" w:left="1417" w:header="851" w:footer="992" w:gutter="0"/>
          <w:pgNumType w:fmt="decimal"/>
          <w:cols w:space="0" w:num="1"/>
          <w:titlePg/>
          <w:rtlGutter w:val="0"/>
          <w:docGrid w:type="lines" w:linePitch="312" w:charSpace="0"/>
        </w:sectPr>
      </w:pPr>
      <w:bookmarkStart w:id="24" w:name="_Toc4135"/>
      <w:r>
        <w:rPr>
          <w:rFonts w:hint="eastAsia" w:ascii="楷体" w:hAnsi="楷体" w:eastAsia="楷体" w:cs="楷体"/>
          <w:b/>
          <w:sz w:val="24"/>
          <w:szCs w:val="21"/>
          <w:highlight w:val="none"/>
        </w:rPr>
        <w:t>日</w:t>
      </w:r>
      <w:r>
        <w:rPr>
          <w:rFonts w:hint="eastAsia" w:ascii="楷体" w:hAnsi="楷体" w:eastAsia="楷体" w:cs="楷体"/>
          <w:b/>
          <w:spacing w:val="-4"/>
          <w:sz w:val="24"/>
          <w:szCs w:val="21"/>
          <w:highlight w:val="none"/>
        </w:rPr>
        <w:t xml:space="preserve"> </w:t>
      </w:r>
      <w:r>
        <w:rPr>
          <w:rFonts w:hint="eastAsia" w:ascii="楷体" w:hAnsi="楷体" w:eastAsia="楷体" w:cs="楷体"/>
          <w:b/>
          <w:sz w:val="24"/>
          <w:szCs w:val="21"/>
          <w:highlight w:val="none"/>
        </w:rPr>
        <w:t>期:</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日 期:</w:t>
      </w:r>
      <w:bookmarkEnd w:id="24"/>
    </w:p>
    <w:p>
      <w:pPr>
        <w:keepNext w:val="0"/>
        <w:keepLines w:val="0"/>
        <w:pageBreakBefore w:val="0"/>
        <w:widowControl w:val="0"/>
        <w:kinsoku/>
        <w:wordWrap/>
        <w:overflowPunct/>
        <w:topLinePunct w:val="0"/>
        <w:autoSpaceDE/>
        <w:autoSpaceDN/>
        <w:bidi w:val="0"/>
        <w:spacing w:line="500" w:lineRule="exact"/>
        <w:jc w:val="both"/>
        <w:textAlignment w:val="auto"/>
        <w:rPr>
          <w:rFonts w:ascii="宋体" w:hAnsi="Courier New"/>
          <w:highlight w:val="none"/>
        </w:rPr>
      </w:pPr>
    </w:p>
    <w:p>
      <w:pPr>
        <w:pStyle w:val="9"/>
        <w:keepNext w:val="0"/>
        <w:keepLines w:val="0"/>
        <w:pageBreakBefore w:val="0"/>
        <w:widowControl w:val="0"/>
        <w:kinsoku/>
        <w:wordWrap/>
        <w:overflowPunct/>
        <w:topLinePunct w:val="0"/>
        <w:autoSpaceDE/>
        <w:autoSpaceDN/>
        <w:bidi w:val="0"/>
        <w:spacing w:line="500" w:lineRule="exact"/>
        <w:jc w:val="center"/>
        <w:textAlignment w:val="auto"/>
        <w:outlineLvl w:val="1"/>
        <w:rPr>
          <w:rFonts w:ascii="Times New Roman" w:hAnsi="Times New Roman" w:eastAsia="黑体" w:cs="Times New Roman"/>
          <w:b/>
          <w:bCs/>
          <w:sz w:val="36"/>
          <w:highlight w:val="none"/>
        </w:rPr>
      </w:pPr>
      <w:r>
        <w:rPr>
          <w:rFonts w:hint="eastAsia" w:ascii="Times New Roman" w:hAnsi="Times New Roman" w:eastAsia="黑体" w:cs="Times New Roman"/>
          <w:b/>
          <w:bCs/>
          <w:sz w:val="36"/>
          <w:highlight w:val="none"/>
        </w:rPr>
        <w:t>SRM非生产供应商注册操作手册</w:t>
      </w:r>
    </w:p>
    <w:p>
      <w:pPr>
        <w:pStyle w:val="9"/>
        <w:keepNext w:val="0"/>
        <w:keepLines w:val="0"/>
        <w:pageBreakBefore w:val="0"/>
        <w:widowControl w:val="0"/>
        <w:kinsoku/>
        <w:wordWrap/>
        <w:overflowPunct/>
        <w:topLinePunct w:val="0"/>
        <w:autoSpaceDE/>
        <w:autoSpaceDN/>
        <w:bidi w:val="0"/>
        <w:spacing w:line="500" w:lineRule="exact"/>
        <w:jc w:val="center"/>
        <w:textAlignment w:val="auto"/>
        <w:rPr>
          <w:highlight w:val="none"/>
        </w:rPr>
      </w:pPr>
    </w:p>
    <w:p>
      <w:pPr>
        <w:keepNext w:val="0"/>
        <w:keepLines w:val="0"/>
        <w:pageBreakBefore w:val="0"/>
        <w:widowControl w:val="0"/>
        <w:kinsoku/>
        <w:wordWrap/>
        <w:overflowPunct/>
        <w:topLinePunct w:val="0"/>
        <w:autoSpaceDE/>
        <w:autoSpaceDN/>
        <w:bidi w:val="0"/>
        <w:adjustRightInd w:val="0"/>
        <w:snapToGrid w:val="0"/>
        <w:spacing w:line="500" w:lineRule="exact"/>
        <w:jc w:val="left"/>
        <w:textAlignment w:val="auto"/>
        <w:rPr>
          <w:rFonts w:ascii="宋体" w:hAnsi="宋体" w:cs="宋体"/>
          <w:sz w:val="24"/>
          <w:szCs w:val="24"/>
          <w:highlight w:val="none"/>
        </w:rPr>
      </w:pPr>
      <w:r>
        <w:rPr>
          <w:rFonts w:ascii="宋体" w:hAnsi="宋体" w:cs="宋体"/>
          <w:sz w:val="24"/>
          <w:szCs w:val="24"/>
          <w:highlight w:val="none"/>
        </w:rPr>
        <w:t>浏览器中输入地址;</w:t>
      </w:r>
    </w:p>
    <w:p>
      <w:pPr>
        <w:keepNext w:val="0"/>
        <w:keepLines w:val="0"/>
        <w:pageBreakBefore w:val="0"/>
        <w:widowControl w:val="0"/>
        <w:kinsoku/>
        <w:wordWrap/>
        <w:overflowPunct/>
        <w:topLinePunct w:val="0"/>
        <w:autoSpaceDE/>
        <w:autoSpaceDN/>
        <w:bidi w:val="0"/>
        <w:adjustRightInd w:val="0"/>
        <w:snapToGrid w:val="0"/>
        <w:spacing w:line="500" w:lineRule="exact"/>
        <w:jc w:val="left"/>
        <w:textAlignment w:val="auto"/>
        <w:rPr>
          <w:rFonts w:ascii="宋体" w:hAnsi="宋体" w:cs="宋体"/>
          <w:sz w:val="24"/>
          <w:szCs w:val="24"/>
          <w:highlight w:val="none"/>
        </w:rPr>
      </w:pPr>
      <w:r>
        <w:rPr>
          <w:highlight w:val="none"/>
        </w:rPr>
        <w:fldChar w:fldCharType="begin"/>
      </w:r>
      <w:r>
        <w:rPr>
          <w:highlight w:val="none"/>
        </w:rPr>
        <w:instrText xml:space="preserve"> HYPERLINK "http://ecaitong.sinotruk.com:8012/#/login" \t "dlt" </w:instrText>
      </w:r>
      <w:r>
        <w:rPr>
          <w:highlight w:val="none"/>
        </w:rPr>
        <w:fldChar w:fldCharType="separate"/>
      </w:r>
      <w:r>
        <w:rPr>
          <w:rFonts w:ascii="宋体" w:hAnsi="宋体" w:cs="宋体"/>
          <w:sz w:val="24"/>
          <w:szCs w:val="24"/>
          <w:highlight w:val="none"/>
        </w:rPr>
        <w:t>http</w:t>
      </w:r>
      <w:r>
        <w:rPr>
          <w:rFonts w:hint="eastAsia" w:ascii="宋体" w:hAnsi="宋体" w:cs="宋体"/>
          <w:sz w:val="24"/>
          <w:szCs w:val="24"/>
          <w:highlight w:val="none"/>
        </w:rPr>
        <w:t>s</w:t>
      </w:r>
      <w:r>
        <w:rPr>
          <w:rFonts w:ascii="宋体" w:hAnsi="宋体" w:cs="宋体"/>
          <w:sz w:val="24"/>
          <w:szCs w:val="24"/>
          <w:highlight w:val="none"/>
        </w:rPr>
        <w:t>://ecaitong.sinotruk.com:8012/#/login</w:t>
      </w:r>
      <w:r>
        <w:rPr>
          <w:rFonts w:ascii="宋体" w:hAnsi="宋体" w:cs="宋体"/>
          <w:sz w:val="24"/>
          <w:szCs w:val="24"/>
          <w:highlight w:val="none"/>
        </w:rPr>
        <w:fldChar w:fldCharType="end"/>
      </w:r>
    </w:p>
    <w:p>
      <w:pPr>
        <w:adjustRightInd w:val="0"/>
        <w:snapToGrid w:val="0"/>
        <w:spacing w:line="360" w:lineRule="auto"/>
        <w:jc w:val="left"/>
        <w:outlineLvl w:val="1"/>
        <w:rPr>
          <w:rFonts w:ascii="宋体" w:hAnsi="宋体" w:cs="宋体"/>
          <w:sz w:val="24"/>
          <w:szCs w:val="24"/>
          <w:highlight w:val="none"/>
        </w:rPr>
      </w:pPr>
      <w:r>
        <w:rPr>
          <w:rFonts w:ascii="宋体" w:hAnsi="宋体" w:cs="宋体"/>
          <w:sz w:val="24"/>
          <w:szCs w:val="24"/>
          <w:highlight w:val="none"/>
        </w:rPr>
        <w:t>1.点击立即注册</w:t>
      </w:r>
    </w:p>
    <w:p>
      <w:pPr>
        <w:snapToGrid w:val="0"/>
        <w:spacing w:line="312" w:lineRule="auto"/>
        <w:rPr>
          <w:highlight w:val="none"/>
        </w:rPr>
      </w:pPr>
      <w:r>
        <w:rPr>
          <w:highlight w:val="none"/>
        </w:rPr>
        <w:drawing>
          <wp:inline distT="0" distB="0" distL="0" distR="0">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8"/>
                    <a:stretch>
                      <a:fillRect/>
                    </a:stretch>
                  </pic:blipFill>
                  <pic:spPr>
                    <a:xfrm>
                      <a:off x="0" y="0"/>
                      <a:ext cx="5760085" cy="2933377"/>
                    </a:xfrm>
                    <a:prstGeom prst="rect">
                      <a:avLst/>
                    </a:prstGeom>
                  </pic:spPr>
                </pic:pic>
              </a:graphicData>
            </a:graphic>
          </wp:inline>
        </w:drawing>
      </w:r>
    </w:p>
    <w:p>
      <w:pPr>
        <w:spacing w:line="360" w:lineRule="auto"/>
        <w:outlineLvl w:val="1"/>
        <w:rPr>
          <w:rFonts w:ascii="宋体" w:hAnsi="宋体" w:cs="宋体"/>
          <w:sz w:val="24"/>
          <w:szCs w:val="28"/>
          <w:highlight w:val="none"/>
        </w:rPr>
      </w:pPr>
      <w:r>
        <w:rPr>
          <w:rFonts w:hint="eastAsia" w:ascii="宋体" w:hAnsi="宋体" w:cs="宋体"/>
          <w:color w:val="000000"/>
          <w:sz w:val="24"/>
          <w:szCs w:val="28"/>
          <w:highlight w:val="none"/>
        </w:rPr>
        <w:t>2.</w:t>
      </w:r>
      <w:r>
        <w:rPr>
          <w:rFonts w:ascii="宋体" w:hAnsi="宋体" w:cs="宋体"/>
          <w:color w:val="000000"/>
          <w:sz w:val="24"/>
          <w:szCs w:val="28"/>
          <w:highlight w:val="none"/>
        </w:rPr>
        <w:t>填写手机号码（没有注册过的）</w:t>
      </w:r>
    </w:p>
    <w:p>
      <w:pPr>
        <w:snapToGrid w:val="0"/>
        <w:spacing w:line="312" w:lineRule="auto"/>
        <w:rPr>
          <w:highlight w:val="none"/>
        </w:rPr>
      </w:pPr>
      <w:r>
        <w:rPr>
          <w:highlight w:val="none"/>
        </w:rPr>
        <w:drawing>
          <wp:inline distT="0" distB="0" distL="0" distR="0">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9"/>
                    <a:stretch>
                      <a:fillRect/>
                    </a:stretch>
                  </pic:blipFill>
                  <pic:spPr>
                    <a:xfrm>
                      <a:off x="0" y="0"/>
                      <a:ext cx="5760085" cy="2766707"/>
                    </a:xfrm>
                    <a:prstGeom prst="rect">
                      <a:avLst/>
                    </a:prstGeom>
                  </pic:spPr>
                </pic:pic>
              </a:graphicData>
            </a:graphic>
          </wp:inline>
        </w:drawing>
      </w:r>
    </w:p>
    <w:p>
      <w:pPr>
        <w:spacing w:line="360" w:lineRule="auto"/>
        <w:outlineLvl w:val="1"/>
        <w:rPr>
          <w:rFonts w:ascii="宋体" w:hAnsi="宋体" w:cs="宋体"/>
          <w:sz w:val="24"/>
          <w:szCs w:val="28"/>
          <w:highlight w:val="none"/>
        </w:rPr>
      </w:pPr>
      <w:r>
        <w:rPr>
          <w:rFonts w:hint="eastAsia" w:ascii="宋体" w:hAnsi="宋体" w:cs="宋体"/>
          <w:color w:val="000000"/>
          <w:sz w:val="24"/>
          <w:szCs w:val="28"/>
          <w:highlight w:val="none"/>
        </w:rPr>
        <w:t>3.</w:t>
      </w:r>
      <w:r>
        <w:rPr>
          <w:rFonts w:ascii="宋体" w:hAnsi="宋体" w:cs="宋体"/>
          <w:color w:val="000000"/>
          <w:sz w:val="24"/>
          <w:szCs w:val="28"/>
          <w:highlight w:val="none"/>
        </w:rPr>
        <w:t>注册成功登录这个手机号码的账号进入系统，点击供应商注册</w:t>
      </w:r>
    </w:p>
    <w:p>
      <w:pPr>
        <w:snapToGrid w:val="0"/>
        <w:spacing w:line="312" w:lineRule="auto"/>
        <w:rPr>
          <w:highlight w:val="none"/>
        </w:rPr>
      </w:pPr>
      <w:r>
        <w:rPr>
          <w:highlight w:val="none"/>
        </w:rPr>
        <w:drawing>
          <wp:inline distT="0" distB="0" distL="0" distR="0">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0"/>
                    <a:stretch>
                      <a:fillRect/>
                    </a:stretch>
                  </pic:blipFill>
                  <pic:spPr>
                    <a:xfrm>
                      <a:off x="0" y="0"/>
                      <a:ext cx="5760085" cy="2870054"/>
                    </a:xfrm>
                    <a:prstGeom prst="rect">
                      <a:avLst/>
                    </a:prstGeom>
                  </pic:spPr>
                </pic:pic>
              </a:graphicData>
            </a:graphic>
          </wp:inline>
        </w:drawing>
      </w:r>
    </w:p>
    <w:p>
      <w:pPr>
        <w:spacing w:line="360" w:lineRule="auto"/>
        <w:outlineLvl w:val="1"/>
        <w:rPr>
          <w:rFonts w:ascii="宋体" w:hAnsi="宋体" w:cs="宋体"/>
          <w:sz w:val="24"/>
          <w:szCs w:val="28"/>
          <w:highlight w:val="none"/>
        </w:rPr>
      </w:pPr>
      <w:r>
        <w:rPr>
          <w:rFonts w:hint="eastAsia" w:ascii="宋体" w:hAnsi="宋体" w:cs="宋体"/>
          <w:color w:val="000000"/>
          <w:sz w:val="24"/>
          <w:szCs w:val="28"/>
          <w:highlight w:val="none"/>
        </w:rPr>
        <w:t>4.</w:t>
      </w:r>
      <w:r>
        <w:rPr>
          <w:rFonts w:ascii="宋体" w:hAnsi="宋体" w:cs="宋体"/>
          <w:color w:val="000000"/>
          <w:sz w:val="24"/>
          <w:szCs w:val="28"/>
          <w:highlight w:val="none"/>
        </w:rPr>
        <w:t>点击新增</w:t>
      </w:r>
    </w:p>
    <w:p>
      <w:pPr>
        <w:snapToGrid w:val="0"/>
        <w:spacing w:line="312" w:lineRule="auto"/>
        <w:rPr>
          <w:highlight w:val="none"/>
        </w:rPr>
      </w:pPr>
      <w:r>
        <w:rPr>
          <w:highlight w:val="none"/>
        </w:rPr>
        <w:drawing>
          <wp:inline distT="0" distB="0" distL="0" distR="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1"/>
                    <a:stretch>
                      <a:fillRect/>
                    </a:stretch>
                  </pic:blipFill>
                  <pic:spPr>
                    <a:xfrm>
                      <a:off x="0" y="0"/>
                      <a:ext cx="5760085" cy="2853375"/>
                    </a:xfrm>
                    <a:prstGeom prst="rect">
                      <a:avLst/>
                    </a:prstGeom>
                  </pic:spPr>
                </pic:pic>
              </a:graphicData>
            </a:graphic>
          </wp:inline>
        </w:drawing>
      </w:r>
    </w:p>
    <w:p>
      <w:pPr>
        <w:spacing w:line="360" w:lineRule="auto"/>
        <w:outlineLvl w:val="1"/>
        <w:rPr>
          <w:rFonts w:ascii="宋体" w:hAnsi="宋体" w:cs="宋体"/>
          <w:sz w:val="24"/>
          <w:szCs w:val="28"/>
          <w:highlight w:val="none"/>
        </w:rPr>
      </w:pPr>
      <w:r>
        <w:rPr>
          <w:rFonts w:hint="eastAsia" w:ascii="宋体" w:hAnsi="宋体" w:cs="宋体"/>
          <w:sz w:val="24"/>
          <w:szCs w:val="28"/>
          <w:highlight w:val="none"/>
        </w:rPr>
        <w:t>5</w:t>
      </w:r>
      <w:r>
        <w:rPr>
          <w:rFonts w:hint="eastAsia" w:ascii="宋体" w:hAnsi="宋体" w:cs="宋体"/>
          <w:color w:val="000000"/>
          <w:sz w:val="24"/>
          <w:szCs w:val="28"/>
          <w:highlight w:val="none"/>
        </w:rPr>
        <w:t>.</w:t>
      </w:r>
      <w:r>
        <w:rPr>
          <w:rFonts w:ascii="宋体" w:hAnsi="宋体" w:cs="宋体"/>
          <w:color w:val="000000"/>
          <w:sz w:val="24"/>
          <w:szCs w:val="28"/>
          <w:highlight w:val="none"/>
        </w:rPr>
        <w:t>按要求填写所有信息，注意非生产类要填写合作单位，最后提交审批</w:t>
      </w:r>
    </w:p>
    <w:p>
      <w:pPr>
        <w:pStyle w:val="9"/>
        <w:rPr>
          <w:highlight w:val="none"/>
        </w:rPr>
      </w:pPr>
    </w:p>
    <w:p>
      <w:pPr>
        <w:rPr>
          <w:highlight w:val="none"/>
        </w:rPr>
      </w:pPr>
      <w:r>
        <w:rPr>
          <w:highlight w:val="none"/>
        </w:rPr>
        <w:drawing>
          <wp:inline distT="0" distB="0" distL="0" distR="0">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2"/>
                    <a:stretch>
                      <a:fillRect/>
                    </a:stretch>
                  </pic:blipFill>
                  <pic:spPr>
                    <a:xfrm>
                      <a:off x="0" y="0"/>
                      <a:ext cx="5760085" cy="2810122"/>
                    </a:xfrm>
                    <a:prstGeom prst="rect">
                      <a:avLst/>
                    </a:prstGeom>
                  </pic:spPr>
                </pic:pic>
              </a:graphicData>
            </a:graphic>
          </wp:inline>
        </w:drawing>
      </w:r>
    </w:p>
    <w:p>
      <w:pPr>
        <w:pStyle w:val="9"/>
        <w:rPr>
          <w:highlight w:val="none"/>
        </w:rPr>
      </w:pPr>
      <w:r>
        <w:rPr>
          <w:highlight w:val="none"/>
        </w:rPr>
        <w:drawing>
          <wp:inline distT="0" distB="0" distL="0" distR="0">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3"/>
                    <a:stretch>
                      <a:fillRect/>
                    </a:stretch>
                  </pic:blipFill>
                  <pic:spPr>
                    <a:xfrm>
                      <a:off x="0" y="0"/>
                      <a:ext cx="5760085" cy="2820042"/>
                    </a:xfrm>
                    <a:prstGeom prst="rect">
                      <a:avLst/>
                    </a:prstGeom>
                  </pic:spPr>
                </pic:pic>
              </a:graphicData>
            </a:graphic>
          </wp:inline>
        </w:drawing>
      </w:r>
    </w:p>
    <w:p>
      <w:pPr>
        <w:pStyle w:val="9"/>
        <w:rPr>
          <w:highlight w:val="none"/>
        </w:rPr>
      </w:pPr>
    </w:p>
    <w:p>
      <w:pPr>
        <w:pStyle w:val="9"/>
        <w:rPr>
          <w:rFonts w:hAnsi="宋体" w:cs="Times New Roman"/>
          <w:b/>
          <w:color w:val="000000"/>
          <w:sz w:val="24"/>
          <w:szCs w:val="24"/>
          <w:highlight w:val="none"/>
        </w:rPr>
      </w:pPr>
    </w:p>
    <w:p>
      <w:pPr>
        <w:pStyle w:val="9"/>
        <w:rPr>
          <w:rFonts w:hAnsi="宋体" w:cs="Times New Roman"/>
          <w:b/>
          <w:color w:val="000000"/>
          <w:sz w:val="24"/>
          <w:szCs w:val="24"/>
          <w:highlight w:val="none"/>
        </w:rPr>
      </w:pPr>
    </w:p>
    <w:p>
      <w:pPr>
        <w:pStyle w:val="9"/>
        <w:rPr>
          <w:rFonts w:hAnsi="宋体" w:cs="Times New Roman"/>
          <w:b/>
          <w:color w:val="000000"/>
          <w:sz w:val="24"/>
          <w:szCs w:val="24"/>
          <w:highlight w:val="none"/>
        </w:rPr>
      </w:pPr>
    </w:p>
    <w:p>
      <w:pPr>
        <w:pStyle w:val="9"/>
        <w:rPr>
          <w:rFonts w:hAnsi="宋体" w:cs="Times New Roman"/>
          <w:b/>
          <w:color w:val="000000"/>
          <w:sz w:val="24"/>
          <w:szCs w:val="24"/>
          <w:highlight w:val="none"/>
        </w:rPr>
      </w:pPr>
    </w:p>
    <w:p>
      <w:pPr>
        <w:pStyle w:val="9"/>
        <w:rPr>
          <w:rFonts w:hAnsi="宋体" w:cs="Times New Roman"/>
          <w:b/>
          <w:color w:val="000000"/>
          <w:sz w:val="24"/>
          <w:szCs w:val="24"/>
          <w:highlight w:val="none"/>
        </w:rPr>
      </w:pPr>
    </w:p>
    <w:p>
      <w:pPr>
        <w:pStyle w:val="9"/>
        <w:rPr>
          <w:rFonts w:hAnsi="宋体" w:cs="Times New Roman"/>
          <w:b/>
          <w:color w:val="000000"/>
          <w:sz w:val="24"/>
          <w:szCs w:val="24"/>
          <w:highlight w:val="none"/>
        </w:rPr>
      </w:pPr>
    </w:p>
    <w:p>
      <w:pPr>
        <w:pStyle w:val="9"/>
        <w:rPr>
          <w:rFonts w:hAnsi="宋体" w:cs="Times New Roman"/>
          <w:b/>
          <w:color w:val="000000"/>
          <w:sz w:val="24"/>
          <w:szCs w:val="24"/>
          <w:highlight w:val="none"/>
        </w:rPr>
      </w:pPr>
    </w:p>
    <w:p>
      <w:pPr>
        <w:pStyle w:val="9"/>
        <w:rPr>
          <w:rFonts w:hAnsi="宋体" w:cs="Times New Roman"/>
          <w:b/>
          <w:color w:val="000000"/>
          <w:sz w:val="24"/>
          <w:szCs w:val="24"/>
          <w:highlight w:val="none"/>
        </w:rPr>
      </w:pPr>
    </w:p>
    <w:p>
      <w:pPr>
        <w:pStyle w:val="9"/>
        <w:rPr>
          <w:rFonts w:hAnsi="宋体" w:cs="Times New Roman"/>
          <w:b/>
          <w:color w:val="000000"/>
          <w:sz w:val="24"/>
          <w:szCs w:val="24"/>
          <w:highlight w:val="none"/>
        </w:rPr>
      </w:pPr>
    </w:p>
    <w:p>
      <w:pPr>
        <w:pStyle w:val="9"/>
        <w:rPr>
          <w:rFonts w:hAnsi="宋体" w:cs="Times New Roman"/>
          <w:b/>
          <w:color w:val="000000"/>
          <w:sz w:val="24"/>
          <w:szCs w:val="24"/>
          <w:highlight w:val="none"/>
        </w:rPr>
      </w:pPr>
    </w:p>
    <w:p>
      <w:pPr>
        <w:pStyle w:val="9"/>
        <w:rPr>
          <w:rFonts w:hAnsi="宋体" w:cs="Times New Roman"/>
          <w:b/>
          <w:color w:val="000000"/>
          <w:sz w:val="24"/>
          <w:szCs w:val="24"/>
          <w:highlight w:val="none"/>
        </w:rPr>
      </w:pPr>
    </w:p>
    <w:p>
      <w:pPr>
        <w:pStyle w:val="9"/>
        <w:rPr>
          <w:rFonts w:hAnsi="宋体" w:cs="Times New Roman"/>
          <w:b/>
          <w:color w:val="000000"/>
          <w:sz w:val="24"/>
          <w:szCs w:val="24"/>
          <w:highlight w:val="none"/>
        </w:rPr>
      </w:pPr>
    </w:p>
    <w:p>
      <w:pPr>
        <w:pStyle w:val="9"/>
        <w:rPr>
          <w:rFonts w:hAnsi="宋体" w:cs="Times New Roman"/>
          <w:b/>
          <w:color w:val="000000"/>
          <w:sz w:val="24"/>
          <w:szCs w:val="24"/>
          <w:highlight w:val="none"/>
        </w:rPr>
      </w:pPr>
    </w:p>
    <w:p>
      <w:pPr>
        <w:pStyle w:val="9"/>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Ansi="宋体" w:cs="Times New Roman"/>
          <w:b/>
          <w:color w:val="000000"/>
          <w:sz w:val="24"/>
          <w:szCs w:val="24"/>
          <w:highlight w:val="none"/>
        </w:rPr>
      </w:pPr>
    </w:p>
    <w:p>
      <w:pPr>
        <w:pStyle w:val="9"/>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eastAsia" w:ascii="Times New Roman" w:hAnsi="Times New Roman" w:eastAsia="黑体" w:cs="Times New Roman"/>
          <w:b/>
          <w:bCs/>
          <w:sz w:val="36"/>
          <w:highlight w:val="none"/>
        </w:rPr>
      </w:pPr>
      <w:r>
        <w:rPr>
          <w:rFonts w:hint="eastAsia" w:ascii="Times New Roman" w:hAnsi="Times New Roman" w:eastAsia="黑体" w:cs="Times New Roman"/>
          <w:b/>
          <w:bCs/>
          <w:sz w:val="36"/>
          <w:highlight w:val="none"/>
        </w:rPr>
        <w:t>SRM系统供应商用户手册</w:t>
      </w:r>
    </w:p>
    <w:p>
      <w:pPr>
        <w:pStyle w:val="9"/>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eastAsia" w:ascii="Times New Roman" w:hAnsi="Times New Roman" w:eastAsia="黑体" w:cs="Times New Roman"/>
          <w:b/>
          <w:bCs/>
          <w:sz w:val="36"/>
          <w:highlight w:val="none"/>
        </w:rPr>
      </w:pPr>
    </w:p>
    <w:p>
      <w:pPr>
        <w:spacing w:line="360" w:lineRule="auto"/>
        <w:rPr>
          <w:rFonts w:ascii="宋体" w:hAnsi="宋体" w:cs="宋体"/>
          <w:sz w:val="24"/>
          <w:szCs w:val="24"/>
          <w:highlight w:val="none"/>
        </w:rPr>
      </w:pPr>
      <w:r>
        <w:rPr>
          <w:rFonts w:hint="eastAsia" w:ascii="宋体" w:hAnsi="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22"/>
          <w:rFonts w:hint="eastAsia" w:ascii="宋体" w:hAnsi="宋体" w:cs="宋体"/>
          <w:sz w:val="24"/>
          <w:szCs w:val="24"/>
          <w:highlight w:val="none"/>
        </w:rPr>
        <w:t>https://ecaitong.sinotruk.com:8012/</w:t>
      </w:r>
      <w:r>
        <w:rPr>
          <w:rStyle w:val="22"/>
          <w:rFonts w:hint="eastAsia" w:ascii="宋体" w:hAnsi="宋体" w:cs="宋体"/>
          <w:sz w:val="24"/>
          <w:szCs w:val="24"/>
          <w:highlight w:val="none"/>
        </w:rPr>
        <w:fldChar w:fldCharType="end"/>
      </w:r>
    </w:p>
    <w:p>
      <w:pPr>
        <w:spacing w:line="360" w:lineRule="auto"/>
        <w:rPr>
          <w:rFonts w:ascii="宋体" w:hAnsi="宋体" w:cs="宋体"/>
          <w:sz w:val="24"/>
          <w:szCs w:val="24"/>
          <w:highlight w:val="none"/>
        </w:rPr>
      </w:pPr>
      <w:r>
        <w:rPr>
          <w:rFonts w:hint="eastAsia" w:ascii="宋体" w:hAnsi="宋体" w:cs="宋体"/>
          <w:color w:val="000000"/>
          <w:sz w:val="24"/>
          <w:szCs w:val="24"/>
          <w:highlight w:val="none"/>
        </w:rPr>
        <w:t>用 户 名：gys+供应商代码（</w:t>
      </w:r>
      <w:r>
        <w:rPr>
          <w:rFonts w:hint="eastAsia" w:ascii="宋体" w:hAnsi="宋体" w:cs="宋体"/>
          <w:color w:val="FF0000"/>
          <w:sz w:val="24"/>
          <w:szCs w:val="24"/>
          <w:highlight w:val="none"/>
        </w:rPr>
        <w:t>注意：注册完毕后，用户名不要用手机号登录</w:t>
      </w:r>
      <w:r>
        <w:rPr>
          <w:rFonts w:hint="eastAsia" w:ascii="宋体" w:hAnsi="宋体" w:cs="宋体"/>
          <w:color w:val="000000"/>
          <w:sz w:val="24"/>
          <w:szCs w:val="24"/>
          <w:highlight w:val="none"/>
        </w:rPr>
        <w:t>）</w:t>
      </w:r>
    </w:p>
    <w:p>
      <w:pPr>
        <w:spacing w:line="360" w:lineRule="auto"/>
        <w:rPr>
          <w:rFonts w:ascii="宋体" w:hAnsi="宋体" w:cs="宋体"/>
          <w:sz w:val="24"/>
          <w:szCs w:val="24"/>
          <w:highlight w:val="none"/>
        </w:rPr>
      </w:pPr>
      <w:r>
        <w:rPr>
          <w:rFonts w:hint="eastAsia" w:ascii="宋体" w:hAnsi="宋体" w:cs="宋体"/>
          <w:color w:val="000000"/>
          <w:sz w:val="24"/>
          <w:szCs w:val="24"/>
          <w:highlight w:val="none"/>
        </w:rPr>
        <w:t>初始密码：scm@2022</w:t>
      </w:r>
    </w:p>
    <w:p>
      <w:pPr>
        <w:spacing w:line="360" w:lineRule="auto"/>
        <w:outlineLvl w:val="0"/>
        <w:rPr>
          <w:rFonts w:ascii="宋体" w:hAnsi="宋体" w:cs="宋体"/>
          <w:b/>
          <w:bCs/>
          <w:color w:val="000000"/>
          <w:sz w:val="24"/>
          <w:szCs w:val="24"/>
          <w:highlight w:val="none"/>
        </w:rPr>
      </w:pPr>
      <w:bookmarkStart w:id="25" w:name="_Toc3323"/>
      <w:r>
        <w:rPr>
          <w:rFonts w:hint="eastAsia" w:ascii="宋体" w:hAnsi="宋体" w:cs="宋体"/>
          <w:b/>
          <w:bCs/>
          <w:color w:val="000000"/>
          <w:sz w:val="24"/>
          <w:szCs w:val="24"/>
          <w:highlight w:val="none"/>
        </w:rPr>
        <w:t>1.供应商应标</w:t>
      </w:r>
      <w:bookmarkEnd w:id="25"/>
    </w:p>
    <w:p>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供应商应标</w:t>
      </w:r>
    </w:p>
    <w:p>
      <w:pPr>
        <w:spacing w:line="360" w:lineRule="auto"/>
        <w:rPr>
          <w:rFonts w:ascii="宋体" w:hAnsi="宋体" w:cs="宋体"/>
          <w:color w:val="000000"/>
          <w:sz w:val="24"/>
          <w:szCs w:val="24"/>
          <w:highlight w:val="none"/>
        </w:rPr>
      </w:pPr>
      <w:r>
        <w:rPr>
          <w:rFonts w:ascii="宋体" w:hAnsi="宋体" w:cs="宋体"/>
          <w:color w:val="000000"/>
          <w:sz w:val="24"/>
          <w:szCs w:val="24"/>
          <w:highlight w:val="none"/>
        </w:rPr>
        <w:t>点击应标，上传文件之后点击提交。</w:t>
      </w:r>
    </w:p>
    <w:p>
      <w:pPr>
        <w:rPr>
          <w:highlight w:val="none"/>
        </w:rPr>
      </w:pPr>
      <w:r>
        <w:rPr>
          <w:highlight w:val="none"/>
        </w:rP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4"/>
                    <a:stretch>
                      <a:fillRect/>
                    </a:stretch>
                  </pic:blipFill>
                  <pic:spPr>
                    <a:xfrm>
                      <a:off x="0" y="0"/>
                      <a:ext cx="5760085" cy="2269864"/>
                    </a:xfrm>
                    <a:prstGeom prst="rect">
                      <a:avLst/>
                    </a:prstGeom>
                  </pic:spPr>
                </pic:pic>
              </a:graphicData>
            </a:graphic>
          </wp:inline>
        </w:drawing>
      </w:r>
    </w:p>
    <w:p>
      <w:pPr>
        <w:rPr>
          <w:highlight w:val="none"/>
        </w:rPr>
      </w:pPr>
    </w:p>
    <w:p>
      <w:pPr>
        <w:spacing w:line="360" w:lineRule="auto"/>
        <w:outlineLvl w:val="0"/>
        <w:rPr>
          <w:rFonts w:ascii="宋体" w:hAnsi="宋体" w:cs="宋体"/>
          <w:b/>
          <w:bCs/>
          <w:color w:val="000000"/>
          <w:sz w:val="24"/>
          <w:szCs w:val="24"/>
          <w:highlight w:val="none"/>
        </w:rPr>
      </w:pPr>
      <w:bookmarkStart w:id="26" w:name="_Toc4507"/>
      <w:r>
        <w:rPr>
          <w:rFonts w:hint="eastAsia" w:ascii="宋体" w:hAnsi="宋体" w:cs="宋体"/>
          <w:b/>
          <w:bCs/>
          <w:color w:val="000000"/>
          <w:sz w:val="24"/>
          <w:szCs w:val="24"/>
          <w:highlight w:val="none"/>
        </w:rPr>
        <w:t>2.供应商投标</w:t>
      </w:r>
      <w:bookmarkEnd w:id="26"/>
    </w:p>
    <w:p>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供应商投标</w:t>
      </w:r>
    </w:p>
    <w:p>
      <w:pPr>
        <w:rPr>
          <w:rFonts w:ascii="宋体" w:hAnsi="宋体" w:cs="宋体"/>
          <w:color w:val="000000"/>
          <w:highlight w:val="none"/>
        </w:rPr>
      </w:pPr>
      <w:r>
        <w:rPr>
          <w:rFonts w:ascii="宋体" w:hAnsi="宋体" w:cs="宋体"/>
          <w:color w:val="000000"/>
          <w:highlight w:val="none"/>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
                    <a:stretch>
                      <a:fillRect/>
                    </a:stretch>
                  </pic:blipFill>
                  <pic:spPr>
                    <a:xfrm>
                      <a:off x="0" y="0"/>
                      <a:ext cx="5760085" cy="2125673"/>
                    </a:xfrm>
                    <a:prstGeom prst="rect">
                      <a:avLst/>
                    </a:prstGeom>
                  </pic:spPr>
                </pic:pic>
              </a:graphicData>
            </a:graphic>
          </wp:inline>
        </w:drawing>
      </w:r>
    </w:p>
    <w:p>
      <w:pPr>
        <w:spacing w:line="360" w:lineRule="auto"/>
        <w:rPr>
          <w:rFonts w:ascii="宋体" w:hAnsi="宋体" w:cs="宋体"/>
          <w:color w:val="000000"/>
          <w:sz w:val="24"/>
          <w:szCs w:val="28"/>
          <w:highlight w:val="none"/>
        </w:rPr>
      </w:pPr>
      <w:r>
        <w:rPr>
          <w:rFonts w:ascii="宋体" w:hAnsi="宋体" w:cs="宋体"/>
          <w:color w:val="000000"/>
          <w:sz w:val="24"/>
          <w:szCs w:val="28"/>
          <w:highlight w:val="none"/>
        </w:rPr>
        <w:t>点击投标按钮，进入详情页，输入投标报价并上传相应的附件。</w:t>
      </w:r>
    </w:p>
    <w:p>
      <w:pPr>
        <w:pStyle w:val="9"/>
        <w:rPr>
          <w:highlight w:val="none"/>
        </w:rPr>
      </w:pPr>
      <w:r>
        <w:rPr>
          <w:rFonts w:hint="eastAsia" w:hAnsi="宋体" w:cs="宋体"/>
          <w:color w:val="000000"/>
          <w:sz w:val="24"/>
          <w:szCs w:val="28"/>
          <w:highlight w:val="none"/>
        </w:rPr>
        <w:t>注意：系统内的投标报价单位为“万元”，如开标现场发现填错报价，即直接淘汰。</w:t>
      </w:r>
    </w:p>
    <w:p>
      <w:pPr>
        <w:pStyle w:val="4"/>
        <w:numPr>
          <w:ilvl w:val="0"/>
          <w:numId w:val="0"/>
        </w:numPr>
        <w:rPr>
          <w:rFonts w:eastAsia="Arial" w:cs="Arial"/>
          <w:color w:val="000000"/>
          <w:highlight w:val="none"/>
        </w:rPr>
      </w:pPr>
      <w:r>
        <w:rPr>
          <w:rFonts w:eastAsia="Arial" w:cs="Arial"/>
          <w:color w:val="000000"/>
          <w:highlight w:val="none"/>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6"/>
                    <a:stretch>
                      <a:fillRect/>
                    </a:stretch>
                  </pic:blipFill>
                  <pic:spPr>
                    <a:xfrm>
                      <a:off x="0" y="0"/>
                      <a:ext cx="5490210" cy="2669498"/>
                    </a:xfrm>
                    <a:prstGeom prst="rect">
                      <a:avLst/>
                    </a:prstGeom>
                  </pic:spPr>
                </pic:pic>
              </a:graphicData>
            </a:graphic>
          </wp:inline>
        </w:drawing>
      </w:r>
    </w:p>
    <w:p>
      <w:pPr>
        <w:spacing w:line="360" w:lineRule="auto"/>
        <w:outlineLvl w:val="0"/>
        <w:rPr>
          <w:rFonts w:ascii="宋体" w:hAnsi="宋体" w:cs="宋体"/>
          <w:b/>
          <w:bCs/>
          <w:color w:val="000000"/>
          <w:sz w:val="24"/>
          <w:szCs w:val="24"/>
          <w:highlight w:val="none"/>
        </w:rPr>
      </w:pPr>
      <w:bookmarkStart w:id="27" w:name="_Toc30037"/>
      <w:r>
        <w:rPr>
          <w:rFonts w:hint="eastAsia" w:ascii="宋体" w:hAnsi="宋体" w:cs="宋体"/>
          <w:b/>
          <w:bCs/>
          <w:color w:val="000000"/>
          <w:sz w:val="24"/>
          <w:szCs w:val="24"/>
          <w:highlight w:val="none"/>
        </w:rPr>
        <w:t>3.供应商技术标澄清函</w:t>
      </w:r>
      <w:bookmarkEnd w:id="27"/>
    </w:p>
    <w:p>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供应商技术标澄清函</w:t>
      </w:r>
    </w:p>
    <w:p>
      <w:pPr>
        <w:spacing w:line="360" w:lineRule="auto"/>
        <w:rPr>
          <w:rFonts w:ascii="宋体" w:hAnsi="宋体" w:cs="宋体"/>
          <w:sz w:val="24"/>
          <w:szCs w:val="24"/>
          <w:highlight w:val="none"/>
        </w:rPr>
      </w:pPr>
      <w:r>
        <w:rPr>
          <w:rFonts w:ascii="宋体" w:hAnsi="宋体" w:cs="宋体"/>
          <w:color w:val="000000"/>
          <w:sz w:val="24"/>
          <w:szCs w:val="24"/>
          <w:highlight w:val="none"/>
        </w:rPr>
        <w:t>点击编辑按钮进入系统，上传技术标澄清函。</w:t>
      </w:r>
    </w:p>
    <w:p>
      <w:pPr>
        <w:spacing w:line="360" w:lineRule="auto"/>
        <w:rPr>
          <w:rFonts w:ascii="Arial" w:hAnsi="Arial" w:eastAsia="Arial" w:cs="Arial"/>
          <w:color w:val="000000"/>
          <w:sz w:val="28"/>
          <w:highlight w:val="none"/>
        </w:rPr>
      </w:pPr>
      <w:r>
        <w:rPr>
          <w:rFonts w:ascii="宋体" w:hAnsi="宋体" w:cs="宋体"/>
          <w:color w:val="000000"/>
          <w:sz w:val="24"/>
          <w:szCs w:val="24"/>
          <w:highlight w:val="none"/>
        </w:rPr>
        <w:t>开标之后所有投标的供应商都可编辑提交，技术标入围之后</w:t>
      </w:r>
      <w:r>
        <w:rPr>
          <w:rFonts w:hint="eastAsia" w:ascii="宋体" w:hAnsi="宋体" w:cs="宋体"/>
          <w:color w:val="000000"/>
          <w:sz w:val="24"/>
          <w:szCs w:val="24"/>
          <w:highlight w:val="none"/>
        </w:rPr>
        <w:t xml:space="preserve"> </w:t>
      </w:r>
      <w:r>
        <w:rPr>
          <w:rFonts w:ascii="宋体" w:hAnsi="宋体" w:cs="宋体"/>
          <w:color w:val="000000"/>
          <w:sz w:val="24"/>
          <w:szCs w:val="24"/>
          <w:highlight w:val="none"/>
        </w:rPr>
        <w:t>都不可编辑</w:t>
      </w:r>
      <w:r>
        <w:rPr>
          <w:rFonts w:ascii="Arial" w:hAnsi="Arial" w:eastAsia="Arial" w:cs="Arial"/>
          <w:color w:val="000000"/>
          <w:sz w:val="28"/>
          <w:highlight w:val="none"/>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7"/>
                    <a:stretch>
                      <a:fillRect/>
                    </a:stretch>
                  </pic:blipFill>
                  <pic:spPr>
                    <a:xfrm>
                      <a:off x="0" y="0"/>
                      <a:ext cx="5490210" cy="1992743"/>
                    </a:xfrm>
                    <a:prstGeom prst="rect">
                      <a:avLst/>
                    </a:prstGeom>
                  </pic:spPr>
                </pic:pic>
              </a:graphicData>
            </a:graphic>
          </wp:inline>
        </w:drawing>
      </w:r>
    </w:p>
    <w:p>
      <w:pPr>
        <w:spacing w:line="360" w:lineRule="auto"/>
        <w:outlineLvl w:val="0"/>
        <w:rPr>
          <w:rFonts w:ascii="宋体" w:hAnsi="宋体" w:cs="宋体"/>
          <w:b/>
          <w:bCs/>
          <w:color w:val="000000"/>
          <w:sz w:val="24"/>
          <w:szCs w:val="24"/>
          <w:highlight w:val="none"/>
        </w:rPr>
      </w:pPr>
      <w:bookmarkStart w:id="28" w:name="_Toc3204"/>
      <w:r>
        <w:rPr>
          <w:rFonts w:hint="eastAsia" w:ascii="宋体" w:hAnsi="宋体" w:cs="宋体"/>
          <w:b/>
          <w:bCs/>
          <w:color w:val="000000"/>
          <w:sz w:val="24"/>
          <w:szCs w:val="24"/>
          <w:highlight w:val="none"/>
        </w:rPr>
        <w:t>4.供应商报价</w:t>
      </w:r>
      <w:bookmarkEnd w:id="28"/>
    </w:p>
    <w:p>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供应商报价</w:t>
      </w:r>
    </w:p>
    <w:p>
      <w:pPr>
        <w:spacing w:line="360" w:lineRule="auto"/>
        <w:rPr>
          <w:rFonts w:ascii="宋体" w:hAnsi="宋体" w:cs="宋体"/>
          <w:sz w:val="24"/>
          <w:szCs w:val="24"/>
          <w:highlight w:val="none"/>
        </w:rPr>
      </w:pPr>
      <w:r>
        <w:rPr>
          <w:rFonts w:ascii="宋体" w:hAnsi="宋体" w:cs="宋体"/>
          <w:color w:val="000000"/>
          <w:sz w:val="24"/>
          <w:szCs w:val="24"/>
          <w:highlight w:val="none"/>
        </w:rPr>
        <w:t>点击报价按钮进入报价详情界面，请在此轮报价起止时间内报价，否则无法报价。</w:t>
      </w:r>
    </w:p>
    <w:p>
      <w:pPr>
        <w:spacing w:line="360" w:lineRule="auto"/>
        <w:outlineLvl w:val="0"/>
        <w:rPr>
          <w:rFonts w:ascii="宋体" w:hAnsi="宋体" w:cs="宋体"/>
          <w:b/>
          <w:bCs/>
          <w:color w:val="000000"/>
          <w:sz w:val="24"/>
          <w:szCs w:val="24"/>
          <w:highlight w:val="none"/>
        </w:rPr>
      </w:pPr>
      <w:bookmarkStart w:id="29" w:name="_Toc31317"/>
      <w:r>
        <w:rPr>
          <w:rFonts w:hint="eastAsia" w:ascii="宋体" w:hAnsi="宋体" w:cs="宋体"/>
          <w:b/>
          <w:bCs/>
          <w:color w:val="000000"/>
          <w:sz w:val="24"/>
          <w:szCs w:val="24"/>
          <w:highlight w:val="none"/>
        </w:rPr>
        <w:t>5.供应商澄清报价</w:t>
      </w:r>
      <w:bookmarkEnd w:id="29"/>
    </w:p>
    <w:p>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供应商澄清报价</w:t>
      </w:r>
    </w:p>
    <w:p>
      <w:pPr>
        <w:spacing w:line="360" w:lineRule="auto"/>
        <w:rPr>
          <w:rFonts w:ascii="宋体" w:hAnsi="宋体" w:cs="宋体"/>
          <w:sz w:val="24"/>
          <w:szCs w:val="24"/>
          <w:highlight w:val="none"/>
        </w:rPr>
      </w:pPr>
      <w:r>
        <w:rPr>
          <w:rFonts w:ascii="宋体" w:hAnsi="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pPr>
        <w:pStyle w:val="4"/>
        <w:numPr>
          <w:ilvl w:val="0"/>
          <w:numId w:val="0"/>
        </w:numPr>
        <w:rPr>
          <w:rFonts w:eastAsia="Arial" w:cs="Arial"/>
          <w:color w:val="000000"/>
          <w:highlight w:val="none"/>
        </w:rPr>
      </w:pPr>
      <w:r>
        <w:rPr>
          <w:rFonts w:eastAsia="Arial" w:cs="Arial"/>
          <w:color w:val="000000"/>
          <w:highlight w:val="none"/>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8"/>
                    <a:stretch>
                      <a:fillRect/>
                    </a:stretch>
                  </pic:blipFill>
                  <pic:spPr>
                    <a:xfrm>
                      <a:off x="0" y="0"/>
                      <a:ext cx="5490210" cy="2544669"/>
                    </a:xfrm>
                    <a:prstGeom prst="rect">
                      <a:avLst/>
                    </a:prstGeom>
                  </pic:spPr>
                </pic:pic>
              </a:graphicData>
            </a:graphic>
          </wp:inline>
        </w:drawing>
      </w:r>
    </w:p>
    <w:p>
      <w:pPr>
        <w:spacing w:line="360" w:lineRule="auto"/>
        <w:outlineLvl w:val="0"/>
        <w:rPr>
          <w:rFonts w:ascii="宋体" w:hAnsi="宋体" w:cs="宋体"/>
          <w:b/>
          <w:bCs/>
          <w:color w:val="000000"/>
          <w:sz w:val="24"/>
          <w:szCs w:val="24"/>
          <w:highlight w:val="none"/>
        </w:rPr>
      </w:pPr>
      <w:bookmarkStart w:id="30" w:name="_Toc26492"/>
      <w:r>
        <w:rPr>
          <w:rFonts w:hint="eastAsia" w:ascii="宋体" w:hAnsi="宋体" w:cs="宋体"/>
          <w:b/>
          <w:bCs/>
          <w:color w:val="000000"/>
          <w:sz w:val="24"/>
          <w:szCs w:val="24"/>
          <w:highlight w:val="none"/>
        </w:rPr>
        <w:t>6.供应商查看中标通知</w:t>
      </w:r>
      <w:bookmarkEnd w:id="30"/>
    </w:p>
    <w:p>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中标项目</w:t>
      </w:r>
    </w:p>
    <w:p>
      <w:pPr>
        <w:spacing w:line="360" w:lineRule="auto"/>
        <w:rPr>
          <w:rFonts w:ascii="宋体" w:hAnsi="宋体" w:cs="宋体"/>
          <w:sz w:val="24"/>
          <w:szCs w:val="24"/>
          <w:highlight w:val="none"/>
        </w:rPr>
      </w:pPr>
      <w:r>
        <w:rPr>
          <w:rFonts w:ascii="宋体" w:hAnsi="宋体" w:cs="宋体"/>
          <w:color w:val="000000"/>
          <w:sz w:val="24"/>
          <w:szCs w:val="24"/>
          <w:highlight w:val="none"/>
        </w:rPr>
        <w:t>点击查看进入查看中标项目详情</w:t>
      </w:r>
    </w:p>
    <w:p>
      <w:pPr>
        <w:rPr>
          <w:highlight w:val="none"/>
        </w:rPr>
      </w:pPr>
      <w:r>
        <w:rPr>
          <w:highlight w:val="none"/>
        </w:rPr>
        <w:drawing>
          <wp:inline distT="0" distB="0" distL="0" distR="0">
            <wp:extent cx="5760085" cy="24898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9"/>
                    <a:stretch>
                      <a:fillRect/>
                    </a:stretch>
                  </pic:blipFill>
                  <pic:spPr>
                    <a:xfrm>
                      <a:off x="0" y="0"/>
                      <a:ext cx="5760085" cy="2489835"/>
                    </a:xfrm>
                    <a:prstGeom prst="rect">
                      <a:avLst/>
                    </a:prstGeom>
                  </pic:spPr>
                </pic:pic>
              </a:graphicData>
            </a:graphic>
          </wp:inline>
        </w:drawing>
      </w:r>
    </w:p>
    <w:p>
      <w:pPr>
        <w:pStyle w:val="9"/>
        <w:rPr>
          <w:rFonts w:hAnsi="宋体" w:cs="Times New Roman"/>
          <w:b/>
          <w:color w:val="000000"/>
          <w:sz w:val="24"/>
          <w:szCs w:val="24"/>
          <w:highlight w:val="none"/>
        </w:rPr>
      </w:pPr>
    </w:p>
    <w:p>
      <w:pPr>
        <w:spacing w:line="440" w:lineRule="exact"/>
        <w:ind w:firstLine="420" w:firstLineChars="200"/>
        <w:rPr>
          <w:rFonts w:ascii="宋体" w:hAnsi="Courier New"/>
          <w:highlight w:val="none"/>
        </w:rPr>
      </w:pPr>
    </w:p>
    <w:p>
      <w:pPr>
        <w:pStyle w:val="6"/>
        <w:rPr>
          <w:rFonts w:ascii="宋体" w:hAnsi="宋体"/>
          <w:sz w:val="24"/>
          <w:highlight w:val="none"/>
        </w:rPr>
      </w:pPr>
    </w:p>
    <w:p>
      <w:pPr>
        <w:pStyle w:val="6"/>
        <w:rPr>
          <w:highlight w:val="none"/>
        </w:rPr>
      </w:pPr>
    </w:p>
    <w:p>
      <w:pPr>
        <w:rPr>
          <w:highlight w:val="none"/>
        </w:rPr>
      </w:pPr>
    </w:p>
    <w:sectPr>
      <w:pgSz w:w="11906" w:h="16838"/>
      <w:pgMar w:top="1587" w:right="1417" w:bottom="1134" w:left="1417" w:header="851" w:footer="992" w:gutter="0"/>
      <w:pgNumType w:fmt="decimal"/>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script"/>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A03BC2"/>
    <w:multiLevelType w:val="singleLevel"/>
    <w:tmpl w:val="AAA03BC2"/>
    <w:lvl w:ilvl="0" w:tentative="0">
      <w:start w:val="1"/>
      <w:numFmt w:val="decimal"/>
      <w:pStyle w:val="4"/>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MyNzI5MjZhZDc4MDY5MDg0NmY3MjhkZTBmZjJiYjQifQ=="/>
  </w:docVars>
  <w:rsids>
    <w:rsidRoot w:val="00172A27"/>
    <w:rsid w:val="000039FD"/>
    <w:rsid w:val="00015299"/>
    <w:rsid w:val="00015E0D"/>
    <w:rsid w:val="000244B3"/>
    <w:rsid w:val="00037FEA"/>
    <w:rsid w:val="00040CDD"/>
    <w:rsid w:val="00054BC1"/>
    <w:rsid w:val="00066BC6"/>
    <w:rsid w:val="000918C3"/>
    <w:rsid w:val="000A08F6"/>
    <w:rsid w:val="000A6C1D"/>
    <w:rsid w:val="000D030F"/>
    <w:rsid w:val="000D6816"/>
    <w:rsid w:val="000D7E43"/>
    <w:rsid w:val="000E11DF"/>
    <w:rsid w:val="000E1D6A"/>
    <w:rsid w:val="000E1EB0"/>
    <w:rsid w:val="000F74C7"/>
    <w:rsid w:val="001054BC"/>
    <w:rsid w:val="001111A1"/>
    <w:rsid w:val="001160A0"/>
    <w:rsid w:val="00124B86"/>
    <w:rsid w:val="00125A4C"/>
    <w:rsid w:val="0014725F"/>
    <w:rsid w:val="00161153"/>
    <w:rsid w:val="00176A3F"/>
    <w:rsid w:val="00181E01"/>
    <w:rsid w:val="00182A00"/>
    <w:rsid w:val="00187025"/>
    <w:rsid w:val="00196A2A"/>
    <w:rsid w:val="001B3716"/>
    <w:rsid w:val="001E2456"/>
    <w:rsid w:val="001E2654"/>
    <w:rsid w:val="001E2EDF"/>
    <w:rsid w:val="001F0C50"/>
    <w:rsid w:val="001F739D"/>
    <w:rsid w:val="00202D2A"/>
    <w:rsid w:val="00213DA4"/>
    <w:rsid w:val="00214C54"/>
    <w:rsid w:val="00224E70"/>
    <w:rsid w:val="00225CB4"/>
    <w:rsid w:val="00236C19"/>
    <w:rsid w:val="00255A5F"/>
    <w:rsid w:val="00257531"/>
    <w:rsid w:val="00262E60"/>
    <w:rsid w:val="00263E3C"/>
    <w:rsid w:val="00281627"/>
    <w:rsid w:val="00295568"/>
    <w:rsid w:val="00296943"/>
    <w:rsid w:val="002A46AD"/>
    <w:rsid w:val="002B42E4"/>
    <w:rsid w:val="002C4231"/>
    <w:rsid w:val="002D071B"/>
    <w:rsid w:val="002D6C16"/>
    <w:rsid w:val="002E2654"/>
    <w:rsid w:val="002E3BFB"/>
    <w:rsid w:val="00301417"/>
    <w:rsid w:val="003140E9"/>
    <w:rsid w:val="00317394"/>
    <w:rsid w:val="0032767B"/>
    <w:rsid w:val="003351E4"/>
    <w:rsid w:val="003414D2"/>
    <w:rsid w:val="00341BD2"/>
    <w:rsid w:val="00343BE5"/>
    <w:rsid w:val="00353674"/>
    <w:rsid w:val="0035570A"/>
    <w:rsid w:val="00366263"/>
    <w:rsid w:val="00367B34"/>
    <w:rsid w:val="00375545"/>
    <w:rsid w:val="0038116C"/>
    <w:rsid w:val="00381C08"/>
    <w:rsid w:val="003A0656"/>
    <w:rsid w:val="003A7560"/>
    <w:rsid w:val="003C64EB"/>
    <w:rsid w:val="003D1BDF"/>
    <w:rsid w:val="004063DD"/>
    <w:rsid w:val="00420506"/>
    <w:rsid w:val="004261A7"/>
    <w:rsid w:val="004365F7"/>
    <w:rsid w:val="00441012"/>
    <w:rsid w:val="0046389B"/>
    <w:rsid w:val="00465A2D"/>
    <w:rsid w:val="0047546E"/>
    <w:rsid w:val="00482A3B"/>
    <w:rsid w:val="00486F05"/>
    <w:rsid w:val="00487E03"/>
    <w:rsid w:val="004B546C"/>
    <w:rsid w:val="005012AB"/>
    <w:rsid w:val="00514C62"/>
    <w:rsid w:val="00530E26"/>
    <w:rsid w:val="005559C2"/>
    <w:rsid w:val="0056559A"/>
    <w:rsid w:val="00572F5C"/>
    <w:rsid w:val="00573F5B"/>
    <w:rsid w:val="00587F93"/>
    <w:rsid w:val="005B6585"/>
    <w:rsid w:val="005B6F2C"/>
    <w:rsid w:val="0060686A"/>
    <w:rsid w:val="00607BC2"/>
    <w:rsid w:val="006159F9"/>
    <w:rsid w:val="00620178"/>
    <w:rsid w:val="00624856"/>
    <w:rsid w:val="00650980"/>
    <w:rsid w:val="006531A5"/>
    <w:rsid w:val="006648FD"/>
    <w:rsid w:val="00664D1E"/>
    <w:rsid w:val="00673CCD"/>
    <w:rsid w:val="0068717A"/>
    <w:rsid w:val="00696583"/>
    <w:rsid w:val="00697EA2"/>
    <w:rsid w:val="006A1773"/>
    <w:rsid w:val="006A4830"/>
    <w:rsid w:val="006A7C26"/>
    <w:rsid w:val="006B1916"/>
    <w:rsid w:val="006B45EA"/>
    <w:rsid w:val="006E22DF"/>
    <w:rsid w:val="006F2D1D"/>
    <w:rsid w:val="006F4C09"/>
    <w:rsid w:val="006F7257"/>
    <w:rsid w:val="00730521"/>
    <w:rsid w:val="007407D7"/>
    <w:rsid w:val="00741A30"/>
    <w:rsid w:val="007A66C5"/>
    <w:rsid w:val="007E1D25"/>
    <w:rsid w:val="007E7530"/>
    <w:rsid w:val="00805D91"/>
    <w:rsid w:val="00826C1B"/>
    <w:rsid w:val="00833CE3"/>
    <w:rsid w:val="0083414B"/>
    <w:rsid w:val="00873E3A"/>
    <w:rsid w:val="008861E0"/>
    <w:rsid w:val="0088706A"/>
    <w:rsid w:val="00896D21"/>
    <w:rsid w:val="008B4C89"/>
    <w:rsid w:val="008F002C"/>
    <w:rsid w:val="008F4A28"/>
    <w:rsid w:val="00905806"/>
    <w:rsid w:val="00917EDB"/>
    <w:rsid w:val="009275EE"/>
    <w:rsid w:val="009641E2"/>
    <w:rsid w:val="009A24A5"/>
    <w:rsid w:val="009D39EF"/>
    <w:rsid w:val="009D706A"/>
    <w:rsid w:val="009E21EB"/>
    <w:rsid w:val="00A118B9"/>
    <w:rsid w:val="00A15446"/>
    <w:rsid w:val="00A52DC5"/>
    <w:rsid w:val="00A6747D"/>
    <w:rsid w:val="00A7293D"/>
    <w:rsid w:val="00A87200"/>
    <w:rsid w:val="00A9121B"/>
    <w:rsid w:val="00A93987"/>
    <w:rsid w:val="00A94E4E"/>
    <w:rsid w:val="00AA31BE"/>
    <w:rsid w:val="00AA3A13"/>
    <w:rsid w:val="00AA7B2B"/>
    <w:rsid w:val="00AD2690"/>
    <w:rsid w:val="00AE3E17"/>
    <w:rsid w:val="00AE5556"/>
    <w:rsid w:val="00B014B0"/>
    <w:rsid w:val="00B04952"/>
    <w:rsid w:val="00B27112"/>
    <w:rsid w:val="00B30BF4"/>
    <w:rsid w:val="00B4039D"/>
    <w:rsid w:val="00B47C6E"/>
    <w:rsid w:val="00B562B0"/>
    <w:rsid w:val="00B71897"/>
    <w:rsid w:val="00B71E1F"/>
    <w:rsid w:val="00B81D55"/>
    <w:rsid w:val="00B860B4"/>
    <w:rsid w:val="00B91B85"/>
    <w:rsid w:val="00B95837"/>
    <w:rsid w:val="00B97D41"/>
    <w:rsid w:val="00BB30E9"/>
    <w:rsid w:val="00BB4839"/>
    <w:rsid w:val="00C257DD"/>
    <w:rsid w:val="00C26C15"/>
    <w:rsid w:val="00C32311"/>
    <w:rsid w:val="00C55D77"/>
    <w:rsid w:val="00CE04CF"/>
    <w:rsid w:val="00CE4EB9"/>
    <w:rsid w:val="00D03851"/>
    <w:rsid w:val="00D047CB"/>
    <w:rsid w:val="00D21473"/>
    <w:rsid w:val="00D43562"/>
    <w:rsid w:val="00D5154E"/>
    <w:rsid w:val="00D56F7E"/>
    <w:rsid w:val="00D626B3"/>
    <w:rsid w:val="00D6684E"/>
    <w:rsid w:val="00D70EB3"/>
    <w:rsid w:val="00D72C39"/>
    <w:rsid w:val="00D95ED4"/>
    <w:rsid w:val="00DB02C7"/>
    <w:rsid w:val="00DC2D3B"/>
    <w:rsid w:val="00DF14F4"/>
    <w:rsid w:val="00E03EDC"/>
    <w:rsid w:val="00E0425B"/>
    <w:rsid w:val="00E05644"/>
    <w:rsid w:val="00E0592B"/>
    <w:rsid w:val="00E13231"/>
    <w:rsid w:val="00E15CD1"/>
    <w:rsid w:val="00E305E2"/>
    <w:rsid w:val="00E375E6"/>
    <w:rsid w:val="00E4366F"/>
    <w:rsid w:val="00E51036"/>
    <w:rsid w:val="00E51F56"/>
    <w:rsid w:val="00E67661"/>
    <w:rsid w:val="00E756A6"/>
    <w:rsid w:val="00E871EE"/>
    <w:rsid w:val="00E9166E"/>
    <w:rsid w:val="00E9543F"/>
    <w:rsid w:val="00E95900"/>
    <w:rsid w:val="00E97E73"/>
    <w:rsid w:val="00EF5FCA"/>
    <w:rsid w:val="00F05D31"/>
    <w:rsid w:val="00F22435"/>
    <w:rsid w:val="00F2273D"/>
    <w:rsid w:val="00F25542"/>
    <w:rsid w:val="00F25F15"/>
    <w:rsid w:val="00F40D51"/>
    <w:rsid w:val="00F50A8B"/>
    <w:rsid w:val="00F8614E"/>
    <w:rsid w:val="00FA4D06"/>
    <w:rsid w:val="00FC5B3D"/>
    <w:rsid w:val="00FE438B"/>
    <w:rsid w:val="00FF11E7"/>
    <w:rsid w:val="016139CC"/>
    <w:rsid w:val="01767B23"/>
    <w:rsid w:val="01831488"/>
    <w:rsid w:val="018E7819"/>
    <w:rsid w:val="019604A9"/>
    <w:rsid w:val="02395F2F"/>
    <w:rsid w:val="02436043"/>
    <w:rsid w:val="02611E54"/>
    <w:rsid w:val="026933C1"/>
    <w:rsid w:val="0279651D"/>
    <w:rsid w:val="028A0530"/>
    <w:rsid w:val="02B0568A"/>
    <w:rsid w:val="02D149AD"/>
    <w:rsid w:val="02D46657"/>
    <w:rsid w:val="02DB52BD"/>
    <w:rsid w:val="02DC2D3E"/>
    <w:rsid w:val="02E958D7"/>
    <w:rsid w:val="03273887"/>
    <w:rsid w:val="032853BC"/>
    <w:rsid w:val="034858F1"/>
    <w:rsid w:val="035A4CAD"/>
    <w:rsid w:val="036A5588"/>
    <w:rsid w:val="036A712A"/>
    <w:rsid w:val="039203FC"/>
    <w:rsid w:val="03D3663B"/>
    <w:rsid w:val="0425785D"/>
    <w:rsid w:val="04361CF6"/>
    <w:rsid w:val="048C0506"/>
    <w:rsid w:val="04A17265"/>
    <w:rsid w:val="04AE64BD"/>
    <w:rsid w:val="04B163D7"/>
    <w:rsid w:val="04B32944"/>
    <w:rsid w:val="04EE3948"/>
    <w:rsid w:val="04F311AF"/>
    <w:rsid w:val="05011ADD"/>
    <w:rsid w:val="05133C63"/>
    <w:rsid w:val="051D6770"/>
    <w:rsid w:val="05690B31"/>
    <w:rsid w:val="057876ED"/>
    <w:rsid w:val="05885E20"/>
    <w:rsid w:val="059267A3"/>
    <w:rsid w:val="05BB5375"/>
    <w:rsid w:val="05CE10C1"/>
    <w:rsid w:val="05D07899"/>
    <w:rsid w:val="05F509D2"/>
    <w:rsid w:val="05F62280"/>
    <w:rsid w:val="0622059D"/>
    <w:rsid w:val="06A665F7"/>
    <w:rsid w:val="06B5558D"/>
    <w:rsid w:val="06FB3B03"/>
    <w:rsid w:val="06FE205F"/>
    <w:rsid w:val="070B2161"/>
    <w:rsid w:val="0715212E"/>
    <w:rsid w:val="071B07B5"/>
    <w:rsid w:val="071F0E51"/>
    <w:rsid w:val="073D1FEE"/>
    <w:rsid w:val="074E1599"/>
    <w:rsid w:val="07532B5F"/>
    <w:rsid w:val="077965D0"/>
    <w:rsid w:val="077E0AE9"/>
    <w:rsid w:val="07B4177C"/>
    <w:rsid w:val="07CF4DE0"/>
    <w:rsid w:val="07DF75F9"/>
    <w:rsid w:val="07E43A81"/>
    <w:rsid w:val="07E84685"/>
    <w:rsid w:val="081F675F"/>
    <w:rsid w:val="08215F31"/>
    <w:rsid w:val="082F287B"/>
    <w:rsid w:val="08521B36"/>
    <w:rsid w:val="087864F3"/>
    <w:rsid w:val="0885360A"/>
    <w:rsid w:val="08A27337"/>
    <w:rsid w:val="08AD4471"/>
    <w:rsid w:val="08BB245F"/>
    <w:rsid w:val="08E510A5"/>
    <w:rsid w:val="08FD1FCF"/>
    <w:rsid w:val="08FF7955"/>
    <w:rsid w:val="091A12E3"/>
    <w:rsid w:val="0922698B"/>
    <w:rsid w:val="096F3207"/>
    <w:rsid w:val="099111BE"/>
    <w:rsid w:val="09991E4D"/>
    <w:rsid w:val="09B207F9"/>
    <w:rsid w:val="09CE47AD"/>
    <w:rsid w:val="09EA5159"/>
    <w:rsid w:val="09F124DC"/>
    <w:rsid w:val="0A0124A3"/>
    <w:rsid w:val="0A062BA1"/>
    <w:rsid w:val="0A156FE1"/>
    <w:rsid w:val="0A2B13BC"/>
    <w:rsid w:val="0A557084"/>
    <w:rsid w:val="0A573505"/>
    <w:rsid w:val="0A641E54"/>
    <w:rsid w:val="0A937AE7"/>
    <w:rsid w:val="0AC018B0"/>
    <w:rsid w:val="0B4266EB"/>
    <w:rsid w:val="0B45790A"/>
    <w:rsid w:val="0B5843AD"/>
    <w:rsid w:val="0B6017B9"/>
    <w:rsid w:val="0B8373EF"/>
    <w:rsid w:val="0B971913"/>
    <w:rsid w:val="0BB53545"/>
    <w:rsid w:val="0BE51013"/>
    <w:rsid w:val="0C31628E"/>
    <w:rsid w:val="0C3C7EA2"/>
    <w:rsid w:val="0C4B11C9"/>
    <w:rsid w:val="0C853B1A"/>
    <w:rsid w:val="0C8602EC"/>
    <w:rsid w:val="0C88659A"/>
    <w:rsid w:val="0C924DEE"/>
    <w:rsid w:val="0CB3547B"/>
    <w:rsid w:val="0CF10C4B"/>
    <w:rsid w:val="0CF84B54"/>
    <w:rsid w:val="0D011AF9"/>
    <w:rsid w:val="0D015662"/>
    <w:rsid w:val="0D053F9C"/>
    <w:rsid w:val="0D1036FE"/>
    <w:rsid w:val="0D18082E"/>
    <w:rsid w:val="0D3E2F48"/>
    <w:rsid w:val="0D5044E7"/>
    <w:rsid w:val="0D5613D5"/>
    <w:rsid w:val="0D731580"/>
    <w:rsid w:val="0D77682B"/>
    <w:rsid w:val="0D7A532C"/>
    <w:rsid w:val="0DC63892"/>
    <w:rsid w:val="0DD40A08"/>
    <w:rsid w:val="0DE7465B"/>
    <w:rsid w:val="0DE97B5E"/>
    <w:rsid w:val="0DED1503"/>
    <w:rsid w:val="0DF33CF1"/>
    <w:rsid w:val="0E1A3BB0"/>
    <w:rsid w:val="0E552513"/>
    <w:rsid w:val="0EB360DE"/>
    <w:rsid w:val="0EFC5A27"/>
    <w:rsid w:val="0F0B47BD"/>
    <w:rsid w:val="0F0D2236"/>
    <w:rsid w:val="0F1550CD"/>
    <w:rsid w:val="0F2365E1"/>
    <w:rsid w:val="0F793CA1"/>
    <w:rsid w:val="0F8F3712"/>
    <w:rsid w:val="0FEE632A"/>
    <w:rsid w:val="10094131"/>
    <w:rsid w:val="100C62CC"/>
    <w:rsid w:val="101A3B79"/>
    <w:rsid w:val="104D064D"/>
    <w:rsid w:val="10574D0E"/>
    <w:rsid w:val="10662971"/>
    <w:rsid w:val="1074723A"/>
    <w:rsid w:val="107E484D"/>
    <w:rsid w:val="108C1EAE"/>
    <w:rsid w:val="109E6D51"/>
    <w:rsid w:val="10A27D57"/>
    <w:rsid w:val="10B503BE"/>
    <w:rsid w:val="10C14E82"/>
    <w:rsid w:val="11422A71"/>
    <w:rsid w:val="11426303"/>
    <w:rsid w:val="1149506D"/>
    <w:rsid w:val="115D3D0D"/>
    <w:rsid w:val="119D105F"/>
    <w:rsid w:val="11EE1165"/>
    <w:rsid w:val="11F55185"/>
    <w:rsid w:val="1231003F"/>
    <w:rsid w:val="123C1304"/>
    <w:rsid w:val="125E74E2"/>
    <w:rsid w:val="12712DC5"/>
    <w:rsid w:val="12787CDD"/>
    <w:rsid w:val="128E407F"/>
    <w:rsid w:val="1295180B"/>
    <w:rsid w:val="129B6A1F"/>
    <w:rsid w:val="12C46AD7"/>
    <w:rsid w:val="12D85778"/>
    <w:rsid w:val="12FC2E1F"/>
    <w:rsid w:val="13031357"/>
    <w:rsid w:val="131A6F25"/>
    <w:rsid w:val="13255180"/>
    <w:rsid w:val="13270D7A"/>
    <w:rsid w:val="13667A01"/>
    <w:rsid w:val="13A33CA4"/>
    <w:rsid w:val="13A36145"/>
    <w:rsid w:val="13AA5AD0"/>
    <w:rsid w:val="13AF1D43"/>
    <w:rsid w:val="13B82867"/>
    <w:rsid w:val="13CA3E07"/>
    <w:rsid w:val="13CD6F8A"/>
    <w:rsid w:val="13D15990"/>
    <w:rsid w:val="13D502B6"/>
    <w:rsid w:val="13D7311C"/>
    <w:rsid w:val="13E9022F"/>
    <w:rsid w:val="14250C9D"/>
    <w:rsid w:val="142B0E90"/>
    <w:rsid w:val="146F4594"/>
    <w:rsid w:val="14A127E5"/>
    <w:rsid w:val="14B02E00"/>
    <w:rsid w:val="14B51486"/>
    <w:rsid w:val="14BA1191"/>
    <w:rsid w:val="15030AD9"/>
    <w:rsid w:val="15090F10"/>
    <w:rsid w:val="15267814"/>
    <w:rsid w:val="15273D43"/>
    <w:rsid w:val="156712A9"/>
    <w:rsid w:val="157629DC"/>
    <w:rsid w:val="157D344D"/>
    <w:rsid w:val="15B21729"/>
    <w:rsid w:val="15C23B9A"/>
    <w:rsid w:val="168A398A"/>
    <w:rsid w:val="16B207CA"/>
    <w:rsid w:val="16C624EA"/>
    <w:rsid w:val="16C92C9F"/>
    <w:rsid w:val="16FE00C6"/>
    <w:rsid w:val="17081026"/>
    <w:rsid w:val="170D59F4"/>
    <w:rsid w:val="171844F3"/>
    <w:rsid w:val="17255D87"/>
    <w:rsid w:val="173A48D6"/>
    <w:rsid w:val="173C59AC"/>
    <w:rsid w:val="1767588B"/>
    <w:rsid w:val="17692FF8"/>
    <w:rsid w:val="1776488C"/>
    <w:rsid w:val="17825F6C"/>
    <w:rsid w:val="17912EB8"/>
    <w:rsid w:val="17DF5199"/>
    <w:rsid w:val="17E4768B"/>
    <w:rsid w:val="180026D3"/>
    <w:rsid w:val="18176D37"/>
    <w:rsid w:val="184616E2"/>
    <w:rsid w:val="18550589"/>
    <w:rsid w:val="185F480A"/>
    <w:rsid w:val="18617D0D"/>
    <w:rsid w:val="188E5DDF"/>
    <w:rsid w:val="18EB1E70"/>
    <w:rsid w:val="18EF137B"/>
    <w:rsid w:val="18F3727C"/>
    <w:rsid w:val="18F44CFE"/>
    <w:rsid w:val="19180BFF"/>
    <w:rsid w:val="19343E52"/>
    <w:rsid w:val="193F66C8"/>
    <w:rsid w:val="1964413C"/>
    <w:rsid w:val="19782D58"/>
    <w:rsid w:val="19A22534"/>
    <w:rsid w:val="19A54B21"/>
    <w:rsid w:val="19AE3232"/>
    <w:rsid w:val="19B06735"/>
    <w:rsid w:val="19FE0A33"/>
    <w:rsid w:val="1A141D7E"/>
    <w:rsid w:val="1A357F21"/>
    <w:rsid w:val="1A551442"/>
    <w:rsid w:val="1AEC4E38"/>
    <w:rsid w:val="1B253925"/>
    <w:rsid w:val="1B2D351A"/>
    <w:rsid w:val="1B4A2C53"/>
    <w:rsid w:val="1B75731B"/>
    <w:rsid w:val="1BA67AEA"/>
    <w:rsid w:val="1BDC7FC4"/>
    <w:rsid w:val="1BDF56C5"/>
    <w:rsid w:val="1BF252AE"/>
    <w:rsid w:val="1C07688A"/>
    <w:rsid w:val="1C0E2142"/>
    <w:rsid w:val="1C104F9B"/>
    <w:rsid w:val="1C117199"/>
    <w:rsid w:val="1C3715D7"/>
    <w:rsid w:val="1C4B73E9"/>
    <w:rsid w:val="1C816553"/>
    <w:rsid w:val="1C865AAB"/>
    <w:rsid w:val="1CAF5D9E"/>
    <w:rsid w:val="1CC2453B"/>
    <w:rsid w:val="1CD55894"/>
    <w:rsid w:val="1CD96BE2"/>
    <w:rsid w:val="1CDD6EB1"/>
    <w:rsid w:val="1CDF436F"/>
    <w:rsid w:val="1CE83979"/>
    <w:rsid w:val="1CF62125"/>
    <w:rsid w:val="1CFE13A0"/>
    <w:rsid w:val="1D201555"/>
    <w:rsid w:val="1D3F2158"/>
    <w:rsid w:val="1D436612"/>
    <w:rsid w:val="1D9C4722"/>
    <w:rsid w:val="1DA069AB"/>
    <w:rsid w:val="1DFD34C1"/>
    <w:rsid w:val="1E0B27D7"/>
    <w:rsid w:val="1E117F64"/>
    <w:rsid w:val="1E287B89"/>
    <w:rsid w:val="1E2C4463"/>
    <w:rsid w:val="1E314C15"/>
    <w:rsid w:val="1E856ED3"/>
    <w:rsid w:val="1EAB5EF7"/>
    <w:rsid w:val="1ECD2CE2"/>
    <w:rsid w:val="1EDC7DA8"/>
    <w:rsid w:val="1EEF62CD"/>
    <w:rsid w:val="1F0869EA"/>
    <w:rsid w:val="1F137E76"/>
    <w:rsid w:val="1F1C3919"/>
    <w:rsid w:val="1F3025BA"/>
    <w:rsid w:val="1F58785A"/>
    <w:rsid w:val="1F7A1CD0"/>
    <w:rsid w:val="1FC803E8"/>
    <w:rsid w:val="1FCA4D36"/>
    <w:rsid w:val="1FF548C8"/>
    <w:rsid w:val="1FFF212D"/>
    <w:rsid w:val="200C6AA5"/>
    <w:rsid w:val="206E6027"/>
    <w:rsid w:val="208D46B8"/>
    <w:rsid w:val="20913154"/>
    <w:rsid w:val="209B043C"/>
    <w:rsid w:val="20AE082C"/>
    <w:rsid w:val="20B65C39"/>
    <w:rsid w:val="20D970F2"/>
    <w:rsid w:val="20E93CF9"/>
    <w:rsid w:val="20FD3E2F"/>
    <w:rsid w:val="21170748"/>
    <w:rsid w:val="21332A32"/>
    <w:rsid w:val="213A0410"/>
    <w:rsid w:val="21457AA6"/>
    <w:rsid w:val="216A315E"/>
    <w:rsid w:val="217B6997"/>
    <w:rsid w:val="219D5F36"/>
    <w:rsid w:val="21A62FC3"/>
    <w:rsid w:val="21B96760"/>
    <w:rsid w:val="21BD5166"/>
    <w:rsid w:val="21E360C5"/>
    <w:rsid w:val="21EC5CB5"/>
    <w:rsid w:val="2206685F"/>
    <w:rsid w:val="22422E41"/>
    <w:rsid w:val="225C2514"/>
    <w:rsid w:val="225E4CF0"/>
    <w:rsid w:val="226C1A87"/>
    <w:rsid w:val="22A51891"/>
    <w:rsid w:val="22AA736D"/>
    <w:rsid w:val="22AD41D9"/>
    <w:rsid w:val="22AF1419"/>
    <w:rsid w:val="22B84105"/>
    <w:rsid w:val="22C8691D"/>
    <w:rsid w:val="22EC56A6"/>
    <w:rsid w:val="22EF2384"/>
    <w:rsid w:val="230022FA"/>
    <w:rsid w:val="23222C5F"/>
    <w:rsid w:val="233E2EB1"/>
    <w:rsid w:val="23527219"/>
    <w:rsid w:val="235B53E0"/>
    <w:rsid w:val="237B1C44"/>
    <w:rsid w:val="238B0A63"/>
    <w:rsid w:val="23D70CD9"/>
    <w:rsid w:val="23DA1C5E"/>
    <w:rsid w:val="23E435FF"/>
    <w:rsid w:val="23FB5A15"/>
    <w:rsid w:val="24140B3E"/>
    <w:rsid w:val="241D144D"/>
    <w:rsid w:val="24233357"/>
    <w:rsid w:val="243512C2"/>
    <w:rsid w:val="24885842"/>
    <w:rsid w:val="24983315"/>
    <w:rsid w:val="24AA6D8B"/>
    <w:rsid w:val="24D81B80"/>
    <w:rsid w:val="25024F43"/>
    <w:rsid w:val="250F3174"/>
    <w:rsid w:val="25361F1A"/>
    <w:rsid w:val="255911D5"/>
    <w:rsid w:val="256E58F7"/>
    <w:rsid w:val="25702FF9"/>
    <w:rsid w:val="25832019"/>
    <w:rsid w:val="25E642BC"/>
    <w:rsid w:val="26241BA3"/>
    <w:rsid w:val="262650A6"/>
    <w:rsid w:val="263578BE"/>
    <w:rsid w:val="26361ABD"/>
    <w:rsid w:val="265448F0"/>
    <w:rsid w:val="268F74A1"/>
    <w:rsid w:val="26C40427"/>
    <w:rsid w:val="26CC32B5"/>
    <w:rsid w:val="26ED37EA"/>
    <w:rsid w:val="26F9507E"/>
    <w:rsid w:val="271414AB"/>
    <w:rsid w:val="271C4469"/>
    <w:rsid w:val="271C4BC8"/>
    <w:rsid w:val="272A364F"/>
    <w:rsid w:val="273370CF"/>
    <w:rsid w:val="27551F14"/>
    <w:rsid w:val="2759091B"/>
    <w:rsid w:val="27705CAA"/>
    <w:rsid w:val="27826986"/>
    <w:rsid w:val="278674BE"/>
    <w:rsid w:val="279D398E"/>
    <w:rsid w:val="27A22014"/>
    <w:rsid w:val="27B21B89"/>
    <w:rsid w:val="27C8781B"/>
    <w:rsid w:val="27F42F5B"/>
    <w:rsid w:val="281A0EA7"/>
    <w:rsid w:val="2846729E"/>
    <w:rsid w:val="28634650"/>
    <w:rsid w:val="28652094"/>
    <w:rsid w:val="286F468E"/>
    <w:rsid w:val="287C7778"/>
    <w:rsid w:val="28956124"/>
    <w:rsid w:val="28DE3F9A"/>
    <w:rsid w:val="290618DB"/>
    <w:rsid w:val="294739C9"/>
    <w:rsid w:val="296F4668"/>
    <w:rsid w:val="297D6603"/>
    <w:rsid w:val="29A86CB5"/>
    <w:rsid w:val="29AC1FD3"/>
    <w:rsid w:val="29B042F2"/>
    <w:rsid w:val="29E37FC4"/>
    <w:rsid w:val="2A06727F"/>
    <w:rsid w:val="2A0D248D"/>
    <w:rsid w:val="2A276A0A"/>
    <w:rsid w:val="2A524E42"/>
    <w:rsid w:val="2A573E05"/>
    <w:rsid w:val="2A8F62DB"/>
    <w:rsid w:val="2A9F6179"/>
    <w:rsid w:val="2ACE2709"/>
    <w:rsid w:val="2AD44455"/>
    <w:rsid w:val="2AE546EF"/>
    <w:rsid w:val="2AF6240B"/>
    <w:rsid w:val="2B0D6C28"/>
    <w:rsid w:val="2B172940"/>
    <w:rsid w:val="2B255FBA"/>
    <w:rsid w:val="2B27334F"/>
    <w:rsid w:val="2B361147"/>
    <w:rsid w:val="2B690FE4"/>
    <w:rsid w:val="2B8A2873"/>
    <w:rsid w:val="2B8B7A2B"/>
    <w:rsid w:val="2B9A07CD"/>
    <w:rsid w:val="2BAF21A8"/>
    <w:rsid w:val="2BE47802"/>
    <w:rsid w:val="2C01033F"/>
    <w:rsid w:val="2C292DC5"/>
    <w:rsid w:val="2C320B0E"/>
    <w:rsid w:val="2C73669D"/>
    <w:rsid w:val="2C830D32"/>
    <w:rsid w:val="2C852F1B"/>
    <w:rsid w:val="2C8B24A1"/>
    <w:rsid w:val="2C9A25B7"/>
    <w:rsid w:val="2CAC615D"/>
    <w:rsid w:val="2CBA556F"/>
    <w:rsid w:val="2CC82306"/>
    <w:rsid w:val="2CDE41A9"/>
    <w:rsid w:val="2CEA2186"/>
    <w:rsid w:val="2CF2314A"/>
    <w:rsid w:val="2D214C54"/>
    <w:rsid w:val="2D2E5194"/>
    <w:rsid w:val="2D3A63C1"/>
    <w:rsid w:val="2D4609D6"/>
    <w:rsid w:val="2D586372"/>
    <w:rsid w:val="2DED4667"/>
    <w:rsid w:val="2E047B0F"/>
    <w:rsid w:val="2E203BBC"/>
    <w:rsid w:val="2E32193B"/>
    <w:rsid w:val="2E39231C"/>
    <w:rsid w:val="2E56209C"/>
    <w:rsid w:val="2E8337A2"/>
    <w:rsid w:val="2E8A57EA"/>
    <w:rsid w:val="2EB4662E"/>
    <w:rsid w:val="2EEA5313"/>
    <w:rsid w:val="2F1A1856"/>
    <w:rsid w:val="2F397A40"/>
    <w:rsid w:val="2F3A4309"/>
    <w:rsid w:val="2F5B483E"/>
    <w:rsid w:val="2F5D35C4"/>
    <w:rsid w:val="2F666B63"/>
    <w:rsid w:val="2F8D6311"/>
    <w:rsid w:val="2F9F78B1"/>
    <w:rsid w:val="2FEA3FFE"/>
    <w:rsid w:val="2FF10740"/>
    <w:rsid w:val="2FFB00F8"/>
    <w:rsid w:val="300F55E6"/>
    <w:rsid w:val="30305B1B"/>
    <w:rsid w:val="30611B6D"/>
    <w:rsid w:val="30612B5B"/>
    <w:rsid w:val="306C7EFE"/>
    <w:rsid w:val="308952B0"/>
    <w:rsid w:val="308A4F2F"/>
    <w:rsid w:val="30902D45"/>
    <w:rsid w:val="3092460A"/>
    <w:rsid w:val="30956529"/>
    <w:rsid w:val="309918E9"/>
    <w:rsid w:val="309C64CF"/>
    <w:rsid w:val="30A26212"/>
    <w:rsid w:val="30A91A2E"/>
    <w:rsid w:val="30B20672"/>
    <w:rsid w:val="31416C5C"/>
    <w:rsid w:val="316D0DA5"/>
    <w:rsid w:val="31B3151A"/>
    <w:rsid w:val="31BA0EA5"/>
    <w:rsid w:val="31BD1E29"/>
    <w:rsid w:val="31BE6E53"/>
    <w:rsid w:val="31C02DAE"/>
    <w:rsid w:val="31CB333D"/>
    <w:rsid w:val="31F36A80"/>
    <w:rsid w:val="32354F6B"/>
    <w:rsid w:val="32406B7F"/>
    <w:rsid w:val="326B1AE0"/>
    <w:rsid w:val="32812E6C"/>
    <w:rsid w:val="32904003"/>
    <w:rsid w:val="32990513"/>
    <w:rsid w:val="330865C8"/>
    <w:rsid w:val="330B779A"/>
    <w:rsid w:val="33205E2B"/>
    <w:rsid w:val="333C359F"/>
    <w:rsid w:val="338F274A"/>
    <w:rsid w:val="339935C8"/>
    <w:rsid w:val="339F6038"/>
    <w:rsid w:val="33B45F7E"/>
    <w:rsid w:val="33D91F25"/>
    <w:rsid w:val="343018AE"/>
    <w:rsid w:val="34324DB1"/>
    <w:rsid w:val="343F692D"/>
    <w:rsid w:val="34411D1D"/>
    <w:rsid w:val="345073E6"/>
    <w:rsid w:val="34866A39"/>
    <w:rsid w:val="348817B1"/>
    <w:rsid w:val="34DE5317"/>
    <w:rsid w:val="34F442A9"/>
    <w:rsid w:val="3507608E"/>
    <w:rsid w:val="3511441F"/>
    <w:rsid w:val="352E5F4D"/>
    <w:rsid w:val="35301D0A"/>
    <w:rsid w:val="3543266F"/>
    <w:rsid w:val="354632DC"/>
    <w:rsid w:val="358805AB"/>
    <w:rsid w:val="359A34CC"/>
    <w:rsid w:val="35C031DF"/>
    <w:rsid w:val="35C24D96"/>
    <w:rsid w:val="35D703D8"/>
    <w:rsid w:val="35DE3665"/>
    <w:rsid w:val="35DF02EF"/>
    <w:rsid w:val="35EB1B74"/>
    <w:rsid w:val="36071A43"/>
    <w:rsid w:val="366E68DA"/>
    <w:rsid w:val="36737EBE"/>
    <w:rsid w:val="36756265"/>
    <w:rsid w:val="368262AA"/>
    <w:rsid w:val="36E865A3"/>
    <w:rsid w:val="36F05BAE"/>
    <w:rsid w:val="36F71555"/>
    <w:rsid w:val="36F853A7"/>
    <w:rsid w:val="36FC151F"/>
    <w:rsid w:val="37496F7A"/>
    <w:rsid w:val="374E39C9"/>
    <w:rsid w:val="376D6F23"/>
    <w:rsid w:val="37935876"/>
    <w:rsid w:val="37A814B8"/>
    <w:rsid w:val="37F84C01"/>
    <w:rsid w:val="38037FF5"/>
    <w:rsid w:val="3828112E"/>
    <w:rsid w:val="385851E1"/>
    <w:rsid w:val="387F672B"/>
    <w:rsid w:val="3894625F"/>
    <w:rsid w:val="38A02C28"/>
    <w:rsid w:val="38A57162"/>
    <w:rsid w:val="38AA60D6"/>
    <w:rsid w:val="38F60882"/>
    <w:rsid w:val="38FC020D"/>
    <w:rsid w:val="39022116"/>
    <w:rsid w:val="39137E32"/>
    <w:rsid w:val="394250FE"/>
    <w:rsid w:val="39451C2E"/>
    <w:rsid w:val="39573D9E"/>
    <w:rsid w:val="39BA18C5"/>
    <w:rsid w:val="39F32D23"/>
    <w:rsid w:val="3A1B3A32"/>
    <w:rsid w:val="3A235A71"/>
    <w:rsid w:val="3A3D661B"/>
    <w:rsid w:val="3A4614A9"/>
    <w:rsid w:val="3A4B4A64"/>
    <w:rsid w:val="3A6E018B"/>
    <w:rsid w:val="3A7374AB"/>
    <w:rsid w:val="3AA70B7D"/>
    <w:rsid w:val="3AD71050"/>
    <w:rsid w:val="3AEA41B5"/>
    <w:rsid w:val="3B27401A"/>
    <w:rsid w:val="3B522666"/>
    <w:rsid w:val="3B605478"/>
    <w:rsid w:val="3B95318F"/>
    <w:rsid w:val="3BA96B71"/>
    <w:rsid w:val="3BB82E6B"/>
    <w:rsid w:val="3BD57296"/>
    <w:rsid w:val="3BE36841"/>
    <w:rsid w:val="3C034C82"/>
    <w:rsid w:val="3C546447"/>
    <w:rsid w:val="3C5B6745"/>
    <w:rsid w:val="3C8B38E1"/>
    <w:rsid w:val="3CFD37EC"/>
    <w:rsid w:val="3D6574A6"/>
    <w:rsid w:val="3D8C6D07"/>
    <w:rsid w:val="3D9378F2"/>
    <w:rsid w:val="3DA556B2"/>
    <w:rsid w:val="3DB76351"/>
    <w:rsid w:val="3DFA2BBE"/>
    <w:rsid w:val="3E0F7557"/>
    <w:rsid w:val="3E1B0B74"/>
    <w:rsid w:val="3E37533F"/>
    <w:rsid w:val="3E5E705F"/>
    <w:rsid w:val="3E6D222C"/>
    <w:rsid w:val="3EA861DA"/>
    <w:rsid w:val="3EAF165A"/>
    <w:rsid w:val="3F782C2D"/>
    <w:rsid w:val="3F87539D"/>
    <w:rsid w:val="3F8D5553"/>
    <w:rsid w:val="3F9E7BA5"/>
    <w:rsid w:val="3FF638FD"/>
    <w:rsid w:val="40154B29"/>
    <w:rsid w:val="4039566C"/>
    <w:rsid w:val="403F7575"/>
    <w:rsid w:val="40533F5C"/>
    <w:rsid w:val="40775150"/>
    <w:rsid w:val="40803861"/>
    <w:rsid w:val="409370B0"/>
    <w:rsid w:val="40980F08"/>
    <w:rsid w:val="40B14030"/>
    <w:rsid w:val="40C120CD"/>
    <w:rsid w:val="40E13A86"/>
    <w:rsid w:val="40F869A3"/>
    <w:rsid w:val="41415E9E"/>
    <w:rsid w:val="414867C0"/>
    <w:rsid w:val="414A2F2A"/>
    <w:rsid w:val="416E4E06"/>
    <w:rsid w:val="419D77EE"/>
    <w:rsid w:val="41A75842"/>
    <w:rsid w:val="41C62F9F"/>
    <w:rsid w:val="42092064"/>
    <w:rsid w:val="42552336"/>
    <w:rsid w:val="425E290D"/>
    <w:rsid w:val="427E4891"/>
    <w:rsid w:val="427F1A20"/>
    <w:rsid w:val="42814AA1"/>
    <w:rsid w:val="429F2D3C"/>
    <w:rsid w:val="42B559FF"/>
    <w:rsid w:val="42C83C9E"/>
    <w:rsid w:val="42CA46A0"/>
    <w:rsid w:val="4310261D"/>
    <w:rsid w:val="43392C9A"/>
    <w:rsid w:val="434652EE"/>
    <w:rsid w:val="4374370A"/>
    <w:rsid w:val="438C7FE1"/>
    <w:rsid w:val="43B1111A"/>
    <w:rsid w:val="43D745D9"/>
    <w:rsid w:val="43DE6767"/>
    <w:rsid w:val="43E42FB9"/>
    <w:rsid w:val="43E560F1"/>
    <w:rsid w:val="44060F86"/>
    <w:rsid w:val="4406131F"/>
    <w:rsid w:val="44256EDB"/>
    <w:rsid w:val="44360F15"/>
    <w:rsid w:val="44395B7B"/>
    <w:rsid w:val="44651EC3"/>
    <w:rsid w:val="449175A0"/>
    <w:rsid w:val="449D39F5"/>
    <w:rsid w:val="44A377A9"/>
    <w:rsid w:val="44C53AE2"/>
    <w:rsid w:val="450A37AA"/>
    <w:rsid w:val="452138FB"/>
    <w:rsid w:val="454F3145"/>
    <w:rsid w:val="45546485"/>
    <w:rsid w:val="45570552"/>
    <w:rsid w:val="45631DE6"/>
    <w:rsid w:val="456F5A46"/>
    <w:rsid w:val="45852C0D"/>
    <w:rsid w:val="459D3528"/>
    <w:rsid w:val="45A523A1"/>
    <w:rsid w:val="45E40FD1"/>
    <w:rsid w:val="460951E5"/>
    <w:rsid w:val="462078FF"/>
    <w:rsid w:val="46367BC0"/>
    <w:rsid w:val="46941ED9"/>
    <w:rsid w:val="46962EBD"/>
    <w:rsid w:val="46C77B24"/>
    <w:rsid w:val="46D01E3A"/>
    <w:rsid w:val="46F76979"/>
    <w:rsid w:val="46F81F5C"/>
    <w:rsid w:val="47095999"/>
    <w:rsid w:val="47236543"/>
    <w:rsid w:val="47257848"/>
    <w:rsid w:val="473B3050"/>
    <w:rsid w:val="474E4E09"/>
    <w:rsid w:val="474F288B"/>
    <w:rsid w:val="478234F8"/>
    <w:rsid w:val="47831DE0"/>
    <w:rsid w:val="47B727F3"/>
    <w:rsid w:val="47B93A3E"/>
    <w:rsid w:val="47E54403"/>
    <w:rsid w:val="47E82E09"/>
    <w:rsid w:val="47F06A54"/>
    <w:rsid w:val="47F77BA0"/>
    <w:rsid w:val="48520700"/>
    <w:rsid w:val="486E0728"/>
    <w:rsid w:val="488E0DCA"/>
    <w:rsid w:val="48A36EB3"/>
    <w:rsid w:val="48A8119E"/>
    <w:rsid w:val="48BD0863"/>
    <w:rsid w:val="48DE6819"/>
    <w:rsid w:val="48EB00AD"/>
    <w:rsid w:val="48F30C2D"/>
    <w:rsid w:val="49061A89"/>
    <w:rsid w:val="490F4DEA"/>
    <w:rsid w:val="49316623"/>
    <w:rsid w:val="493B5C19"/>
    <w:rsid w:val="493E070A"/>
    <w:rsid w:val="494C4797"/>
    <w:rsid w:val="49836455"/>
    <w:rsid w:val="49AF33A2"/>
    <w:rsid w:val="49B05850"/>
    <w:rsid w:val="49B27E76"/>
    <w:rsid w:val="49BB319A"/>
    <w:rsid w:val="49C35B92"/>
    <w:rsid w:val="49C37D91"/>
    <w:rsid w:val="49E85F88"/>
    <w:rsid w:val="4A224A86"/>
    <w:rsid w:val="4A3835D3"/>
    <w:rsid w:val="4A913C61"/>
    <w:rsid w:val="4A942144"/>
    <w:rsid w:val="4AA41745"/>
    <w:rsid w:val="4ABA06A9"/>
    <w:rsid w:val="4AE14CE5"/>
    <w:rsid w:val="4AF46CEF"/>
    <w:rsid w:val="4B182C41"/>
    <w:rsid w:val="4B7C61E8"/>
    <w:rsid w:val="4BC53274"/>
    <w:rsid w:val="4BC75484"/>
    <w:rsid w:val="4BD60E0F"/>
    <w:rsid w:val="4BDE7186"/>
    <w:rsid w:val="4BF214F2"/>
    <w:rsid w:val="4BFE1C3A"/>
    <w:rsid w:val="4C067046"/>
    <w:rsid w:val="4C167EC0"/>
    <w:rsid w:val="4C5835B8"/>
    <w:rsid w:val="4C5C7A55"/>
    <w:rsid w:val="4C8425E4"/>
    <w:rsid w:val="4C843198"/>
    <w:rsid w:val="4C84765C"/>
    <w:rsid w:val="4C8D5335"/>
    <w:rsid w:val="4CE9093D"/>
    <w:rsid w:val="4CF5694E"/>
    <w:rsid w:val="4CF77C53"/>
    <w:rsid w:val="4D8B5F48"/>
    <w:rsid w:val="4D933355"/>
    <w:rsid w:val="4DB04E83"/>
    <w:rsid w:val="4DB561FB"/>
    <w:rsid w:val="4DD4222A"/>
    <w:rsid w:val="4DE72BC1"/>
    <w:rsid w:val="4E1F10C9"/>
    <w:rsid w:val="4E3166D6"/>
    <w:rsid w:val="4E607225"/>
    <w:rsid w:val="4EA17C8F"/>
    <w:rsid w:val="4EA86291"/>
    <w:rsid w:val="4ED86247"/>
    <w:rsid w:val="4EE80403"/>
    <w:rsid w:val="4F1869D4"/>
    <w:rsid w:val="4F1D3C8E"/>
    <w:rsid w:val="4F1E3C95"/>
    <w:rsid w:val="4F2C22E7"/>
    <w:rsid w:val="4F3D0FA0"/>
    <w:rsid w:val="4F560A37"/>
    <w:rsid w:val="4F631692"/>
    <w:rsid w:val="4F692025"/>
    <w:rsid w:val="4F7725B8"/>
    <w:rsid w:val="4F890F7F"/>
    <w:rsid w:val="4FA63CB9"/>
    <w:rsid w:val="4FAA5F43"/>
    <w:rsid w:val="4FB541B4"/>
    <w:rsid w:val="4FD028FF"/>
    <w:rsid w:val="4FD64808"/>
    <w:rsid w:val="501D29FE"/>
    <w:rsid w:val="504D1B60"/>
    <w:rsid w:val="50583ADD"/>
    <w:rsid w:val="50733DC4"/>
    <w:rsid w:val="50863F0E"/>
    <w:rsid w:val="509C58BA"/>
    <w:rsid w:val="509F74AB"/>
    <w:rsid w:val="50B341F7"/>
    <w:rsid w:val="512B7338"/>
    <w:rsid w:val="51311242"/>
    <w:rsid w:val="51575BFE"/>
    <w:rsid w:val="519B6B0A"/>
    <w:rsid w:val="51C365B2"/>
    <w:rsid w:val="51D15C06"/>
    <w:rsid w:val="51E7154B"/>
    <w:rsid w:val="51E754ED"/>
    <w:rsid w:val="51ED2C7A"/>
    <w:rsid w:val="520A30CD"/>
    <w:rsid w:val="5217023B"/>
    <w:rsid w:val="524D2FE5"/>
    <w:rsid w:val="526B51B3"/>
    <w:rsid w:val="527346F9"/>
    <w:rsid w:val="52AA302D"/>
    <w:rsid w:val="52F70339"/>
    <w:rsid w:val="533802B0"/>
    <w:rsid w:val="535F39CE"/>
    <w:rsid w:val="53844015"/>
    <w:rsid w:val="53B547E4"/>
    <w:rsid w:val="53C54A7E"/>
    <w:rsid w:val="53E00F74"/>
    <w:rsid w:val="53ED77E6"/>
    <w:rsid w:val="53F427B9"/>
    <w:rsid w:val="542F397D"/>
    <w:rsid w:val="545A2356"/>
    <w:rsid w:val="54DC5F38"/>
    <w:rsid w:val="54DF2FCC"/>
    <w:rsid w:val="550F7A5B"/>
    <w:rsid w:val="5510701F"/>
    <w:rsid w:val="551B75AE"/>
    <w:rsid w:val="55594E94"/>
    <w:rsid w:val="55621614"/>
    <w:rsid w:val="558A1367"/>
    <w:rsid w:val="55933D75"/>
    <w:rsid w:val="5599291F"/>
    <w:rsid w:val="55996042"/>
    <w:rsid w:val="55A07807"/>
    <w:rsid w:val="55BF7DAB"/>
    <w:rsid w:val="55C022BA"/>
    <w:rsid w:val="56474B1D"/>
    <w:rsid w:val="56497633"/>
    <w:rsid w:val="56520719"/>
    <w:rsid w:val="56531C0A"/>
    <w:rsid w:val="56A62938"/>
    <w:rsid w:val="56BD475C"/>
    <w:rsid w:val="56C169E5"/>
    <w:rsid w:val="56CB6225"/>
    <w:rsid w:val="56FA7E8B"/>
    <w:rsid w:val="571A31DA"/>
    <w:rsid w:val="571F34FB"/>
    <w:rsid w:val="57283E0B"/>
    <w:rsid w:val="572E3DFB"/>
    <w:rsid w:val="573351B0"/>
    <w:rsid w:val="57390C18"/>
    <w:rsid w:val="57571CBA"/>
    <w:rsid w:val="57D07475"/>
    <w:rsid w:val="57D455E1"/>
    <w:rsid w:val="5814296E"/>
    <w:rsid w:val="584274DB"/>
    <w:rsid w:val="584C7F32"/>
    <w:rsid w:val="585D4208"/>
    <w:rsid w:val="58840844"/>
    <w:rsid w:val="588440C7"/>
    <w:rsid w:val="58CC3F96"/>
    <w:rsid w:val="58E70023"/>
    <w:rsid w:val="58EE5CF5"/>
    <w:rsid w:val="592F4560"/>
    <w:rsid w:val="59417CFE"/>
    <w:rsid w:val="59587923"/>
    <w:rsid w:val="59775899"/>
    <w:rsid w:val="59843C6A"/>
    <w:rsid w:val="59F27B21"/>
    <w:rsid w:val="5A18539D"/>
    <w:rsid w:val="5A1A647C"/>
    <w:rsid w:val="5A2C6645"/>
    <w:rsid w:val="5A354648"/>
    <w:rsid w:val="5A394AAB"/>
    <w:rsid w:val="5A6310DA"/>
    <w:rsid w:val="5A650446"/>
    <w:rsid w:val="5A6E4EEC"/>
    <w:rsid w:val="5A8B6673"/>
    <w:rsid w:val="5A9A023F"/>
    <w:rsid w:val="5ACE6A69"/>
    <w:rsid w:val="5AE45748"/>
    <w:rsid w:val="5AFC0F7F"/>
    <w:rsid w:val="5B5B3870"/>
    <w:rsid w:val="5B607CF8"/>
    <w:rsid w:val="5B730F17"/>
    <w:rsid w:val="5B884084"/>
    <w:rsid w:val="5B887BB7"/>
    <w:rsid w:val="5B8A042A"/>
    <w:rsid w:val="5B900847"/>
    <w:rsid w:val="5BDC50C3"/>
    <w:rsid w:val="5BE34A4E"/>
    <w:rsid w:val="5BEE27B5"/>
    <w:rsid w:val="5C0E1115"/>
    <w:rsid w:val="5C3B0F83"/>
    <w:rsid w:val="5C537F09"/>
    <w:rsid w:val="5C5E2199"/>
    <w:rsid w:val="5C677226"/>
    <w:rsid w:val="5C745223"/>
    <w:rsid w:val="5C8835A3"/>
    <w:rsid w:val="5C8A5083"/>
    <w:rsid w:val="5CB83619"/>
    <w:rsid w:val="5D1D62C3"/>
    <w:rsid w:val="5D2E7C24"/>
    <w:rsid w:val="5D49561A"/>
    <w:rsid w:val="5D9E2C70"/>
    <w:rsid w:val="5DB858CE"/>
    <w:rsid w:val="5DCF0D76"/>
    <w:rsid w:val="5DDA6435"/>
    <w:rsid w:val="5DDD390F"/>
    <w:rsid w:val="5DE51EC6"/>
    <w:rsid w:val="5DFD1BC3"/>
    <w:rsid w:val="5E075446"/>
    <w:rsid w:val="5E356E2D"/>
    <w:rsid w:val="5E3929A4"/>
    <w:rsid w:val="5E415870"/>
    <w:rsid w:val="5E4B3F43"/>
    <w:rsid w:val="5E585426"/>
    <w:rsid w:val="5E5E18DF"/>
    <w:rsid w:val="5E6B3CD4"/>
    <w:rsid w:val="5E72551F"/>
    <w:rsid w:val="5E810B9A"/>
    <w:rsid w:val="5E8F45A3"/>
    <w:rsid w:val="5F47185C"/>
    <w:rsid w:val="5F545A7C"/>
    <w:rsid w:val="5F5656B0"/>
    <w:rsid w:val="5F7F34EB"/>
    <w:rsid w:val="5FA773D5"/>
    <w:rsid w:val="5FE252DE"/>
    <w:rsid w:val="5FF22ABD"/>
    <w:rsid w:val="603154C1"/>
    <w:rsid w:val="606E70C0"/>
    <w:rsid w:val="607C0FE5"/>
    <w:rsid w:val="60852569"/>
    <w:rsid w:val="609561DC"/>
    <w:rsid w:val="60DC6F0C"/>
    <w:rsid w:val="60E320D0"/>
    <w:rsid w:val="60F715A3"/>
    <w:rsid w:val="610E4B69"/>
    <w:rsid w:val="61335628"/>
    <w:rsid w:val="61484B8A"/>
    <w:rsid w:val="61495B2A"/>
    <w:rsid w:val="614F1C31"/>
    <w:rsid w:val="618E3791"/>
    <w:rsid w:val="619F2CB5"/>
    <w:rsid w:val="61A56906"/>
    <w:rsid w:val="61B81661"/>
    <w:rsid w:val="61CF0A40"/>
    <w:rsid w:val="61F01D9D"/>
    <w:rsid w:val="61FB33CF"/>
    <w:rsid w:val="622003DE"/>
    <w:rsid w:val="6220088D"/>
    <w:rsid w:val="6237500A"/>
    <w:rsid w:val="62642A4C"/>
    <w:rsid w:val="62680DB7"/>
    <w:rsid w:val="627A35A1"/>
    <w:rsid w:val="62907837"/>
    <w:rsid w:val="62996751"/>
    <w:rsid w:val="62E50DCE"/>
    <w:rsid w:val="630A358C"/>
    <w:rsid w:val="64212885"/>
    <w:rsid w:val="643364F2"/>
    <w:rsid w:val="64480350"/>
    <w:rsid w:val="645B63B1"/>
    <w:rsid w:val="646F08D5"/>
    <w:rsid w:val="64942E6C"/>
    <w:rsid w:val="64A66831"/>
    <w:rsid w:val="64AC4EB7"/>
    <w:rsid w:val="64F64031"/>
    <w:rsid w:val="651061B6"/>
    <w:rsid w:val="655D6EB5"/>
    <w:rsid w:val="6560355A"/>
    <w:rsid w:val="656256ED"/>
    <w:rsid w:val="659D27E5"/>
    <w:rsid w:val="65A044CA"/>
    <w:rsid w:val="65AD6914"/>
    <w:rsid w:val="65E329B5"/>
    <w:rsid w:val="65FC2771"/>
    <w:rsid w:val="66012783"/>
    <w:rsid w:val="66127C81"/>
    <w:rsid w:val="66344D3E"/>
    <w:rsid w:val="665C267F"/>
    <w:rsid w:val="66624588"/>
    <w:rsid w:val="66A01E6F"/>
    <w:rsid w:val="66A22C57"/>
    <w:rsid w:val="66C83F2C"/>
    <w:rsid w:val="66EC2F44"/>
    <w:rsid w:val="6701538B"/>
    <w:rsid w:val="67110EA9"/>
    <w:rsid w:val="67387A63"/>
    <w:rsid w:val="676818B7"/>
    <w:rsid w:val="678F02D7"/>
    <w:rsid w:val="67B36C0C"/>
    <w:rsid w:val="67D15A64"/>
    <w:rsid w:val="67F01298"/>
    <w:rsid w:val="67FB08EB"/>
    <w:rsid w:val="67FB3025"/>
    <w:rsid w:val="67FC3E1A"/>
    <w:rsid w:val="68017E89"/>
    <w:rsid w:val="68112FCA"/>
    <w:rsid w:val="68195E58"/>
    <w:rsid w:val="683E3E9A"/>
    <w:rsid w:val="686A7F84"/>
    <w:rsid w:val="687B1001"/>
    <w:rsid w:val="68DA0494"/>
    <w:rsid w:val="68E258A1"/>
    <w:rsid w:val="68E542A7"/>
    <w:rsid w:val="68FA376A"/>
    <w:rsid w:val="6925180D"/>
    <w:rsid w:val="692C4A1B"/>
    <w:rsid w:val="69367529"/>
    <w:rsid w:val="693D6EB4"/>
    <w:rsid w:val="69811A86"/>
    <w:rsid w:val="6983762F"/>
    <w:rsid w:val="69A955F8"/>
    <w:rsid w:val="69B61E25"/>
    <w:rsid w:val="69BB191B"/>
    <w:rsid w:val="69DF7D42"/>
    <w:rsid w:val="69E441CA"/>
    <w:rsid w:val="6A19339F"/>
    <w:rsid w:val="6A1A0E21"/>
    <w:rsid w:val="6A2677F7"/>
    <w:rsid w:val="6A68311E"/>
    <w:rsid w:val="6A6F0AC9"/>
    <w:rsid w:val="6A703DAE"/>
    <w:rsid w:val="6A7D6CAF"/>
    <w:rsid w:val="6A8739D3"/>
    <w:rsid w:val="6A9042E2"/>
    <w:rsid w:val="6A973C6D"/>
    <w:rsid w:val="6AFA3FDD"/>
    <w:rsid w:val="6B1846A8"/>
    <w:rsid w:val="6B1C3093"/>
    <w:rsid w:val="6B3320C3"/>
    <w:rsid w:val="6B344DF0"/>
    <w:rsid w:val="6B3A3476"/>
    <w:rsid w:val="6B4F341C"/>
    <w:rsid w:val="6B6D0974"/>
    <w:rsid w:val="6B726E54"/>
    <w:rsid w:val="6BA72B78"/>
    <w:rsid w:val="6BBA67F4"/>
    <w:rsid w:val="6BD63A05"/>
    <w:rsid w:val="6BDA0E02"/>
    <w:rsid w:val="6BDB0A81"/>
    <w:rsid w:val="6BEA091C"/>
    <w:rsid w:val="6C1B622C"/>
    <w:rsid w:val="6C2446F9"/>
    <w:rsid w:val="6C316D02"/>
    <w:rsid w:val="6C321490"/>
    <w:rsid w:val="6C321699"/>
    <w:rsid w:val="6C336F12"/>
    <w:rsid w:val="6C3B4144"/>
    <w:rsid w:val="6C670C97"/>
    <w:rsid w:val="6C693B68"/>
    <w:rsid w:val="6C796D9F"/>
    <w:rsid w:val="6C8A7920"/>
    <w:rsid w:val="6C953733"/>
    <w:rsid w:val="6CA639CD"/>
    <w:rsid w:val="6CAF42DD"/>
    <w:rsid w:val="6CB807AD"/>
    <w:rsid w:val="6CCB618B"/>
    <w:rsid w:val="6CE547B7"/>
    <w:rsid w:val="6D056989"/>
    <w:rsid w:val="6D205895"/>
    <w:rsid w:val="6D216B9A"/>
    <w:rsid w:val="6D4312CD"/>
    <w:rsid w:val="6D5B21F7"/>
    <w:rsid w:val="6D85303B"/>
    <w:rsid w:val="6DAB327B"/>
    <w:rsid w:val="6DD2313B"/>
    <w:rsid w:val="6DFA0C7A"/>
    <w:rsid w:val="6DFA2445"/>
    <w:rsid w:val="6DFC1022"/>
    <w:rsid w:val="6E1A7569"/>
    <w:rsid w:val="6E2B704C"/>
    <w:rsid w:val="6E7946DB"/>
    <w:rsid w:val="6E803BE8"/>
    <w:rsid w:val="6E8A28E9"/>
    <w:rsid w:val="6EA41295"/>
    <w:rsid w:val="6EA43493"/>
    <w:rsid w:val="6EB84E89"/>
    <w:rsid w:val="6F2A51A0"/>
    <w:rsid w:val="6F615376"/>
    <w:rsid w:val="6F786CEE"/>
    <w:rsid w:val="6F8C3791"/>
    <w:rsid w:val="6FE55C0C"/>
    <w:rsid w:val="700167C8"/>
    <w:rsid w:val="7012146B"/>
    <w:rsid w:val="704B4AC8"/>
    <w:rsid w:val="70613C5D"/>
    <w:rsid w:val="70666977"/>
    <w:rsid w:val="70792114"/>
    <w:rsid w:val="7086142A"/>
    <w:rsid w:val="70A17A56"/>
    <w:rsid w:val="70E33D42"/>
    <w:rsid w:val="71041CF8"/>
    <w:rsid w:val="71211CA2"/>
    <w:rsid w:val="71270FB3"/>
    <w:rsid w:val="71351C2D"/>
    <w:rsid w:val="71823031"/>
    <w:rsid w:val="7185134D"/>
    <w:rsid w:val="718C304E"/>
    <w:rsid w:val="718F49FD"/>
    <w:rsid w:val="71AB378B"/>
    <w:rsid w:val="71B316DD"/>
    <w:rsid w:val="71CB25AA"/>
    <w:rsid w:val="71D83356"/>
    <w:rsid w:val="71F35EB5"/>
    <w:rsid w:val="720C4C93"/>
    <w:rsid w:val="72131EB6"/>
    <w:rsid w:val="72216C4D"/>
    <w:rsid w:val="72361171"/>
    <w:rsid w:val="725047DE"/>
    <w:rsid w:val="72712474"/>
    <w:rsid w:val="72766AE8"/>
    <w:rsid w:val="727950DD"/>
    <w:rsid w:val="72912784"/>
    <w:rsid w:val="72AC0DAF"/>
    <w:rsid w:val="72BD6ACB"/>
    <w:rsid w:val="72C154D1"/>
    <w:rsid w:val="72C33CEF"/>
    <w:rsid w:val="72DC3AFD"/>
    <w:rsid w:val="730D7B4F"/>
    <w:rsid w:val="730F0E54"/>
    <w:rsid w:val="732706F9"/>
    <w:rsid w:val="73454032"/>
    <w:rsid w:val="73941263"/>
    <w:rsid w:val="73D36613"/>
    <w:rsid w:val="74974023"/>
    <w:rsid w:val="74A05D67"/>
    <w:rsid w:val="74C47221"/>
    <w:rsid w:val="74EF5AE6"/>
    <w:rsid w:val="74F769B5"/>
    <w:rsid w:val="755B649A"/>
    <w:rsid w:val="755C3F1C"/>
    <w:rsid w:val="75787FC9"/>
    <w:rsid w:val="758827E2"/>
    <w:rsid w:val="759365F4"/>
    <w:rsid w:val="75A51ECF"/>
    <w:rsid w:val="75A90798"/>
    <w:rsid w:val="75B545AA"/>
    <w:rsid w:val="75C73909"/>
    <w:rsid w:val="75EB6C83"/>
    <w:rsid w:val="763C747E"/>
    <w:rsid w:val="765C1C80"/>
    <w:rsid w:val="76665F34"/>
    <w:rsid w:val="7685754C"/>
    <w:rsid w:val="76A46917"/>
    <w:rsid w:val="76C96D94"/>
    <w:rsid w:val="76D12653"/>
    <w:rsid w:val="76E840FC"/>
    <w:rsid w:val="76EB32F5"/>
    <w:rsid w:val="771459A6"/>
    <w:rsid w:val="772A2051"/>
    <w:rsid w:val="77607E69"/>
    <w:rsid w:val="77715B85"/>
    <w:rsid w:val="77767741"/>
    <w:rsid w:val="777D3B96"/>
    <w:rsid w:val="77A41857"/>
    <w:rsid w:val="77C96214"/>
    <w:rsid w:val="77DF1E38"/>
    <w:rsid w:val="77DF61B9"/>
    <w:rsid w:val="783F076E"/>
    <w:rsid w:val="785E6707"/>
    <w:rsid w:val="786A5D9D"/>
    <w:rsid w:val="78746F41"/>
    <w:rsid w:val="789B4F81"/>
    <w:rsid w:val="789D2ED2"/>
    <w:rsid w:val="78D53773"/>
    <w:rsid w:val="78E950F0"/>
    <w:rsid w:val="791A372E"/>
    <w:rsid w:val="791B013F"/>
    <w:rsid w:val="791D69FF"/>
    <w:rsid w:val="792E135E"/>
    <w:rsid w:val="794B7CCC"/>
    <w:rsid w:val="79612E69"/>
    <w:rsid w:val="797C365C"/>
    <w:rsid w:val="798F00FE"/>
    <w:rsid w:val="79AD1484"/>
    <w:rsid w:val="79DF58FF"/>
    <w:rsid w:val="79EF399B"/>
    <w:rsid w:val="79F42021"/>
    <w:rsid w:val="79FB5AE0"/>
    <w:rsid w:val="7A092E01"/>
    <w:rsid w:val="7A195E96"/>
    <w:rsid w:val="7A567350"/>
    <w:rsid w:val="7A641081"/>
    <w:rsid w:val="7A8D0477"/>
    <w:rsid w:val="7A905722"/>
    <w:rsid w:val="7A9E4A38"/>
    <w:rsid w:val="7AAE27F4"/>
    <w:rsid w:val="7ABD0F17"/>
    <w:rsid w:val="7AC00390"/>
    <w:rsid w:val="7ACD1D04"/>
    <w:rsid w:val="7AD75E97"/>
    <w:rsid w:val="7ADB231E"/>
    <w:rsid w:val="7AF379C5"/>
    <w:rsid w:val="7AF71029"/>
    <w:rsid w:val="7B0F1874"/>
    <w:rsid w:val="7B13027A"/>
    <w:rsid w:val="7B186900"/>
    <w:rsid w:val="7B207590"/>
    <w:rsid w:val="7B273A10"/>
    <w:rsid w:val="7B2B5921"/>
    <w:rsid w:val="7B2C39A7"/>
    <w:rsid w:val="7B4F4CA9"/>
    <w:rsid w:val="7B5D73F5"/>
    <w:rsid w:val="7B615DFB"/>
    <w:rsid w:val="7B723B17"/>
    <w:rsid w:val="7BA97F26"/>
    <w:rsid w:val="7BDC1EC1"/>
    <w:rsid w:val="7BDD144D"/>
    <w:rsid w:val="7BE86FD9"/>
    <w:rsid w:val="7BEB7F5D"/>
    <w:rsid w:val="7C312C50"/>
    <w:rsid w:val="7C3456F4"/>
    <w:rsid w:val="7C6A2A2A"/>
    <w:rsid w:val="7C715C38"/>
    <w:rsid w:val="7C7F737F"/>
    <w:rsid w:val="7CA5738C"/>
    <w:rsid w:val="7CC46939"/>
    <w:rsid w:val="7D073BAD"/>
    <w:rsid w:val="7D115DE1"/>
    <w:rsid w:val="7D5207A9"/>
    <w:rsid w:val="7D647E4E"/>
    <w:rsid w:val="7D857221"/>
    <w:rsid w:val="7D91151E"/>
    <w:rsid w:val="7D9E6463"/>
    <w:rsid w:val="7DAF7BC0"/>
    <w:rsid w:val="7DB85FB8"/>
    <w:rsid w:val="7DDD7A8F"/>
    <w:rsid w:val="7DE22616"/>
    <w:rsid w:val="7DE440B0"/>
    <w:rsid w:val="7E1772DE"/>
    <w:rsid w:val="7E194CEF"/>
    <w:rsid w:val="7E436010"/>
    <w:rsid w:val="7E65736C"/>
    <w:rsid w:val="7E684A6E"/>
    <w:rsid w:val="7E6E2065"/>
    <w:rsid w:val="7E7220CC"/>
    <w:rsid w:val="7E793A93"/>
    <w:rsid w:val="7EBB22FA"/>
    <w:rsid w:val="7EFD4068"/>
    <w:rsid w:val="7F0810F9"/>
    <w:rsid w:val="7F2870AA"/>
    <w:rsid w:val="7F2F5FE4"/>
    <w:rsid w:val="7F35093E"/>
    <w:rsid w:val="7FDA2751"/>
    <w:rsid w:val="7FFA7F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0"/>
    <w:pPr>
      <w:keepNext/>
      <w:keepLines/>
      <w:spacing w:before="260" w:after="260" w:line="413" w:lineRule="auto"/>
      <w:outlineLvl w:val="1"/>
    </w:pPr>
    <w:rPr>
      <w:rFonts w:ascii="Arial" w:hAnsi="Arial" w:eastAsia="黑体"/>
      <w:b/>
      <w:bCs/>
      <w:sz w:val="32"/>
      <w:szCs w:val="32"/>
      <w:lang w:val="zh-CN"/>
    </w:rPr>
  </w:style>
  <w:style w:type="paragraph" w:styleId="3">
    <w:name w:val="heading 3"/>
    <w:basedOn w:val="1"/>
    <w:next w:val="1"/>
    <w:qFormat/>
    <w:uiPriority w:val="0"/>
    <w:pPr>
      <w:keepNext/>
      <w:keepLines/>
      <w:spacing w:before="260" w:after="260" w:line="416" w:lineRule="auto"/>
      <w:outlineLvl w:val="2"/>
    </w:pPr>
    <w:rPr>
      <w:b/>
      <w:bCs/>
      <w:sz w:val="32"/>
      <w:szCs w:val="32"/>
      <w:lang w:val="zh-CN"/>
    </w:rPr>
  </w:style>
  <w:style w:type="paragraph" w:styleId="4">
    <w:name w:val="heading 4"/>
    <w:basedOn w:val="1"/>
    <w:next w:val="1"/>
    <w:unhideWhenUsed/>
    <w:qFormat/>
    <w:uiPriority w:val="0"/>
    <w:pPr>
      <w:keepNext/>
      <w:keepLines/>
      <w:numPr>
        <w:ilvl w:val="0"/>
        <w:numId w:val="1"/>
      </w:numPr>
      <w:spacing w:before="280" w:after="290" w:line="372" w:lineRule="auto"/>
      <w:outlineLvl w:val="3"/>
    </w:pPr>
    <w:rPr>
      <w:rFonts w:ascii="Arial" w:hAnsi="Arial" w:eastAsia="黑体"/>
      <w:b/>
      <w:sz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2"/>
    <w:autoRedefine/>
    <w:semiHidden/>
    <w:unhideWhenUsed/>
    <w:qFormat/>
    <w:uiPriority w:val="99"/>
    <w:pPr>
      <w:jc w:val="left"/>
    </w:pPr>
  </w:style>
  <w:style w:type="paragraph" w:styleId="6">
    <w:name w:val="Body Text"/>
    <w:basedOn w:val="1"/>
    <w:link w:val="28"/>
    <w:autoRedefine/>
    <w:qFormat/>
    <w:uiPriority w:val="0"/>
    <w:rPr>
      <w:rFonts w:ascii="仿宋_GB2312" w:eastAsia="仿宋_GB2312"/>
      <w:sz w:val="32"/>
    </w:rPr>
  </w:style>
  <w:style w:type="paragraph" w:styleId="7">
    <w:name w:val="Body Text Indent"/>
    <w:basedOn w:val="1"/>
    <w:link w:val="29"/>
    <w:autoRedefine/>
    <w:qFormat/>
    <w:uiPriority w:val="0"/>
    <w:pPr>
      <w:spacing w:after="120"/>
      <w:ind w:left="420" w:leftChars="200"/>
    </w:pPr>
  </w:style>
  <w:style w:type="paragraph" w:styleId="8">
    <w:name w:val="toc 3"/>
    <w:basedOn w:val="1"/>
    <w:next w:val="1"/>
    <w:autoRedefine/>
    <w:semiHidden/>
    <w:unhideWhenUsed/>
    <w:qFormat/>
    <w:uiPriority w:val="39"/>
    <w:pPr>
      <w:ind w:left="840" w:leftChars="400"/>
    </w:pPr>
  </w:style>
  <w:style w:type="paragraph" w:styleId="9">
    <w:name w:val="Plain Text"/>
    <w:basedOn w:val="1"/>
    <w:link w:val="26"/>
    <w:autoRedefine/>
    <w:qFormat/>
    <w:uiPriority w:val="0"/>
    <w:rPr>
      <w:rFonts w:ascii="宋体" w:hAnsi="Courier New" w:cstheme="minorBidi"/>
      <w:szCs w:val="22"/>
    </w:rPr>
  </w:style>
  <w:style w:type="paragraph" w:styleId="10">
    <w:name w:val="Date"/>
    <w:basedOn w:val="1"/>
    <w:next w:val="1"/>
    <w:link w:val="27"/>
    <w:autoRedefine/>
    <w:unhideWhenUsed/>
    <w:qFormat/>
    <w:uiPriority w:val="0"/>
    <w:pPr>
      <w:ind w:left="100" w:leftChars="2500"/>
    </w:pPr>
  </w:style>
  <w:style w:type="paragraph" w:styleId="11">
    <w:name w:val="Balloon Text"/>
    <w:basedOn w:val="1"/>
    <w:link w:val="31"/>
    <w:autoRedefine/>
    <w:semiHidden/>
    <w:unhideWhenUsed/>
    <w:qFormat/>
    <w:uiPriority w:val="99"/>
    <w:rPr>
      <w:sz w:val="18"/>
      <w:szCs w:val="18"/>
    </w:rPr>
  </w:style>
  <w:style w:type="paragraph" w:styleId="12">
    <w:name w:val="footer"/>
    <w:basedOn w:val="1"/>
    <w:link w:val="25"/>
    <w:autoRedefine/>
    <w:unhideWhenUsed/>
    <w:qFormat/>
    <w:uiPriority w:val="99"/>
    <w:pPr>
      <w:tabs>
        <w:tab w:val="center" w:pos="4153"/>
        <w:tab w:val="right" w:pos="8306"/>
      </w:tabs>
      <w:snapToGrid w:val="0"/>
      <w:jc w:val="left"/>
    </w:pPr>
    <w:rPr>
      <w:sz w:val="18"/>
      <w:szCs w:val="18"/>
    </w:rPr>
  </w:style>
  <w:style w:type="paragraph" w:styleId="13">
    <w:name w:val="header"/>
    <w:basedOn w:val="1"/>
    <w:link w:val="24"/>
    <w:autoRedefine/>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4">
    <w:name w:val="toc 1"/>
    <w:basedOn w:val="1"/>
    <w:next w:val="1"/>
    <w:autoRedefine/>
    <w:semiHidden/>
    <w:unhideWhenUsed/>
    <w:qFormat/>
    <w:uiPriority w:val="39"/>
  </w:style>
  <w:style w:type="paragraph" w:styleId="15">
    <w:name w:val="List"/>
    <w:basedOn w:val="1"/>
    <w:autoRedefine/>
    <w:qFormat/>
    <w:uiPriority w:val="0"/>
    <w:pPr>
      <w:ind w:left="200" w:hanging="200" w:hangingChars="200"/>
    </w:pPr>
    <w:rPr>
      <w:szCs w:val="21"/>
    </w:rPr>
  </w:style>
  <w:style w:type="paragraph" w:styleId="16">
    <w:name w:val="toc 2"/>
    <w:basedOn w:val="1"/>
    <w:next w:val="1"/>
    <w:autoRedefine/>
    <w:semiHidden/>
    <w:unhideWhenUsed/>
    <w:qFormat/>
    <w:uiPriority w:val="39"/>
    <w:pPr>
      <w:ind w:left="420" w:leftChars="200"/>
    </w:pPr>
  </w:style>
  <w:style w:type="paragraph" w:styleId="17">
    <w:name w:val="annotation subject"/>
    <w:basedOn w:val="5"/>
    <w:next w:val="5"/>
    <w:link w:val="33"/>
    <w:autoRedefine/>
    <w:semiHidden/>
    <w:unhideWhenUsed/>
    <w:qFormat/>
    <w:uiPriority w:val="99"/>
    <w:rPr>
      <w:b/>
      <w:bCs/>
    </w:rPr>
  </w:style>
  <w:style w:type="table" w:styleId="19">
    <w:name w:val="Table Grid"/>
    <w:basedOn w:val="1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autoRedefine/>
    <w:qFormat/>
    <w:uiPriority w:val="22"/>
    <w:rPr>
      <w:b/>
    </w:rPr>
  </w:style>
  <w:style w:type="character" w:styleId="22">
    <w:name w:val="Hyperlink"/>
    <w:basedOn w:val="20"/>
    <w:autoRedefine/>
    <w:unhideWhenUsed/>
    <w:qFormat/>
    <w:uiPriority w:val="99"/>
    <w:rPr>
      <w:color w:val="0563C1" w:themeColor="hyperlink"/>
      <w:u w:val="single"/>
      <w14:textFill>
        <w14:solidFill>
          <w14:schemeClr w14:val="hlink"/>
        </w14:solidFill>
      </w14:textFill>
    </w:rPr>
  </w:style>
  <w:style w:type="character" w:styleId="23">
    <w:name w:val="annotation reference"/>
    <w:basedOn w:val="20"/>
    <w:autoRedefine/>
    <w:semiHidden/>
    <w:unhideWhenUsed/>
    <w:qFormat/>
    <w:uiPriority w:val="99"/>
    <w:rPr>
      <w:sz w:val="21"/>
      <w:szCs w:val="21"/>
    </w:rPr>
  </w:style>
  <w:style w:type="character" w:customStyle="1" w:styleId="24">
    <w:name w:val="页眉 字符"/>
    <w:basedOn w:val="20"/>
    <w:link w:val="13"/>
    <w:autoRedefine/>
    <w:qFormat/>
    <w:uiPriority w:val="99"/>
    <w:rPr>
      <w:sz w:val="18"/>
      <w:szCs w:val="18"/>
    </w:rPr>
  </w:style>
  <w:style w:type="character" w:customStyle="1" w:styleId="25">
    <w:name w:val="页脚 字符"/>
    <w:basedOn w:val="20"/>
    <w:link w:val="12"/>
    <w:autoRedefine/>
    <w:qFormat/>
    <w:uiPriority w:val="99"/>
    <w:rPr>
      <w:sz w:val="18"/>
      <w:szCs w:val="18"/>
    </w:rPr>
  </w:style>
  <w:style w:type="character" w:customStyle="1" w:styleId="26">
    <w:name w:val="纯文本 字符"/>
    <w:basedOn w:val="20"/>
    <w:link w:val="9"/>
    <w:autoRedefine/>
    <w:qFormat/>
    <w:uiPriority w:val="0"/>
    <w:rPr>
      <w:rFonts w:ascii="宋体" w:hAnsi="Courier New" w:eastAsia="宋体"/>
    </w:rPr>
  </w:style>
  <w:style w:type="character" w:customStyle="1" w:styleId="27">
    <w:name w:val="日期 字符"/>
    <w:basedOn w:val="20"/>
    <w:link w:val="10"/>
    <w:autoRedefine/>
    <w:qFormat/>
    <w:uiPriority w:val="99"/>
    <w:rPr>
      <w:rFonts w:ascii="Times New Roman" w:hAnsi="Times New Roman" w:eastAsia="宋体" w:cs="Times New Roman"/>
      <w:szCs w:val="20"/>
    </w:rPr>
  </w:style>
  <w:style w:type="character" w:customStyle="1" w:styleId="28">
    <w:name w:val="正文文本 字符"/>
    <w:basedOn w:val="20"/>
    <w:link w:val="6"/>
    <w:autoRedefine/>
    <w:qFormat/>
    <w:uiPriority w:val="0"/>
    <w:rPr>
      <w:rFonts w:ascii="仿宋_GB2312" w:hAnsi="Times New Roman" w:eastAsia="仿宋_GB2312" w:cs="Times New Roman"/>
      <w:sz w:val="32"/>
      <w:szCs w:val="20"/>
    </w:rPr>
  </w:style>
  <w:style w:type="character" w:customStyle="1" w:styleId="29">
    <w:name w:val="正文文本缩进 字符"/>
    <w:basedOn w:val="20"/>
    <w:link w:val="7"/>
    <w:autoRedefine/>
    <w:qFormat/>
    <w:uiPriority w:val="0"/>
    <w:rPr>
      <w:rFonts w:ascii="Times New Roman" w:hAnsi="Times New Roman" w:eastAsia="宋体" w:cs="Times New Roman"/>
      <w:szCs w:val="20"/>
    </w:rPr>
  </w:style>
  <w:style w:type="character" w:customStyle="1" w:styleId="30">
    <w:name w:val="未处理的提及1"/>
    <w:basedOn w:val="20"/>
    <w:autoRedefine/>
    <w:semiHidden/>
    <w:unhideWhenUsed/>
    <w:qFormat/>
    <w:uiPriority w:val="99"/>
    <w:rPr>
      <w:color w:val="605E5C"/>
      <w:shd w:val="clear" w:color="auto" w:fill="E1DFDD"/>
    </w:rPr>
  </w:style>
  <w:style w:type="character" w:customStyle="1" w:styleId="31">
    <w:name w:val="批注框文本 字符"/>
    <w:basedOn w:val="20"/>
    <w:link w:val="11"/>
    <w:autoRedefine/>
    <w:semiHidden/>
    <w:qFormat/>
    <w:uiPriority w:val="99"/>
    <w:rPr>
      <w:rFonts w:ascii="Times New Roman" w:hAnsi="Times New Roman" w:eastAsia="宋体" w:cs="Times New Roman"/>
      <w:sz w:val="18"/>
      <w:szCs w:val="18"/>
    </w:rPr>
  </w:style>
  <w:style w:type="character" w:customStyle="1" w:styleId="32">
    <w:name w:val="批注文字 字符"/>
    <w:basedOn w:val="20"/>
    <w:link w:val="5"/>
    <w:autoRedefine/>
    <w:semiHidden/>
    <w:qFormat/>
    <w:uiPriority w:val="99"/>
    <w:rPr>
      <w:rFonts w:ascii="Times New Roman" w:hAnsi="Times New Roman" w:eastAsia="宋体" w:cs="Times New Roman"/>
      <w:szCs w:val="20"/>
    </w:rPr>
  </w:style>
  <w:style w:type="character" w:customStyle="1" w:styleId="33">
    <w:name w:val="批注主题 字符"/>
    <w:basedOn w:val="32"/>
    <w:link w:val="17"/>
    <w:autoRedefine/>
    <w:semiHidden/>
    <w:qFormat/>
    <w:uiPriority w:val="99"/>
    <w:rPr>
      <w:rFonts w:ascii="Times New Roman" w:hAnsi="Times New Roman" w:eastAsia="宋体" w:cs="Times New Roman"/>
      <w:b/>
      <w:bCs/>
      <w:szCs w:val="20"/>
    </w:rPr>
  </w:style>
  <w:style w:type="paragraph" w:customStyle="1" w:styleId="34">
    <w:name w:val="修订1"/>
    <w:autoRedefine/>
    <w:hidden/>
    <w:semiHidden/>
    <w:qFormat/>
    <w:uiPriority w:val="99"/>
    <w:rPr>
      <w:rFonts w:ascii="Times New Roman" w:hAnsi="Times New Roman" w:eastAsia="宋体" w:cs="Times New Roman"/>
      <w:kern w:val="2"/>
      <w:sz w:val="21"/>
      <w:lang w:val="en-US" w:eastAsia="zh-CN" w:bidi="ar-SA"/>
    </w:rPr>
  </w:style>
  <w:style w:type="character" w:customStyle="1" w:styleId="35">
    <w:name w:val="未处理的提及2"/>
    <w:basedOn w:val="20"/>
    <w:autoRedefine/>
    <w:semiHidden/>
    <w:unhideWhenUsed/>
    <w:qFormat/>
    <w:uiPriority w:val="99"/>
    <w:rPr>
      <w:color w:val="605E5C"/>
      <w:shd w:val="clear" w:color="auto" w:fill="E1DFDD"/>
    </w:rPr>
  </w:style>
  <w:style w:type="paragraph" w:customStyle="1" w:styleId="36">
    <w:name w:val="修订2"/>
    <w:autoRedefine/>
    <w:hidden/>
    <w:semiHidden/>
    <w:qFormat/>
    <w:uiPriority w:val="99"/>
    <w:rPr>
      <w:rFonts w:ascii="Times New Roman" w:hAnsi="Times New Roman" w:eastAsia="宋体" w:cs="Times New Roman"/>
      <w:kern w:val="2"/>
      <w:sz w:val="21"/>
      <w:lang w:val="en-US" w:eastAsia="zh-CN" w:bidi="ar-SA"/>
    </w:rPr>
  </w:style>
  <w:style w:type="paragraph" w:customStyle="1" w:styleId="37">
    <w:name w:val="标三级标题"/>
    <w:basedOn w:val="38"/>
    <w:autoRedefine/>
    <w:qFormat/>
    <w:uiPriority w:val="0"/>
  </w:style>
  <w:style w:type="paragraph" w:customStyle="1" w:styleId="38">
    <w:name w:val="标书三级标题"/>
    <w:basedOn w:val="3"/>
    <w:next w:val="39"/>
    <w:autoRedefine/>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paragraph" w:customStyle="1" w:styleId="39">
    <w:name w:val="标书正文格式"/>
    <w:basedOn w:val="9"/>
    <w:autoRedefine/>
    <w:qFormat/>
    <w:uiPriority w:val="0"/>
    <w:pPr>
      <w:spacing w:line="360" w:lineRule="auto"/>
      <w:ind w:firstLine="200" w:firstLineChars="200"/>
    </w:pPr>
    <w:rPr>
      <w:rFonts w:hAnsi="宋体" w:eastAsiaTheme="minorEastAsia"/>
      <w:color w:val="000000"/>
      <w:sz w:val="24"/>
      <w:szCs w:val="24"/>
    </w:rPr>
  </w:style>
  <w:style w:type="paragraph" w:customStyle="1" w:styleId="40">
    <w:name w:val="WPSOffice手动目录 1"/>
    <w:autoRedefine/>
    <w:qFormat/>
    <w:uiPriority w:val="0"/>
    <w:rPr>
      <w:rFonts w:ascii="Times New Roman" w:hAnsi="Times New Roman" w:eastAsia="宋体" w:cs="Times New Roman"/>
      <w:lang w:val="en-US" w:eastAsia="zh-CN" w:bidi="ar-SA"/>
    </w:rPr>
  </w:style>
  <w:style w:type="paragraph" w:styleId="41">
    <w:name w:val="List Paragraph"/>
    <w:basedOn w:val="1"/>
    <w:autoRedefine/>
    <w:qFormat/>
    <w:uiPriority w:val="99"/>
    <w:pPr>
      <w:ind w:firstLine="420" w:firstLineChars="200"/>
    </w:pPr>
  </w:style>
  <w:style w:type="paragraph" w:customStyle="1" w:styleId="42">
    <w:name w:val="WPSOffice手动目录 3"/>
    <w:autoRedefine/>
    <w:qFormat/>
    <w:uiPriority w:val="0"/>
    <w:pPr>
      <w:ind w:left="400" w:leftChars="400"/>
    </w:pPr>
    <w:rPr>
      <w:rFonts w:ascii="Times New Roman" w:hAnsi="Times New Roman" w:eastAsia="宋体" w:cs="Times New Roman"/>
      <w:lang w:val="en-US" w:eastAsia="zh-CN" w:bidi="ar-SA"/>
    </w:rPr>
  </w:style>
  <w:style w:type="paragraph" w:customStyle="1" w:styleId="43">
    <w:name w:val="WPSOffice手动目录 2"/>
    <w:autoRedefine/>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2416</Words>
  <Characters>13774</Characters>
  <Lines>114</Lines>
  <Paragraphs>32</Paragraphs>
  <TotalTime>32</TotalTime>
  <ScaleCrop>false</ScaleCrop>
  <LinksUpToDate>false</LinksUpToDate>
  <CharactersWithSpaces>16158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2023-04-11T10:39:00Z</dcterms:created>
  <dc:creator>李保龙</dc:creator>
  <cp:lastModifiedBy>于洋</cp:lastModifiedBy>
  <cp:lastPrinted>2025-01-14T08:46:00Z</cp:lastPrinted>
  <dcterms:modified xsi:type="dcterms:W3CDTF">2025-07-02T02:44:32Z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0CBA65234266432CB1AD944ACAC96760_13</vt:lpwstr>
  </property>
  <property fmtid="{D5CDD505-2E9C-101B-9397-08002B2CF9AE}" pid="4" name="KSOTemplateDocerSaveRecord">
    <vt:lpwstr>eyJoZGlkIjoiZTMyNjVmYmNlYTUxZDY1YTJlOTM3YTgyZGUwZTg3YWMiLCJ1c2VySWQiOiI1MDQyNDA5MzUifQ==</vt:lpwstr>
  </property>
</Properties>
</file>