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A2800">
      <w:pPr>
        <w:pStyle w:val="3"/>
        <w:widowControl/>
        <w:jc w:val="center"/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</w:pPr>
      <w:bookmarkStart w:id="0" w:name="_Toc12866"/>
      <w:r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  <w:t>中国重汽集团新晋领导干部专业素质常态化培训项目</w:t>
      </w:r>
    </w:p>
    <w:p w14:paraId="30B9B168">
      <w:pPr>
        <w:pStyle w:val="3"/>
        <w:widowControl/>
        <w:jc w:val="center"/>
        <w:rPr>
          <w:i w:val="0"/>
          <w:iCs/>
          <w:sz w:val="32"/>
          <w:szCs w:val="32"/>
          <w:highlight w:val="none"/>
          <w:lang w:val="en-US"/>
        </w:rPr>
      </w:pPr>
      <w:r>
        <w:rPr>
          <w:rFonts w:hint="eastAsia" w:cs="宋体"/>
          <w:i w:val="0"/>
          <w:iCs/>
          <w:sz w:val="32"/>
          <w:szCs w:val="32"/>
          <w:highlight w:val="none"/>
          <w:lang w:val="en-US" w:eastAsia="zh-CN"/>
        </w:rPr>
        <w:t>招标公告</w:t>
      </w:r>
      <w:bookmarkEnd w:id="0"/>
    </w:p>
    <w:p w14:paraId="2538CB01">
      <w:pPr>
        <w:pStyle w:val="3"/>
        <w:widowControl/>
        <w:jc w:val="center"/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</w:pPr>
      <w:bookmarkStart w:id="1" w:name="_Toc27465"/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招标编号：</w:t>
      </w:r>
      <w:r>
        <w:rPr>
          <w:rFonts w:hint="eastAs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（</w:t>
      </w:r>
      <w:r>
        <w:rPr>
          <w:rFonts w:hint="eastAsia" w:ascii="Cambria" w:hAnsi="Cambr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ZBGL2026090297</w:t>
      </w:r>
      <w:r>
        <w:rPr>
          <w:rFonts w:hint="eastAsia" w:eastAsia="宋体" w:cs="宋体"/>
          <w:b/>
          <w:bCs/>
          <w:i w:val="0"/>
          <w:iCs/>
          <w:sz w:val="22"/>
          <w:szCs w:val="22"/>
          <w:highlight w:val="none"/>
          <w:lang w:eastAsia="zh-CN"/>
        </w:rPr>
        <w:t>）</w:t>
      </w:r>
      <w:bookmarkEnd w:id="1"/>
    </w:p>
    <w:p w14:paraId="24774ED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p w14:paraId="38C4E671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tbl>
      <w:tblPr>
        <w:tblStyle w:val="8"/>
        <w:tblW w:w="92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99"/>
        <w:gridCol w:w="2444"/>
        <w:gridCol w:w="2200"/>
        <w:gridCol w:w="2444"/>
      </w:tblGrid>
      <w:tr w14:paraId="7CDB0D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2199" w:type="dxa"/>
            <w:shd w:val="clear" w:color="auto" w:fill="DEDEDE"/>
            <w:vAlign w:val="center"/>
          </w:tcPr>
          <w:p w14:paraId="52EAD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rPr>
                <w:rFonts w:ascii="微软雅黑" w:hAnsi="微软雅黑" w:eastAsia="微软雅黑" w:cs="微软雅黑"/>
                <w:color w:val="333333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有效起始日期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BA8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2026-09-30</w:t>
            </w:r>
          </w:p>
        </w:tc>
        <w:tc>
          <w:tcPr>
            <w:tcW w:w="2200" w:type="dxa"/>
            <w:shd w:val="clear" w:color="auto" w:fill="DEDEDE"/>
            <w:vAlign w:val="center"/>
          </w:tcPr>
          <w:p w14:paraId="79C8B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有效截止日期 </w:t>
            </w:r>
          </w:p>
        </w:tc>
        <w:tc>
          <w:tcPr>
            <w:tcW w:w="244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5E7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2026-10-05</w:t>
            </w:r>
          </w:p>
        </w:tc>
      </w:tr>
    </w:tbl>
    <w:p w14:paraId="40D0D37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</w:p>
    <w:p w14:paraId="3B47EF5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一、项目概况  </w:t>
      </w:r>
    </w:p>
    <w:p w14:paraId="52F11CB3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为加强新晋领导干部队伍思想政治建设与专业素质能力提升，筑牢2024年以来新晋干部履职“第一课”，集团组织开展新晋领导干部专业素质常态化培训。本次培训面向2024年以来晋升干部约400人，定于2026年10月13日—14日开展，培训地点为重汽科技大厦会议室；约270人线下集中参训，约130人线上直播参训。本次培训结束后，常态化开展培训。</w:t>
      </w:r>
    </w:p>
    <w:p w14:paraId="7A1685D8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二、项目基本情况  </w:t>
      </w:r>
    </w:p>
    <w:p w14:paraId="16BBBA9E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1.项目名称：中国重汽集团新晋领导干部专业素质常态化培训项目</w:t>
      </w:r>
    </w:p>
    <w:p w14:paraId="3B4F423A">
      <w:pPr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2.项目类别：非固定资产服务</w:t>
      </w:r>
    </w:p>
    <w:p w14:paraId="56C59FDB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3.采购方式：公开招标（不分包）</w:t>
      </w:r>
    </w:p>
    <w:p w14:paraId="3BC11B35">
      <w:pPr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4.采购内容：新晋领导干部专业素质常态化培训外部师资课程，共4门课程15课时，包括：习近平党建思想、党史（以史为鉴 开创未来——中国共产党百年奋斗历程与历史经验）、非人力资源经理的人力资源管理、非财务经理的财务管理（财务审批责任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）</w:t>
      </w:r>
      <w:bookmarkStart w:id="2" w:name="_GoBack"/>
      <w:bookmarkEnd w:id="2"/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。本项目按课时单价结算，投标限价人民币5.25万元（含税）。</w:t>
      </w:r>
    </w:p>
    <w:p w14:paraId="0F94CFE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三、供应商资格条件  </w:t>
      </w:r>
    </w:p>
    <w:p w14:paraId="5E463397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所有拟投标人需满足以下条件：</w:t>
      </w:r>
    </w:p>
    <w:p w14:paraId="4D1D06F0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1）投标人是企业法人的，必须是在中华人民共和国境内注册的独立法人机构，具有独立承担民事责任能力，原则上投标人注册资金不得低于项目标的额或不低于500万元；公司成立三年以上（以营业执照成立日期到开标当日满三年为准）；且经营范围满足招标人需求；并在人员、设备、资金等方面具有承担本项目的能力；投标人是事业单位和社会团体及其分支机构，且经营范围满足招标方需求并在人员、设备、资金等方面具有承担本项目的能力的，可不受注册资金和成立时间限制；</w:t>
      </w:r>
    </w:p>
    <w:p w14:paraId="2119B76A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（2）投标人应遵守《中华人民共和国招投标法》及有关的法律和法规。具备独立法人资格，具有独立承担民事责任能力、良好的财务状况并具有一定的垫资能力，能切实履行合同。</w:t>
      </w:r>
    </w:p>
    <w:p w14:paraId="5C3FAE00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（3）投标人在国家企业信用信息公示系统中有不良记录、近三年的公司财务报表异常、存在与本项目有关的违法及严重违规或被列入招标人“黑名单”的，招标人有权取消其投标资格。</w:t>
      </w:r>
    </w:p>
    <w:p w14:paraId="32C0896C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4）投标人应有相关或类似培训项目策划执行实施经验，具有良好的风险应对能力，能够认可招标人的工作指令，包括节假日能正常开展工作等要求，并在开标时携带以往项目策划执行资料、企业资信材料、财务报表及完税证明等备查；</w:t>
      </w:r>
    </w:p>
    <w:p w14:paraId="09DAC013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（5）资格审查方式：采用资格预审，合格制。项目发标后，拟投标人须先应标，招标工作组通过重汽e采通对应标人进行资质审核，审核通过后方可投标。</w:t>
      </w:r>
    </w:p>
    <w:p w14:paraId="3661D780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投标人对课程材料拥有合法的知识产权或具有合法的来源，有关知识产权中不存在任何侵犯第三方的权益。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 </w:t>
      </w:r>
    </w:p>
    <w:p w14:paraId="227B8D47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（7）投标方的直接或间接股东、法定代表人、董事、监事、高管非重汽员工及其亲属。</w:t>
      </w:r>
    </w:p>
    <w:p w14:paraId="463C8DEE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四、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>文件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  <w:lang w:val="en-US" w:eastAsia="zh-CN"/>
        </w:rPr>
        <w:t>获取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</w:p>
    <w:p w14:paraId="01A8CB3D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 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招标文件获取方式：重汽e采通平台 </w:t>
      </w:r>
    </w:p>
    <w:p w14:paraId="3710A1FE">
      <w:pPr>
        <w:ind w:firstLine="480" w:firstLineChars="200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2.招标文件获取截止时间：2026年10月5日</w:t>
      </w:r>
    </w:p>
    <w:p w14:paraId="5F3381B0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   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招标文件获取地点：中国重汽e采通-招标中心-非生产类招投标-供应商投标 </w:t>
      </w:r>
    </w:p>
    <w:p w14:paraId="7A00C32E">
      <w:pPr>
        <w:jc w:val="lef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五、响应文件提交 </w:t>
      </w:r>
    </w:p>
    <w:p w14:paraId="16774820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1.递交方式：线上（重汽e采通平台）</w:t>
      </w:r>
    </w:p>
    <w:p w14:paraId="1BF7EE7E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2.递交截止时间：2026年10月11日</w:t>
      </w:r>
    </w:p>
    <w:p w14:paraId="1D0C1D32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3.递交地点：重汽e采通平台（招标中心-非生产类招投标-供应商投标）</w:t>
      </w:r>
    </w:p>
    <w:p w14:paraId="77F2C3AC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六、开标时间和地点 </w:t>
      </w:r>
    </w:p>
    <w:p w14:paraId="42BE8D26">
      <w:p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1.开标时间：2026年10月11日</w:t>
      </w:r>
    </w:p>
    <w:p w14:paraId="59D58E47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>2.开标地点：线上开标（重汽e采通平台）</w:t>
      </w:r>
    </w:p>
    <w:p w14:paraId="4739891D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七、发布公告的媒介 </w:t>
      </w:r>
    </w:p>
    <w:p w14:paraId="263E755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中国重汽集团官网（ww.cnhtc.com.cn） </w:t>
      </w:r>
    </w:p>
    <w:p w14:paraId="16AB97AF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重汽e采通平台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  <w:t>（https://ecaitong.sinotruk.com:8012/#/login）</w:t>
      </w:r>
    </w:p>
    <w:p w14:paraId="737E60EC">
      <w:pPr>
        <w:ind w:firstLine="480"/>
        <w:rPr>
          <w:rFonts w:hint="default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山东省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阳光采购服务平台（www.ygcgfw.com） </w:t>
      </w:r>
    </w:p>
    <w:p w14:paraId="353AB269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八、联系方式 </w:t>
      </w:r>
    </w:p>
    <w:p w14:paraId="30D1D38F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 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highlight w:val="none"/>
        </w:rPr>
        <w:t xml:space="preserve">采购人信息： </w:t>
      </w:r>
    </w:p>
    <w:p w14:paraId="13AB6E4A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名称：中国重汽集团济南动力有限公司 </w:t>
      </w:r>
    </w:p>
    <w:p w14:paraId="099187FF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联系人及电话：赵蒙 15253183290；高鲲鹏 15854763969</w:t>
      </w:r>
    </w:p>
    <w:p w14:paraId="6986140B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highlight w:val="none"/>
        </w:rPr>
        <w:t xml:space="preserve">九、其他说明  </w:t>
      </w:r>
    </w:p>
    <w:p w14:paraId="7F352A2E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   1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>供应商需在重汽e采通平台进行注册，注册后搜索该项目并进行报名。</w:t>
      </w:r>
    </w:p>
    <w:p w14:paraId="6CFC776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3BB268C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233C808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431A22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67DB504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369D886B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70239CEE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4AB6CD88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139FF02C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065230DF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54FAE67E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5FE52AE4">
      <w:pPr>
        <w:pStyle w:val="2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686E2AD7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p w14:paraId="47075AFB">
      <w:pP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br w:type="page"/>
      </w:r>
    </w:p>
    <w:p w14:paraId="0DEC3FBD">
      <w:pPr>
        <w:pStyle w:val="2"/>
        <w:outlineLvl w:val="2"/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附件1：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>SRM非生产供应商注册操作手册</w:t>
      </w:r>
    </w:p>
    <w:p w14:paraId="3B55DB0D">
      <w:pPr>
        <w:pStyle w:val="2"/>
        <w:rPr>
          <w:rFonts w:eastAsia="宋体"/>
          <w:highlight w:val="none"/>
        </w:rPr>
      </w:pPr>
    </w:p>
    <w:p w14:paraId="67C14DB3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浏览器中输入地址;</w:t>
      </w:r>
    </w:p>
    <w:p w14:paraId="7DCEACE8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"http://ecaitong.sinotruk.com:8012/" \l "/login" \t "dlt" </w:instrText>
      </w:r>
      <w:r>
        <w:rPr>
          <w:highlight w:val="none"/>
        </w:rPr>
        <w:fldChar w:fldCharType="separate"/>
      </w:r>
      <w:r>
        <w:rPr>
          <w:rFonts w:ascii="宋体" w:hAnsi="宋体" w:eastAsia="宋体" w:cs="宋体"/>
          <w:sz w:val="24"/>
          <w:szCs w:val="24"/>
          <w:highlight w:val="none"/>
        </w:rPr>
        <w:t>http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s</w:t>
      </w:r>
      <w:r>
        <w:rPr>
          <w:rFonts w:ascii="宋体" w:hAnsi="宋体" w:eastAsia="宋体" w:cs="宋体"/>
          <w:sz w:val="24"/>
          <w:szCs w:val="24"/>
          <w:highlight w:val="none"/>
        </w:rPr>
        <w:t>://ecaitong.sinotruk.com:8012/#/login</w:t>
      </w:r>
      <w:r>
        <w:rPr>
          <w:rFonts w:ascii="宋体" w:hAnsi="宋体" w:eastAsia="宋体" w:cs="宋体"/>
          <w:sz w:val="24"/>
          <w:szCs w:val="24"/>
          <w:highlight w:val="none"/>
        </w:rPr>
        <w:fldChar w:fldCharType="end"/>
      </w:r>
    </w:p>
    <w:p w14:paraId="7CCC3B29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1.点击立即注册</w:t>
      </w:r>
    </w:p>
    <w:p w14:paraId="42068FE7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933065"/>
            <wp:effectExtent l="0" t="0" r="12065" b="635"/>
            <wp:docPr id="1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" descr="descrip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5C13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2.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填写手机号码（没有注册过的）</w:t>
      </w:r>
    </w:p>
    <w:p w14:paraId="6497FF7F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766695"/>
            <wp:effectExtent l="0" t="0" r="12065" b="1460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86A0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3.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注册成功登录这个手机号码的账号进入系统，点击供应商注册</w:t>
      </w:r>
    </w:p>
    <w:p w14:paraId="250679A6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69565"/>
            <wp:effectExtent l="0" t="0" r="12065" b="6985"/>
            <wp:docPr id="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A0C3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4.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点击新增</w:t>
      </w:r>
    </w:p>
    <w:p w14:paraId="2FA508F2">
      <w:pPr>
        <w:snapToGrid w:val="0"/>
        <w:spacing w:line="312" w:lineRule="auto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53055"/>
            <wp:effectExtent l="0" t="0" r="12065" b="4445"/>
            <wp:docPr id="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F6EA">
      <w:pPr>
        <w:spacing w:line="360" w:lineRule="auto"/>
        <w:rPr>
          <w:rFonts w:hint="eastAsia" w:ascii="宋体" w:hAnsi="宋体" w:eastAsia="宋体" w:cs="宋体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8"/>
          <w:highlight w:val="none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.</w:t>
      </w: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按要求填写所有信息，注意非生产类要填写合作单位，最后提交审批</w:t>
      </w:r>
    </w:p>
    <w:p w14:paraId="7B916863">
      <w:pPr>
        <w:pStyle w:val="2"/>
        <w:rPr>
          <w:highlight w:val="none"/>
        </w:rPr>
      </w:pPr>
    </w:p>
    <w:p w14:paraId="145EA810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809875"/>
            <wp:effectExtent l="0" t="0" r="12065" b="9525"/>
            <wp:docPr id="1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1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184D">
      <w:pPr>
        <w:pStyle w:val="2"/>
        <w:rPr>
          <w:highlight w:val="none"/>
        </w:rPr>
      </w:pPr>
      <w:r>
        <w:rPr>
          <w:highlight w:val="none"/>
        </w:rPr>
        <w:drawing>
          <wp:inline distT="0" distB="0" distL="0" distR="0">
            <wp:extent cx="5760085" cy="2820035"/>
            <wp:effectExtent l="0" t="0" r="12065" b="18415"/>
            <wp:docPr id="2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" descr="descrip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2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AF512">
      <w:pPr>
        <w:pStyle w:val="2"/>
        <w:rPr>
          <w:highlight w:val="none"/>
        </w:rPr>
      </w:pPr>
    </w:p>
    <w:p w14:paraId="2AA8AF19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注：</w:t>
      </w:r>
    </w:p>
    <w:p w14:paraId="245219B7">
      <w:pP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8"/>
          <w:highlight w:val="none"/>
        </w:rPr>
        <w:t>1.“项目名称”和“采购形式编号”见投标须知前附表1.1；</w:t>
      </w:r>
    </w:p>
    <w:p w14:paraId="7CB14DD4">
      <w:pPr>
        <w:pStyle w:val="2"/>
        <w:rPr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8"/>
          <w:highlight w:val="none"/>
        </w:rPr>
        <w:t>2.配套能力“供货类别”填“直管单位非生产招标 / 服务 / 培训教学”。</w:t>
      </w:r>
    </w:p>
    <w:p w14:paraId="3903C1BE">
      <w:pPr>
        <w:pStyle w:val="2"/>
        <w:rPr>
          <w:highlight w:val="none"/>
        </w:rPr>
        <w:sectPr>
          <w:pgSz w:w="11906" w:h="16838"/>
          <w:pgMar w:top="1588" w:right="1418" w:bottom="1134" w:left="1418" w:header="851" w:footer="992" w:gutter="0"/>
          <w:cols w:space="720" w:num="1"/>
          <w:titlePg/>
          <w:docGrid w:type="lines" w:linePitch="312" w:charSpace="0"/>
        </w:sectPr>
      </w:pPr>
    </w:p>
    <w:p w14:paraId="602C5616">
      <w:pPr>
        <w:pStyle w:val="2"/>
        <w:outlineLvl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>附件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eastAsia" w:hAnsi="宋体" w:eastAsia="宋体" w:cs="宋体"/>
          <w:b/>
          <w:bCs/>
          <w:color w:val="000000"/>
          <w:sz w:val="24"/>
          <w:szCs w:val="24"/>
          <w:highlight w:val="none"/>
        </w:rPr>
        <w:t xml:space="preserve"> </w:t>
      </w:r>
      <w:r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  <w:t>SRM系统供应商用户手册</w:t>
      </w:r>
    </w:p>
    <w:p w14:paraId="1FEF6F73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系统网址：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"http://ecaitong.sinotruk.com:8012/" \t "dlt" </w:instrText>
      </w:r>
      <w:r>
        <w:rPr>
          <w:highlight w:val="none"/>
        </w:rPr>
        <w:fldChar w:fldCharType="separate"/>
      </w:r>
      <w:r>
        <w:rPr>
          <w:rStyle w:val="16"/>
          <w:rFonts w:hint="eastAsia" w:ascii="宋体" w:hAnsi="宋体" w:eastAsia="宋体" w:cs="宋体"/>
          <w:sz w:val="24"/>
          <w:szCs w:val="24"/>
          <w:highlight w:val="none"/>
        </w:rPr>
        <w:t>https://ecaitong.sinotruk.com:8012/</w:t>
      </w:r>
      <w:r>
        <w:rPr>
          <w:rStyle w:val="16"/>
          <w:rFonts w:hint="eastAsia" w:ascii="宋体" w:hAnsi="宋体" w:eastAsia="宋体" w:cs="宋体"/>
          <w:sz w:val="24"/>
          <w:szCs w:val="24"/>
          <w:highlight w:val="none"/>
        </w:rPr>
        <w:fldChar w:fldCharType="end"/>
      </w:r>
    </w:p>
    <w:p w14:paraId="3F934001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用 户 名：gys+供应商代码（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注意：注册完毕后，用户名不要用手机号登录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）</w:t>
      </w:r>
    </w:p>
    <w:p w14:paraId="0F0B4D2B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初始密码：scm@2022</w:t>
      </w:r>
    </w:p>
    <w:p w14:paraId="3F9C2630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1.供应商应标</w:t>
      </w:r>
    </w:p>
    <w:p w14:paraId="6471E8C9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供应商应标</w:t>
      </w:r>
    </w:p>
    <w:p w14:paraId="00FC4FB3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点击应标，上传文件之后点击提交。</w:t>
      </w:r>
    </w:p>
    <w:p w14:paraId="6A8A2FFC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2269490"/>
            <wp:effectExtent l="0" t="0" r="12065" b="16510"/>
            <wp:docPr id="2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2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FCBF6">
      <w:pPr>
        <w:rPr>
          <w:rFonts w:hint="eastAsia"/>
          <w:highlight w:val="none"/>
        </w:rPr>
      </w:pPr>
    </w:p>
    <w:p w14:paraId="40207382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2.供应商投标</w:t>
      </w:r>
    </w:p>
    <w:p w14:paraId="37FC2595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供应商投标</w:t>
      </w:r>
    </w:p>
    <w:p w14:paraId="5F3A996C">
      <w:pPr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ascii="宋体" w:hAnsi="宋体" w:eastAsia="宋体" w:cs="宋体"/>
          <w:color w:val="000000"/>
          <w:highlight w:val="none"/>
        </w:rPr>
        <w:drawing>
          <wp:inline distT="0" distB="0" distL="0" distR="0">
            <wp:extent cx="5760085" cy="2125345"/>
            <wp:effectExtent l="0" t="0" r="12065" b="8255"/>
            <wp:docPr id="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escrip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CAB55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8"/>
          <w:highlight w:val="none"/>
        </w:rPr>
        <w:t>点击投标按钮，进入详情页，输入投标报价并上传相应的附件。</w:t>
      </w:r>
    </w:p>
    <w:p w14:paraId="74E5D9AE">
      <w:pPr>
        <w:pStyle w:val="2"/>
        <w:rPr>
          <w:highlight w:val="none"/>
        </w:rPr>
      </w:pPr>
      <w:r>
        <w:rPr>
          <w:rFonts w:hint="eastAsia" w:hAnsi="宋体" w:eastAsia="宋体" w:cs="宋体"/>
          <w:color w:val="000000"/>
          <w:sz w:val="24"/>
          <w:szCs w:val="28"/>
          <w:highlight w:val="none"/>
        </w:rPr>
        <w:t>注意：系统内的投标报价单位为“万元”，如开标现场发现填错报价，即直接淘汰。</w:t>
      </w:r>
    </w:p>
    <w:p w14:paraId="30DCE771">
      <w:pPr>
        <w:pStyle w:val="4"/>
        <w:ind w:left="425" w:hanging="425"/>
        <w:rPr>
          <w:rFonts w:eastAsia="Arial" w:cs="Arial"/>
          <w:color w:val="000000"/>
          <w:highlight w:val="none"/>
        </w:rPr>
      </w:pPr>
      <w:r>
        <w:rPr>
          <w:rFonts w:eastAsia="Arial" w:cs="Arial"/>
          <w:color w:val="000000"/>
          <w:highlight w:val="none"/>
        </w:rPr>
        <w:drawing>
          <wp:inline distT="0" distB="0" distL="0" distR="0">
            <wp:extent cx="5490210" cy="2668905"/>
            <wp:effectExtent l="0" t="0" r="15240" b="17145"/>
            <wp:docPr id="2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6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9E03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3.供应商技术标澄清函</w:t>
      </w:r>
    </w:p>
    <w:p w14:paraId="2A65A944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供应商技术标澄清函</w:t>
      </w:r>
    </w:p>
    <w:p w14:paraId="191B56D2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点击编辑按钮进入系统，上传技术标澄清函。</w:t>
      </w:r>
    </w:p>
    <w:p w14:paraId="48DE63D8">
      <w:pPr>
        <w:spacing w:line="360" w:lineRule="auto"/>
        <w:rPr>
          <w:rFonts w:ascii="Arial" w:hAnsi="Arial" w:eastAsia="Arial" w:cs="Arial"/>
          <w:color w:val="000000"/>
          <w:sz w:val="28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开标之后所有投标的供应商都可编辑提交，技术标入围之后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都不可编辑</w:t>
      </w:r>
      <w:r>
        <w:rPr>
          <w:rFonts w:ascii="Arial" w:hAnsi="Arial" w:eastAsia="Arial" w:cs="Arial"/>
          <w:color w:val="000000"/>
          <w:sz w:val="28"/>
          <w:highlight w:val="none"/>
        </w:rPr>
        <w:drawing>
          <wp:inline distT="0" distB="0" distL="0" distR="0">
            <wp:extent cx="5490210" cy="1992630"/>
            <wp:effectExtent l="0" t="0" r="15240" b="7620"/>
            <wp:docPr id="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descrip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9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4018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4.供应商报价</w:t>
      </w:r>
    </w:p>
    <w:p w14:paraId="760C9E6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供应商报价</w:t>
      </w:r>
    </w:p>
    <w:p w14:paraId="5D25AC69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点击报价按钮进入报价详情界面，请在此轮报价起止时间内报价，否则无法报价。</w:t>
      </w:r>
    </w:p>
    <w:p w14:paraId="09540DA4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5.供应商澄清报价</w:t>
      </w:r>
    </w:p>
    <w:p w14:paraId="789C09B7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供应商澄清报价</w:t>
      </w:r>
    </w:p>
    <w:p w14:paraId="152DBA14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招标发起人接收建议价的同时会给供应商发送澄清报价，供应商在此界面进行澄清报价，点击编辑按钮进入澄清报价详细界面，输入价格并上传澄清函，之后点击提交。</w:t>
      </w:r>
    </w:p>
    <w:p w14:paraId="164849D7">
      <w:pPr>
        <w:pStyle w:val="4"/>
        <w:ind w:left="425" w:hanging="425"/>
        <w:rPr>
          <w:rFonts w:eastAsia="Arial" w:cs="Arial"/>
          <w:color w:val="000000"/>
          <w:highlight w:val="none"/>
        </w:rPr>
      </w:pPr>
      <w:r>
        <w:rPr>
          <w:rFonts w:eastAsia="Arial" w:cs="Arial"/>
          <w:color w:val="000000"/>
          <w:highlight w:val="none"/>
        </w:rPr>
        <w:drawing>
          <wp:inline distT="0" distB="0" distL="0" distR="0">
            <wp:extent cx="5490210" cy="2544445"/>
            <wp:effectExtent l="0" t="0" r="15240" b="8255"/>
            <wp:docPr id="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4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575E6">
      <w:pPr>
        <w:spacing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6.供应商查看中标通知</w:t>
      </w:r>
    </w:p>
    <w:p w14:paraId="79C8EC9E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路径：招投标中心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非生产类招投标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-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中标项目</w:t>
      </w:r>
    </w:p>
    <w:p w14:paraId="2C2A512D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点击查看进入查看中标项目详情</w:t>
      </w:r>
    </w:p>
    <w:p w14:paraId="6E78F4DA">
      <w:pPr>
        <w:rPr>
          <w:rFonts w:hint="eastAsia"/>
          <w:highlight w:val="none"/>
        </w:rPr>
      </w:pPr>
      <w:r>
        <w:rPr>
          <w:highlight w:val="none"/>
        </w:rPr>
        <w:drawing>
          <wp:inline distT="0" distB="0" distL="0" distR="0">
            <wp:extent cx="5760085" cy="1956435"/>
            <wp:effectExtent l="0" t="0" r="12065" b="5715"/>
            <wp:docPr id="3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descrip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6304E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15DACC85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33F89EEB">
      <w:pPr>
        <w:pStyle w:val="2"/>
        <w:rPr>
          <w:rFonts w:hint="eastAsia" w:hAnsi="宋体" w:eastAsia="宋体" w:cs="Times New Roman"/>
          <w:b/>
          <w:color w:val="000000"/>
          <w:sz w:val="24"/>
          <w:szCs w:val="24"/>
          <w:highlight w:val="none"/>
        </w:rPr>
      </w:pPr>
    </w:p>
    <w:p w14:paraId="2E2A1019">
      <w:pPr>
        <w:jc w:val="both"/>
        <w:rPr>
          <w:highlight w:val="none"/>
        </w:rPr>
      </w:pPr>
    </w:p>
    <w:p w14:paraId="1857F2F0">
      <w:pPr>
        <w:ind w:firstLine="480"/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  <w:t xml:space="preserve"> </w:t>
      </w:r>
    </w:p>
    <w:p w14:paraId="5B5F13DD">
      <w:pPr>
        <w:rPr>
          <w:rFonts w:hint="eastAsia" w:asciiTheme="majorEastAsia" w:hAnsiTheme="majorEastAsia" w:eastAsiaTheme="majorEastAsia" w:cstheme="majorEastAsia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F47C3"/>
    <w:rsid w:val="0CF64CFD"/>
    <w:rsid w:val="0D910DAE"/>
    <w:rsid w:val="109C4CD3"/>
    <w:rsid w:val="10D97CD5"/>
    <w:rsid w:val="13575115"/>
    <w:rsid w:val="139B344B"/>
    <w:rsid w:val="145E0C1D"/>
    <w:rsid w:val="14980A7B"/>
    <w:rsid w:val="15205ED3"/>
    <w:rsid w:val="166C0A67"/>
    <w:rsid w:val="16802955"/>
    <w:rsid w:val="16BB153F"/>
    <w:rsid w:val="17A733E0"/>
    <w:rsid w:val="189D5A8C"/>
    <w:rsid w:val="1D4E371D"/>
    <w:rsid w:val="1DF56E2E"/>
    <w:rsid w:val="1E3824DF"/>
    <w:rsid w:val="1E8078F1"/>
    <w:rsid w:val="20CF4C51"/>
    <w:rsid w:val="20D25E64"/>
    <w:rsid w:val="21EA1D42"/>
    <w:rsid w:val="23417673"/>
    <w:rsid w:val="234208F1"/>
    <w:rsid w:val="2435301D"/>
    <w:rsid w:val="267E3F07"/>
    <w:rsid w:val="27FF2A1C"/>
    <w:rsid w:val="2AFD6E9F"/>
    <w:rsid w:val="2F37233F"/>
    <w:rsid w:val="2F5037B7"/>
    <w:rsid w:val="335E60EC"/>
    <w:rsid w:val="37607AB4"/>
    <w:rsid w:val="3BBF18D7"/>
    <w:rsid w:val="3C681D8A"/>
    <w:rsid w:val="3CB834AB"/>
    <w:rsid w:val="3EFD0A9B"/>
    <w:rsid w:val="40A04B46"/>
    <w:rsid w:val="423F4EBB"/>
    <w:rsid w:val="44847CA4"/>
    <w:rsid w:val="44907102"/>
    <w:rsid w:val="45A72A8C"/>
    <w:rsid w:val="45FE4234"/>
    <w:rsid w:val="47A7411F"/>
    <w:rsid w:val="47FE17F4"/>
    <w:rsid w:val="48EF075C"/>
    <w:rsid w:val="49383112"/>
    <w:rsid w:val="4B7818BD"/>
    <w:rsid w:val="4C1B4BAD"/>
    <w:rsid w:val="52302759"/>
    <w:rsid w:val="52A65B92"/>
    <w:rsid w:val="539D2646"/>
    <w:rsid w:val="54C82F16"/>
    <w:rsid w:val="56786C15"/>
    <w:rsid w:val="56EB73E7"/>
    <w:rsid w:val="57B36157"/>
    <w:rsid w:val="5D7E0FB5"/>
    <w:rsid w:val="5FF23595"/>
    <w:rsid w:val="62175534"/>
    <w:rsid w:val="65070525"/>
    <w:rsid w:val="68972A5B"/>
    <w:rsid w:val="69BB0BAD"/>
    <w:rsid w:val="6DCB48C1"/>
    <w:rsid w:val="6DCE6CB3"/>
    <w:rsid w:val="70D73EA9"/>
    <w:rsid w:val="721203DE"/>
    <w:rsid w:val="77454481"/>
    <w:rsid w:val="77E37F3B"/>
    <w:rsid w:val="77F57C6E"/>
    <w:rsid w:val="792F38D8"/>
    <w:rsid w:val="7DA44D30"/>
    <w:rsid w:val="7F3C576D"/>
    <w:rsid w:val="7F9D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/>
      <w:szCs w:val="2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none"/>
    </w:rPr>
  </w:style>
  <w:style w:type="character" w:styleId="12">
    <w:name w:val="HTML Definition"/>
    <w:basedOn w:val="9"/>
    <w:qFormat/>
    <w:uiPriority w:val="0"/>
  </w:style>
  <w:style w:type="character" w:styleId="13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9"/>
    <w:qFormat/>
    <w:uiPriority w:val="0"/>
  </w:style>
  <w:style w:type="character" w:styleId="15">
    <w:name w:val="HTML Variable"/>
    <w:basedOn w:val="9"/>
    <w:qFormat/>
    <w:uiPriority w:val="0"/>
  </w:style>
  <w:style w:type="character" w:styleId="16">
    <w:name w:val="Hyperlink"/>
    <w:basedOn w:val="9"/>
    <w:qFormat/>
    <w:uiPriority w:val="0"/>
    <w:rPr>
      <w:color w:val="0000FF"/>
      <w:u w:val="none"/>
    </w:rPr>
  </w:style>
  <w:style w:type="character" w:styleId="17">
    <w:name w:val="HTML Code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9"/>
    <w:qFormat/>
    <w:uiPriority w:val="0"/>
  </w:style>
  <w:style w:type="character" w:styleId="19">
    <w:name w:val="HTML Keyboard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9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2067</Words>
  <Characters>2342</Characters>
  <Lines>0</Lines>
  <Paragraphs>0</Paragraphs>
  <TotalTime>6</TotalTime>
  <ScaleCrop>false</ScaleCrop>
  <LinksUpToDate>false</LinksUpToDate>
  <CharactersWithSpaces>2423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2025-12-25T08:41:00Z</dcterms:created>
  <dc:creator>Administrator</dc:creator>
  <cp:lastModifiedBy>赵蒙</cp:lastModifiedBy>
  <cp:lastPrinted>2026-03-27T08:14:00Z</cp:lastPrinted>
  <dcterms:modified xsi:type="dcterms:W3CDTF">2026-09-30T06:44:34Z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eyJoZGlkIjoiYmE2ZDcxNjA3NzE0MmZiYjdjMmU0OTEyNWQ5ZWVmYTkiLCJ1c2VySWQiOiIzODU4ODkwMzgifQ==</vt:lpwstr>
  </property>
  <property fmtid="{D5CDD505-2E9C-101B-9397-08002B2CF9AE}" pid="4" name="ICV">
    <vt:lpwstr>A7F1A4FC5D32470C94E4943791115F3C_13</vt:lpwstr>
  </property>
</Properties>
</file>