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B9D738">
      <w:pPr>
        <w:jc w:val="center"/>
        <w:rPr>
          <w:rFonts w:ascii="方正小标宋简体" w:hAnsi="宋体" w:eastAsia="方正小标宋简体"/>
          <w:b/>
          <w:bCs/>
          <w:sz w:val="52"/>
          <w:szCs w:val="52"/>
          <w:highlight w:val="none"/>
        </w:rPr>
      </w:pPr>
    </w:p>
    <w:p w14:paraId="35EC9634">
      <w:pPr>
        <w:jc w:val="center"/>
        <w:rPr>
          <w:rFonts w:hint="eastAsia" w:ascii="方正小标宋简体" w:hAnsi="宋体" w:eastAsia="方正小标宋简体"/>
          <w:b/>
          <w:bCs/>
          <w:sz w:val="52"/>
          <w:szCs w:val="52"/>
          <w:highlight w:val="none"/>
          <w:lang w:val="en-US" w:eastAsia="zh-CN"/>
        </w:rPr>
      </w:pPr>
      <w:r>
        <w:rPr>
          <w:rFonts w:hint="eastAsia" w:ascii="方正小标宋简体" w:hAnsi="宋体" w:eastAsia="方正小标宋简体"/>
          <w:b/>
          <w:bCs/>
          <w:sz w:val="52"/>
          <w:szCs w:val="52"/>
          <w:highlight w:val="none"/>
          <w:lang w:val="en-US" w:eastAsia="zh-CN"/>
        </w:rPr>
        <w:t>中国重汽集团新晋领导干部专业素质</w:t>
      </w:r>
    </w:p>
    <w:p w14:paraId="294C5961">
      <w:pPr>
        <w:jc w:val="center"/>
        <w:rPr>
          <w:rFonts w:hint="default" w:ascii="方正小标宋简体" w:hAnsi="宋体" w:eastAsia="方正小标宋简体"/>
          <w:b/>
          <w:bCs/>
          <w:sz w:val="56"/>
          <w:szCs w:val="56"/>
          <w:highlight w:val="none"/>
          <w:lang w:val="en-US" w:eastAsia="zh-CN"/>
        </w:rPr>
      </w:pPr>
      <w:r>
        <w:rPr>
          <w:rFonts w:hint="eastAsia" w:ascii="方正小标宋简体" w:hAnsi="宋体" w:eastAsia="方正小标宋简体"/>
          <w:b/>
          <w:bCs/>
          <w:sz w:val="52"/>
          <w:szCs w:val="52"/>
          <w:highlight w:val="none"/>
          <w:lang w:val="en-US" w:eastAsia="zh-CN"/>
        </w:rPr>
        <w:t>常态化培训项目</w:t>
      </w:r>
    </w:p>
    <w:p w14:paraId="524EB42C">
      <w:pPr>
        <w:tabs>
          <w:tab w:val="center" w:pos="4535"/>
          <w:tab w:val="right" w:pos="9190"/>
        </w:tabs>
        <w:jc w:val="left"/>
        <w:rPr>
          <w:sz w:val="28"/>
          <w:szCs w:val="28"/>
          <w:highlight w:val="none"/>
        </w:rPr>
      </w:pPr>
      <w:r>
        <w:rPr>
          <w:rFonts w:hint="eastAsia"/>
          <w:sz w:val="28"/>
          <w:szCs w:val="28"/>
          <w:highlight w:val="none"/>
          <w:lang w:eastAsia="zh-CN"/>
        </w:rPr>
        <w:tab/>
      </w:r>
      <w:r>
        <w:rPr>
          <w:rFonts w:hint="eastAsia"/>
          <w:sz w:val="28"/>
          <w:szCs w:val="28"/>
          <w:highlight w:val="none"/>
          <w:lang w:eastAsia="zh-CN"/>
        </w:rPr>
        <w:tab/>
      </w:r>
      <w:r>
        <w:rPr>
          <w:rFonts w:hint="eastAsia"/>
          <w:sz w:val="28"/>
          <w:szCs w:val="28"/>
          <w:highlight w:val="none"/>
        </w:rPr>
        <w:t>附：技术协议书</w:t>
      </w:r>
    </w:p>
    <w:p w14:paraId="5EDF8D17">
      <w:pPr>
        <w:rPr>
          <w:sz w:val="28"/>
          <w:szCs w:val="28"/>
          <w:highlight w:val="none"/>
        </w:rPr>
      </w:pPr>
    </w:p>
    <w:p w14:paraId="2B983A2F">
      <w:pPr>
        <w:rPr>
          <w:highlight w:val="none"/>
        </w:rPr>
      </w:pPr>
    </w:p>
    <w:p w14:paraId="711F3731">
      <w:pPr>
        <w:jc w:val="center"/>
        <w:rPr>
          <w:rFonts w:ascii="黑体" w:hAnsi="宋体" w:eastAsia="黑体"/>
          <w:sz w:val="84"/>
          <w:szCs w:val="84"/>
          <w:highlight w:val="none"/>
        </w:rPr>
      </w:pPr>
      <w:r>
        <w:rPr>
          <w:rFonts w:hint="eastAsia" w:ascii="黑体" w:hAnsi="宋体" w:eastAsia="黑体"/>
          <w:sz w:val="84"/>
          <w:szCs w:val="84"/>
          <w:highlight w:val="none"/>
        </w:rPr>
        <w:t>招</w:t>
      </w:r>
    </w:p>
    <w:p w14:paraId="6FC8E07C">
      <w:pPr>
        <w:jc w:val="center"/>
        <w:rPr>
          <w:rFonts w:ascii="黑体" w:hAnsi="宋体" w:eastAsia="黑体"/>
          <w:sz w:val="84"/>
          <w:szCs w:val="84"/>
          <w:highlight w:val="none"/>
        </w:rPr>
      </w:pPr>
      <w:r>
        <w:rPr>
          <w:rFonts w:hint="eastAsia" w:ascii="黑体" w:hAnsi="宋体" w:eastAsia="黑体"/>
          <w:sz w:val="84"/>
          <w:szCs w:val="84"/>
          <w:highlight w:val="none"/>
        </w:rPr>
        <w:t>标</w:t>
      </w:r>
    </w:p>
    <w:p w14:paraId="79F51D16">
      <w:pPr>
        <w:jc w:val="center"/>
        <w:rPr>
          <w:rFonts w:ascii="黑体" w:hAnsi="宋体" w:eastAsia="黑体"/>
          <w:sz w:val="84"/>
          <w:szCs w:val="84"/>
          <w:highlight w:val="none"/>
        </w:rPr>
      </w:pPr>
      <w:r>
        <w:rPr>
          <w:rFonts w:hint="eastAsia" w:ascii="黑体" w:hAnsi="宋体" w:eastAsia="黑体"/>
          <w:sz w:val="84"/>
          <w:szCs w:val="84"/>
          <w:highlight w:val="none"/>
        </w:rPr>
        <w:t>文</w:t>
      </w:r>
    </w:p>
    <w:p w14:paraId="0991DC89">
      <w:pPr>
        <w:jc w:val="center"/>
        <w:rPr>
          <w:rFonts w:ascii="黑体" w:hAnsi="黑体" w:eastAsia="黑体"/>
          <w:sz w:val="96"/>
          <w:highlight w:val="none"/>
        </w:rPr>
      </w:pPr>
      <w:r>
        <w:rPr>
          <w:rFonts w:hint="eastAsia" w:ascii="黑体" w:hAnsi="宋体" w:eastAsia="黑体"/>
          <w:sz w:val="84"/>
          <w:szCs w:val="84"/>
          <w:highlight w:val="none"/>
        </w:rPr>
        <w:t>件</w:t>
      </w:r>
    </w:p>
    <w:p w14:paraId="629F359A">
      <w:pPr>
        <w:jc w:val="center"/>
        <w:rPr>
          <w:rFonts w:ascii="黑体" w:hAnsi="黑体" w:eastAsia="黑体"/>
          <w:b/>
          <w:sz w:val="96"/>
          <w:highlight w:val="none"/>
        </w:rPr>
      </w:pPr>
    </w:p>
    <w:p w14:paraId="1774B0A9">
      <w:pPr>
        <w:pStyle w:val="13"/>
        <w:rPr>
          <w:rFonts w:ascii="黑体" w:hAnsi="黑体" w:eastAsia="黑体"/>
          <w:b/>
          <w:sz w:val="32"/>
          <w:szCs w:val="32"/>
          <w:highlight w:val="none"/>
        </w:rPr>
      </w:pPr>
      <w:r>
        <w:rPr>
          <w:rFonts w:ascii="黑体" w:hAnsi="黑体" w:eastAsia="黑体"/>
          <w:b/>
          <w:sz w:val="32"/>
          <w:szCs w:val="32"/>
          <w:highlight w:val="none"/>
        </w:rPr>
        <w:br w:type="textWrapping"/>
      </w:r>
    </w:p>
    <w:p w14:paraId="40B1FCEC">
      <w:pPr>
        <w:rPr>
          <w:rFonts w:ascii="黑体" w:hAnsi="黑体" w:eastAsia="黑体"/>
          <w:b/>
          <w:sz w:val="32"/>
          <w:szCs w:val="32"/>
          <w:highlight w:val="none"/>
        </w:rPr>
      </w:pPr>
    </w:p>
    <w:p w14:paraId="0D994378">
      <w:pPr>
        <w:jc w:val="center"/>
        <w:rPr>
          <w:rFonts w:ascii="宋体" w:hAnsi="宋体"/>
          <w:sz w:val="28"/>
          <w:szCs w:val="28"/>
          <w:highlight w:val="none"/>
        </w:rPr>
      </w:pPr>
      <w:r>
        <w:rPr>
          <w:rFonts w:hint="eastAsia" w:ascii="宋体" w:hAnsi="宋体"/>
          <w:sz w:val="28"/>
          <w:szCs w:val="28"/>
          <w:highlight w:val="none"/>
        </w:rPr>
        <w:t>招标人：中国重汽集团济南动力有限公司</w:t>
      </w:r>
    </w:p>
    <w:p w14:paraId="6FF896D4">
      <w:pPr>
        <w:jc w:val="center"/>
        <w:rPr>
          <w:rFonts w:ascii="宋体" w:hAnsi="宋体"/>
          <w:sz w:val="28"/>
          <w:szCs w:val="28"/>
          <w:highlight w:val="none"/>
        </w:rPr>
      </w:pPr>
      <w:r>
        <w:rPr>
          <w:rFonts w:hint="eastAsia" w:ascii="宋体" w:hAnsi="宋体"/>
          <w:sz w:val="28"/>
          <w:szCs w:val="28"/>
          <w:highlight w:val="none"/>
        </w:rPr>
        <w:t>2026年9月</w:t>
      </w:r>
    </w:p>
    <w:p w14:paraId="1E503267">
      <w:pPr>
        <w:rPr>
          <w:highlight w:val="none"/>
        </w:rPr>
      </w:pPr>
    </w:p>
    <w:p w14:paraId="6337C510">
      <w:pPr>
        <w:jc w:val="center"/>
        <w:rPr>
          <w:rFonts w:ascii="宋体" w:hAnsi="宋体"/>
          <w:highlight w:val="none"/>
        </w:rPr>
      </w:pPr>
    </w:p>
    <w:p w14:paraId="3137095A">
      <w:pPr>
        <w:spacing w:line="500" w:lineRule="exact"/>
        <w:jc w:val="center"/>
        <w:rPr>
          <w:rFonts w:ascii="宋体" w:hAnsi="宋体" w:cs="宋体"/>
          <w:b/>
          <w:bCs/>
          <w:sz w:val="44"/>
          <w:szCs w:val="44"/>
          <w:highlight w:val="none"/>
        </w:rPr>
        <w:sectPr>
          <w:footerReference r:id="rId4" w:type="first"/>
          <w:headerReference r:id="rId3" w:type="default"/>
          <w:pgSz w:w="11906" w:h="16838"/>
          <w:pgMar w:top="1588" w:right="1418" w:bottom="1134" w:left="1418" w:header="851" w:footer="992" w:gutter="0"/>
          <w:pgNumType w:fmt="decimal"/>
          <w:cols w:space="720" w:num="1"/>
          <w:titlePg/>
          <w:docGrid w:type="lines" w:linePitch="312" w:charSpace="0"/>
        </w:sectPr>
      </w:pPr>
    </w:p>
    <w:p w14:paraId="04D4BF0F">
      <w:pPr>
        <w:pStyle w:val="13"/>
        <w:rPr>
          <w:highlight w:val="none"/>
        </w:rPr>
      </w:pPr>
    </w:p>
    <w:p w14:paraId="69C6B062">
      <w:pPr>
        <w:spacing w:line="500" w:lineRule="exact"/>
        <w:jc w:val="center"/>
        <w:rPr>
          <w:rFonts w:ascii="宋体" w:hAnsi="宋体" w:cs="宋体"/>
          <w:b/>
          <w:bCs/>
          <w:sz w:val="44"/>
          <w:szCs w:val="44"/>
          <w:highlight w:val="none"/>
        </w:rPr>
      </w:pPr>
      <w:r>
        <w:rPr>
          <w:rFonts w:hint="eastAsia" w:ascii="宋体" w:hAnsi="宋体" w:cs="宋体"/>
          <w:b/>
          <w:bCs/>
          <w:sz w:val="44"/>
          <w:szCs w:val="44"/>
          <w:highlight w:val="none"/>
        </w:rPr>
        <w:t>目录</w:t>
      </w:r>
    </w:p>
    <w:p w14:paraId="4331CA4D">
      <w:pPr>
        <w:pStyle w:val="13"/>
        <w:spacing w:line="500" w:lineRule="exact"/>
        <w:rPr>
          <w:rFonts w:ascii="宋体" w:hAnsi="宋体" w:cs="宋体"/>
          <w:b/>
          <w:bCs/>
          <w:sz w:val="30"/>
          <w:szCs w:val="30"/>
          <w:highlight w:val="none"/>
        </w:rPr>
      </w:pPr>
    </w:p>
    <w:p w14:paraId="54C81130">
      <w:pPr>
        <w:pStyle w:val="13"/>
        <w:spacing w:line="500" w:lineRule="exact"/>
        <w:rPr>
          <w:rFonts w:ascii="宋体" w:hAnsi="宋体" w:cs="宋体"/>
          <w:b/>
          <w:bCs/>
          <w:sz w:val="30"/>
          <w:szCs w:val="30"/>
          <w:highlight w:val="none"/>
        </w:rPr>
      </w:pPr>
    </w:p>
    <w:p w14:paraId="41F8D3B3">
      <w:pPr>
        <w:pStyle w:val="42"/>
        <w:tabs>
          <w:tab w:val="right" w:leader="dot" w:pos="9070"/>
        </w:tabs>
        <w:spacing w:line="500" w:lineRule="exact"/>
        <w:rPr>
          <w:rFonts w:ascii="仿宋_GB2312" w:hAnsi="仿宋_GB2312" w:eastAsia="仿宋_GB2312" w:cs="仿宋_GB2312"/>
          <w:bCs/>
          <w:sz w:val="30"/>
          <w:szCs w:val="30"/>
          <w:highlight w:val="none"/>
        </w:rPr>
      </w:pPr>
      <w:r>
        <w:rPr>
          <w:highlight w:val="none"/>
        </w:rPr>
        <w:fldChar w:fldCharType="begin"/>
      </w:r>
      <w:r>
        <w:rPr>
          <w:highlight w:val="none"/>
        </w:rPr>
        <w:instrText xml:space="preserve"> HYPERLINK \l "_Toc14413" </w:instrText>
      </w:r>
      <w:r>
        <w:rPr>
          <w:highlight w:val="none"/>
        </w:rPr>
        <w:fldChar w:fldCharType="separate"/>
      </w:r>
      <w:r>
        <w:rPr>
          <w:rFonts w:hint="eastAsia" w:ascii="仿宋_GB2312" w:hAnsi="仿宋_GB2312" w:eastAsia="仿宋_GB2312" w:cs="仿宋_GB2312"/>
          <w:bCs/>
          <w:sz w:val="30"/>
          <w:szCs w:val="30"/>
          <w:highlight w:val="none"/>
        </w:rPr>
        <w:t>一、投标人须知</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2</w:t>
      </w:r>
      <w:r>
        <w:rPr>
          <w:rFonts w:hint="eastAsia" w:ascii="仿宋_GB2312" w:hAnsi="仿宋_GB2312" w:eastAsia="仿宋_GB2312" w:cs="仿宋_GB2312"/>
          <w:bCs/>
          <w:sz w:val="30"/>
          <w:szCs w:val="30"/>
          <w:highlight w:val="none"/>
        </w:rPr>
        <w:fldChar w:fldCharType="end"/>
      </w:r>
    </w:p>
    <w:p w14:paraId="78534972">
      <w:pPr>
        <w:pStyle w:val="42"/>
        <w:tabs>
          <w:tab w:val="right" w:leader="dot" w:pos="9070"/>
        </w:tabs>
        <w:spacing w:line="500" w:lineRule="exact"/>
        <w:rPr>
          <w:rFonts w:ascii="仿宋_GB2312" w:hAnsi="仿宋_GB2312" w:eastAsia="仿宋_GB2312" w:cs="仿宋_GB2312"/>
          <w:bCs/>
          <w:sz w:val="30"/>
          <w:szCs w:val="30"/>
          <w:highlight w:val="none"/>
        </w:rPr>
      </w:pPr>
      <w:r>
        <w:rPr>
          <w:highlight w:val="none"/>
        </w:rPr>
        <w:fldChar w:fldCharType="begin"/>
      </w:r>
      <w:r>
        <w:rPr>
          <w:highlight w:val="none"/>
        </w:rPr>
        <w:instrText xml:space="preserve"> HYPERLINK \l "_Toc26596" </w:instrText>
      </w:r>
      <w:r>
        <w:rPr>
          <w:highlight w:val="none"/>
        </w:rPr>
        <w:fldChar w:fldCharType="separate"/>
      </w:r>
      <w:r>
        <w:rPr>
          <w:rFonts w:hint="eastAsia" w:ascii="仿宋_GB2312" w:hAnsi="仿宋_GB2312" w:eastAsia="仿宋_GB2312" w:cs="仿宋_GB2312"/>
          <w:bCs/>
          <w:sz w:val="30"/>
          <w:szCs w:val="30"/>
          <w:highlight w:val="none"/>
        </w:rPr>
        <w:t>二、投标人资格条件及要求</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2</w:t>
      </w:r>
      <w:r>
        <w:rPr>
          <w:rFonts w:hint="eastAsia" w:ascii="仿宋_GB2312" w:hAnsi="仿宋_GB2312" w:eastAsia="仿宋_GB2312" w:cs="仿宋_GB2312"/>
          <w:bCs/>
          <w:sz w:val="30"/>
          <w:szCs w:val="30"/>
          <w:highlight w:val="none"/>
        </w:rPr>
        <w:fldChar w:fldCharType="end"/>
      </w:r>
    </w:p>
    <w:p w14:paraId="288C67E6">
      <w:pPr>
        <w:pStyle w:val="42"/>
        <w:tabs>
          <w:tab w:val="right" w:leader="dot" w:pos="9070"/>
        </w:tabs>
        <w:spacing w:line="500" w:lineRule="exact"/>
        <w:rPr>
          <w:rFonts w:ascii="仿宋_GB2312" w:hAnsi="仿宋_GB2312" w:eastAsia="仿宋_GB2312" w:cs="仿宋_GB2312"/>
          <w:bCs/>
          <w:sz w:val="30"/>
          <w:szCs w:val="30"/>
          <w:highlight w:val="none"/>
        </w:rPr>
      </w:pPr>
      <w:r>
        <w:rPr>
          <w:highlight w:val="none"/>
        </w:rPr>
        <w:fldChar w:fldCharType="begin"/>
      </w:r>
      <w:r>
        <w:rPr>
          <w:highlight w:val="none"/>
        </w:rPr>
        <w:instrText xml:space="preserve"> HYPERLINK \l "_Toc25722" </w:instrText>
      </w:r>
      <w:r>
        <w:rPr>
          <w:highlight w:val="none"/>
        </w:rPr>
        <w:fldChar w:fldCharType="separate"/>
      </w:r>
      <w:r>
        <w:rPr>
          <w:rFonts w:hint="eastAsia" w:ascii="仿宋_GB2312" w:hAnsi="仿宋_GB2312" w:eastAsia="仿宋_GB2312" w:cs="仿宋_GB2312"/>
          <w:bCs/>
          <w:sz w:val="30"/>
          <w:szCs w:val="30"/>
          <w:highlight w:val="none"/>
        </w:rPr>
        <w:t>三、投标说明</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4</w:t>
      </w:r>
      <w:r>
        <w:rPr>
          <w:rFonts w:hint="eastAsia" w:ascii="仿宋_GB2312" w:hAnsi="仿宋_GB2312" w:eastAsia="仿宋_GB2312" w:cs="仿宋_GB2312"/>
          <w:bCs/>
          <w:sz w:val="30"/>
          <w:szCs w:val="30"/>
          <w:highlight w:val="none"/>
        </w:rPr>
        <w:fldChar w:fldCharType="end"/>
      </w:r>
    </w:p>
    <w:p w14:paraId="30E8A6CF">
      <w:pPr>
        <w:pStyle w:val="42"/>
        <w:tabs>
          <w:tab w:val="right" w:leader="dot" w:pos="9070"/>
        </w:tabs>
        <w:spacing w:line="500" w:lineRule="exact"/>
        <w:rPr>
          <w:rFonts w:ascii="仿宋_GB2312" w:hAnsi="仿宋_GB2312" w:eastAsia="仿宋_GB2312" w:cs="仿宋_GB2312"/>
          <w:bCs/>
          <w:sz w:val="30"/>
          <w:szCs w:val="30"/>
          <w:highlight w:val="none"/>
        </w:rPr>
      </w:pPr>
      <w:r>
        <w:rPr>
          <w:highlight w:val="none"/>
        </w:rPr>
        <w:fldChar w:fldCharType="begin"/>
      </w:r>
      <w:r>
        <w:rPr>
          <w:highlight w:val="none"/>
        </w:rPr>
        <w:instrText xml:space="preserve"> HYPERLINK \l "_Toc30928" </w:instrText>
      </w:r>
      <w:r>
        <w:rPr>
          <w:highlight w:val="none"/>
        </w:rPr>
        <w:fldChar w:fldCharType="separate"/>
      </w:r>
      <w:r>
        <w:rPr>
          <w:rFonts w:hint="eastAsia" w:ascii="仿宋_GB2312" w:hAnsi="仿宋_GB2312" w:eastAsia="仿宋_GB2312" w:cs="仿宋_GB2312"/>
          <w:bCs/>
          <w:sz w:val="30"/>
          <w:szCs w:val="30"/>
          <w:highlight w:val="none"/>
        </w:rPr>
        <w:t>四、投标文件</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9</w:t>
      </w:r>
      <w:r>
        <w:rPr>
          <w:rFonts w:hint="eastAsia" w:ascii="仿宋_GB2312" w:hAnsi="仿宋_GB2312" w:eastAsia="仿宋_GB2312" w:cs="仿宋_GB2312"/>
          <w:bCs/>
          <w:sz w:val="30"/>
          <w:szCs w:val="30"/>
          <w:highlight w:val="none"/>
        </w:rPr>
        <w:fldChar w:fldCharType="end"/>
      </w:r>
    </w:p>
    <w:p w14:paraId="7FBC2E72">
      <w:pPr>
        <w:pStyle w:val="42"/>
        <w:tabs>
          <w:tab w:val="right" w:leader="dot" w:pos="9070"/>
        </w:tabs>
        <w:spacing w:line="500" w:lineRule="exact"/>
        <w:rPr>
          <w:rFonts w:hint="eastAsia" w:ascii="仿宋_GB2312" w:hAnsi="仿宋_GB2312" w:eastAsia="仿宋_GB2312" w:cs="仿宋_GB2312"/>
          <w:bCs/>
          <w:sz w:val="30"/>
          <w:szCs w:val="30"/>
          <w:highlight w:val="none"/>
          <w:lang w:val="en-US" w:eastAsia="zh-CN"/>
        </w:rPr>
      </w:pPr>
      <w:r>
        <w:rPr>
          <w:highlight w:val="none"/>
        </w:rPr>
        <w:fldChar w:fldCharType="begin"/>
      </w:r>
      <w:r>
        <w:rPr>
          <w:highlight w:val="none"/>
        </w:rPr>
        <w:instrText xml:space="preserve"> HYPERLINK \l "_Toc22774" </w:instrText>
      </w:r>
      <w:r>
        <w:rPr>
          <w:highlight w:val="none"/>
        </w:rPr>
        <w:fldChar w:fldCharType="separate"/>
      </w:r>
      <w:r>
        <w:rPr>
          <w:rFonts w:hint="eastAsia" w:ascii="仿宋_GB2312" w:hAnsi="仿宋_GB2312" w:eastAsia="仿宋_GB2312" w:cs="仿宋_GB2312"/>
          <w:bCs/>
          <w:sz w:val="30"/>
          <w:szCs w:val="30"/>
          <w:highlight w:val="none"/>
        </w:rPr>
        <w:t>五、合同签订</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1</w:t>
      </w:r>
      <w:r>
        <w:rPr>
          <w:rFonts w:hint="eastAsia" w:ascii="仿宋_GB2312" w:hAnsi="仿宋_GB2312" w:eastAsia="仿宋_GB2312" w:cs="仿宋_GB2312"/>
          <w:bCs/>
          <w:sz w:val="30"/>
          <w:szCs w:val="30"/>
          <w:highlight w:val="none"/>
        </w:rPr>
        <w:fldChar w:fldCharType="end"/>
      </w:r>
      <w:r>
        <w:rPr>
          <w:rFonts w:hint="eastAsia" w:ascii="仿宋_GB2312" w:hAnsi="仿宋_GB2312" w:eastAsia="仿宋_GB2312" w:cs="仿宋_GB2312"/>
          <w:bCs/>
          <w:sz w:val="30"/>
          <w:szCs w:val="30"/>
          <w:highlight w:val="none"/>
          <w:lang w:val="en-US" w:eastAsia="zh-CN"/>
        </w:rPr>
        <w:t>1</w:t>
      </w:r>
    </w:p>
    <w:p w14:paraId="24F3B778">
      <w:pPr>
        <w:pStyle w:val="42"/>
        <w:tabs>
          <w:tab w:val="right" w:leader="dot" w:pos="9070"/>
        </w:tabs>
        <w:spacing w:line="500" w:lineRule="exact"/>
        <w:rPr>
          <w:rFonts w:hint="eastAsia" w:ascii="仿宋_GB2312" w:hAnsi="仿宋_GB2312" w:eastAsia="仿宋_GB2312" w:cs="仿宋_GB2312"/>
          <w:bCs/>
          <w:sz w:val="30"/>
          <w:szCs w:val="30"/>
          <w:highlight w:val="none"/>
          <w:lang w:val="en-US" w:eastAsia="zh-CN"/>
        </w:rPr>
      </w:pPr>
      <w:r>
        <w:rPr>
          <w:highlight w:val="none"/>
        </w:rPr>
        <w:fldChar w:fldCharType="begin"/>
      </w:r>
      <w:r>
        <w:rPr>
          <w:highlight w:val="none"/>
        </w:rPr>
        <w:instrText xml:space="preserve"> HYPERLINK \l "_Toc28350" </w:instrText>
      </w:r>
      <w:r>
        <w:rPr>
          <w:highlight w:val="none"/>
        </w:rPr>
        <w:fldChar w:fldCharType="separate"/>
      </w:r>
      <w:r>
        <w:rPr>
          <w:rFonts w:hint="eastAsia" w:ascii="仿宋_GB2312" w:hAnsi="仿宋_GB2312" w:eastAsia="仿宋_GB2312" w:cs="仿宋_GB2312"/>
          <w:bCs/>
          <w:sz w:val="30"/>
          <w:szCs w:val="30"/>
          <w:highlight w:val="none"/>
        </w:rPr>
        <w:t>六、废标及终止招标</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1</w:t>
      </w:r>
      <w:r>
        <w:rPr>
          <w:rFonts w:hint="eastAsia" w:ascii="仿宋_GB2312" w:hAnsi="仿宋_GB2312" w:eastAsia="仿宋_GB2312" w:cs="仿宋_GB2312"/>
          <w:bCs/>
          <w:sz w:val="30"/>
          <w:szCs w:val="30"/>
          <w:highlight w:val="none"/>
        </w:rPr>
        <w:fldChar w:fldCharType="end"/>
      </w:r>
      <w:r>
        <w:rPr>
          <w:rFonts w:hint="eastAsia" w:ascii="仿宋_GB2312" w:hAnsi="仿宋" w:eastAsia="仿宋_GB2312" w:cs="Times New Roman"/>
          <w:bCs w:val="0"/>
          <w:kern w:val="2"/>
          <w:sz w:val="30"/>
          <w:szCs w:val="30"/>
          <w:highlight w:val="none"/>
          <w:lang w:val="en-US" w:eastAsia="zh-CN"/>
        </w:rPr>
        <w:t>2</w:t>
      </w:r>
    </w:p>
    <w:p w14:paraId="0CA9F8FB">
      <w:pPr>
        <w:pStyle w:val="42"/>
        <w:tabs>
          <w:tab w:val="right" w:leader="dot" w:pos="9070"/>
        </w:tabs>
        <w:spacing w:line="500" w:lineRule="exact"/>
        <w:rPr>
          <w:rFonts w:hint="eastAsia" w:ascii="仿宋_GB2312" w:hAnsi="仿宋_GB2312" w:eastAsia="仿宋_GB2312" w:cs="仿宋_GB2312"/>
          <w:bCs/>
          <w:sz w:val="30"/>
          <w:szCs w:val="30"/>
          <w:highlight w:val="none"/>
          <w:lang w:val="en-US" w:eastAsia="zh-CN"/>
        </w:rPr>
      </w:pPr>
      <w:r>
        <w:rPr>
          <w:highlight w:val="none"/>
        </w:rPr>
        <w:fldChar w:fldCharType="begin"/>
      </w:r>
      <w:r>
        <w:rPr>
          <w:highlight w:val="none"/>
        </w:rPr>
        <w:instrText xml:space="preserve"> HYPERLINK \l "_Toc8621" </w:instrText>
      </w:r>
      <w:r>
        <w:rPr>
          <w:highlight w:val="none"/>
        </w:rPr>
        <w:fldChar w:fldCharType="separate"/>
      </w:r>
      <w:r>
        <w:rPr>
          <w:rFonts w:hint="eastAsia" w:ascii="仿宋_GB2312" w:hAnsi="仿宋_GB2312" w:eastAsia="仿宋_GB2312" w:cs="仿宋_GB2312"/>
          <w:bCs/>
          <w:sz w:val="30"/>
          <w:szCs w:val="30"/>
          <w:highlight w:val="none"/>
        </w:rPr>
        <w:t>七、中标人瑕疵滞后发现的处理原则</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1</w:t>
      </w:r>
      <w:r>
        <w:rPr>
          <w:rFonts w:hint="eastAsia" w:ascii="仿宋_GB2312" w:hAnsi="仿宋_GB2312" w:eastAsia="仿宋_GB2312" w:cs="仿宋_GB2312"/>
          <w:bCs/>
          <w:sz w:val="30"/>
          <w:szCs w:val="30"/>
          <w:highlight w:val="none"/>
        </w:rPr>
        <w:fldChar w:fldCharType="end"/>
      </w:r>
      <w:r>
        <w:rPr>
          <w:rFonts w:hint="eastAsia" w:ascii="仿宋_GB2312" w:hAnsi="仿宋_GB2312" w:eastAsia="仿宋_GB2312" w:cs="仿宋_GB2312"/>
          <w:bCs/>
          <w:sz w:val="30"/>
          <w:szCs w:val="30"/>
          <w:highlight w:val="none"/>
          <w:lang w:val="en-US" w:eastAsia="zh-CN"/>
        </w:rPr>
        <w:t>3</w:t>
      </w:r>
    </w:p>
    <w:p w14:paraId="69FDE4F3">
      <w:pPr>
        <w:pStyle w:val="42"/>
        <w:tabs>
          <w:tab w:val="right" w:leader="dot" w:pos="9070"/>
        </w:tabs>
        <w:spacing w:line="500" w:lineRule="exact"/>
        <w:rPr>
          <w:rFonts w:hint="eastAsia" w:ascii="仿宋_GB2312" w:hAnsi="仿宋_GB2312" w:eastAsia="仿宋_GB2312" w:cs="仿宋_GB2312"/>
          <w:bCs/>
          <w:sz w:val="30"/>
          <w:szCs w:val="30"/>
          <w:highlight w:val="none"/>
          <w:lang w:val="en-US" w:eastAsia="zh-CN"/>
        </w:rPr>
      </w:pPr>
      <w:r>
        <w:rPr>
          <w:highlight w:val="none"/>
        </w:rPr>
        <w:fldChar w:fldCharType="begin"/>
      </w:r>
      <w:r>
        <w:rPr>
          <w:highlight w:val="none"/>
        </w:rPr>
        <w:instrText xml:space="preserve"> HYPERLINK \l "_Toc10048" </w:instrText>
      </w:r>
      <w:r>
        <w:rPr>
          <w:highlight w:val="none"/>
        </w:rPr>
        <w:fldChar w:fldCharType="separate"/>
      </w:r>
      <w:r>
        <w:rPr>
          <w:rFonts w:hint="eastAsia" w:ascii="仿宋_GB2312" w:hAnsi="仿宋_GB2312" w:eastAsia="仿宋_GB2312" w:cs="仿宋_GB2312"/>
          <w:bCs/>
          <w:sz w:val="30"/>
          <w:szCs w:val="30"/>
          <w:highlight w:val="none"/>
        </w:rPr>
        <w:t>八、投标文件格式</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1</w:t>
      </w:r>
      <w:r>
        <w:rPr>
          <w:rFonts w:hint="eastAsia" w:ascii="仿宋_GB2312" w:hAnsi="仿宋_GB2312" w:eastAsia="仿宋_GB2312" w:cs="仿宋_GB2312"/>
          <w:bCs/>
          <w:sz w:val="30"/>
          <w:szCs w:val="30"/>
          <w:highlight w:val="none"/>
        </w:rPr>
        <w:fldChar w:fldCharType="end"/>
      </w:r>
      <w:r>
        <w:rPr>
          <w:rFonts w:hint="eastAsia" w:ascii="仿宋_GB2312" w:hAnsi="仿宋_GB2312" w:eastAsia="仿宋_GB2312" w:cs="仿宋_GB2312"/>
          <w:bCs/>
          <w:sz w:val="30"/>
          <w:szCs w:val="30"/>
          <w:highlight w:val="none"/>
          <w:lang w:val="en-US" w:eastAsia="zh-CN"/>
        </w:rPr>
        <w:t>3</w:t>
      </w:r>
    </w:p>
    <w:p w14:paraId="44F5503F">
      <w:pPr>
        <w:pStyle w:val="42"/>
        <w:tabs>
          <w:tab w:val="right" w:leader="dot" w:pos="9070"/>
        </w:tabs>
        <w:spacing w:line="500" w:lineRule="exact"/>
        <w:rPr>
          <w:rFonts w:hint="eastAsia" w:ascii="仿宋_GB2312" w:hAnsi="仿宋_GB2312" w:eastAsia="仿宋_GB2312" w:cs="仿宋_GB2312"/>
          <w:bCs/>
          <w:sz w:val="30"/>
          <w:szCs w:val="30"/>
          <w:highlight w:val="none"/>
          <w:lang w:val="en-US" w:eastAsia="zh-CN"/>
        </w:rPr>
      </w:pPr>
      <w:r>
        <w:rPr>
          <w:highlight w:val="none"/>
        </w:rPr>
        <w:fldChar w:fldCharType="begin"/>
      </w:r>
      <w:r>
        <w:rPr>
          <w:highlight w:val="none"/>
        </w:rPr>
        <w:instrText xml:space="preserve"> HYPERLINK \l "_Toc2515" </w:instrText>
      </w:r>
      <w:r>
        <w:rPr>
          <w:highlight w:val="none"/>
        </w:rPr>
        <w:fldChar w:fldCharType="separate"/>
      </w:r>
      <w:r>
        <w:rPr>
          <w:rFonts w:hint="eastAsia" w:ascii="仿宋_GB2312" w:hAnsi="仿宋_GB2312" w:eastAsia="仿宋_GB2312" w:cs="仿宋_GB2312"/>
          <w:bCs/>
          <w:sz w:val="30"/>
          <w:szCs w:val="30"/>
          <w:highlight w:val="none"/>
        </w:rPr>
        <w:t>九、技术协议书</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1</w:t>
      </w:r>
      <w:r>
        <w:rPr>
          <w:rFonts w:hint="eastAsia" w:ascii="仿宋_GB2312" w:hAnsi="仿宋_GB2312" w:eastAsia="仿宋_GB2312" w:cs="仿宋_GB2312"/>
          <w:bCs/>
          <w:sz w:val="30"/>
          <w:szCs w:val="30"/>
          <w:highlight w:val="none"/>
        </w:rPr>
        <w:fldChar w:fldCharType="end"/>
      </w:r>
      <w:r>
        <w:rPr>
          <w:rFonts w:hint="eastAsia" w:ascii="仿宋_GB2312" w:hAnsi="仿宋_GB2312" w:eastAsia="仿宋_GB2312" w:cs="仿宋_GB2312"/>
          <w:bCs/>
          <w:sz w:val="30"/>
          <w:szCs w:val="30"/>
          <w:highlight w:val="none"/>
          <w:lang w:val="en-US" w:eastAsia="zh-CN"/>
        </w:rPr>
        <w:t>3</w:t>
      </w:r>
    </w:p>
    <w:p w14:paraId="312B7D13">
      <w:pPr>
        <w:pStyle w:val="42"/>
        <w:tabs>
          <w:tab w:val="right" w:leader="dot" w:pos="9070"/>
        </w:tabs>
        <w:spacing w:line="500" w:lineRule="exact"/>
        <w:rPr>
          <w:rFonts w:hint="eastAsia" w:ascii="仿宋_GB2312" w:hAnsi="仿宋_GB2312" w:eastAsia="仿宋_GB2312" w:cs="仿宋_GB2312"/>
          <w:bCs/>
          <w:sz w:val="30"/>
          <w:szCs w:val="30"/>
          <w:highlight w:val="none"/>
          <w:lang w:val="en-US" w:eastAsia="zh-CN"/>
        </w:rPr>
      </w:pPr>
      <w:r>
        <w:rPr>
          <w:highlight w:val="none"/>
        </w:rPr>
        <w:fldChar w:fldCharType="begin"/>
      </w:r>
      <w:r>
        <w:rPr>
          <w:highlight w:val="none"/>
        </w:rPr>
        <w:instrText xml:space="preserve"> HYPERLINK \l "_Toc23780" </w:instrText>
      </w:r>
      <w:r>
        <w:rPr>
          <w:highlight w:val="none"/>
        </w:rPr>
        <w:fldChar w:fldCharType="separate"/>
      </w:r>
      <w:r>
        <w:rPr>
          <w:rFonts w:hint="eastAsia" w:ascii="仿宋_GB2312" w:hAnsi="仿宋_GB2312" w:eastAsia="仿宋_GB2312" w:cs="仿宋_GB2312"/>
          <w:bCs/>
          <w:sz w:val="30"/>
          <w:szCs w:val="30"/>
          <w:highlight w:val="none"/>
        </w:rPr>
        <w:t>十、解释权</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1</w:t>
      </w:r>
      <w:r>
        <w:rPr>
          <w:rFonts w:hint="eastAsia" w:ascii="仿宋_GB2312" w:hAnsi="仿宋_GB2312" w:eastAsia="仿宋_GB2312" w:cs="仿宋_GB2312"/>
          <w:bCs/>
          <w:sz w:val="30"/>
          <w:szCs w:val="30"/>
          <w:highlight w:val="none"/>
        </w:rPr>
        <w:fldChar w:fldCharType="end"/>
      </w:r>
      <w:r>
        <w:rPr>
          <w:rFonts w:hint="eastAsia" w:ascii="仿宋_GB2312" w:hAnsi="仿宋_GB2312" w:eastAsia="仿宋_GB2312" w:cs="仿宋_GB2312"/>
          <w:bCs/>
          <w:sz w:val="30"/>
          <w:szCs w:val="30"/>
          <w:highlight w:val="none"/>
          <w:lang w:val="en-US" w:eastAsia="zh-CN"/>
        </w:rPr>
        <w:t>3</w:t>
      </w:r>
    </w:p>
    <w:p w14:paraId="43D6245D">
      <w:pPr>
        <w:pStyle w:val="42"/>
        <w:tabs>
          <w:tab w:val="right" w:leader="dot" w:pos="9070"/>
        </w:tabs>
        <w:spacing w:line="500" w:lineRule="exact"/>
        <w:rPr>
          <w:rFonts w:hint="default" w:ascii="仿宋_GB2312" w:hAnsi="仿宋_GB2312" w:eastAsia="仿宋_GB2312" w:cs="仿宋_GB2312"/>
          <w:bCs/>
          <w:sz w:val="30"/>
          <w:szCs w:val="30"/>
          <w:highlight w:val="none"/>
          <w:lang w:val="en-US" w:eastAsia="zh-CN"/>
        </w:rPr>
      </w:pPr>
      <w:r>
        <w:rPr>
          <w:rFonts w:hint="eastAsia" w:ascii="仿宋_GB2312" w:hAnsi="仿宋_GB2312" w:eastAsia="仿宋_GB2312" w:cs="仿宋_GB2312"/>
          <w:bCs/>
          <w:sz w:val="30"/>
          <w:szCs w:val="30"/>
          <w:highlight w:val="none"/>
        </w:rPr>
        <w:t>附件：</w:t>
      </w:r>
      <w:r>
        <w:rPr>
          <w:rFonts w:hint="eastAsia" w:ascii="仿宋_GB2312" w:hAnsi="仿宋_GB2312" w:eastAsia="仿宋_GB2312" w:cs="仿宋_GB2312"/>
          <w:bCs/>
          <w:sz w:val="30"/>
          <w:szCs w:val="30"/>
          <w:highlight w:val="none"/>
        </w:rPr>
        <w:tab/>
      </w:r>
      <w:r>
        <w:rPr>
          <w:rFonts w:hint="eastAsia" w:ascii="仿宋_GB2312" w:hAnsi="仿宋_GB2312" w:eastAsia="仿宋_GB2312" w:cs="仿宋_GB2312"/>
          <w:bCs/>
          <w:sz w:val="30"/>
          <w:szCs w:val="30"/>
          <w:highlight w:val="none"/>
          <w:lang w:val="en-US" w:eastAsia="zh-CN"/>
        </w:rPr>
        <w:t>14</w:t>
      </w:r>
    </w:p>
    <w:p w14:paraId="73C3C842">
      <w:pPr>
        <w:spacing w:line="500" w:lineRule="exact"/>
        <w:ind w:firstLine="602" w:firstLineChars="200"/>
        <w:jc w:val="left"/>
        <w:rPr>
          <w:rFonts w:ascii="黑体" w:hAnsi="黑体" w:eastAsia="黑体" w:cs="黑体"/>
          <w:b/>
          <w:bCs/>
          <w:sz w:val="30"/>
          <w:szCs w:val="30"/>
          <w:highlight w:val="none"/>
        </w:rPr>
      </w:pPr>
    </w:p>
    <w:p w14:paraId="645E6B2D">
      <w:pPr>
        <w:spacing w:line="500" w:lineRule="exact"/>
        <w:ind w:firstLine="602" w:firstLineChars="200"/>
        <w:jc w:val="left"/>
        <w:rPr>
          <w:rFonts w:ascii="黑体" w:hAnsi="黑体" w:eastAsia="黑体" w:cs="黑体"/>
          <w:b/>
          <w:bCs/>
          <w:sz w:val="30"/>
          <w:szCs w:val="30"/>
          <w:highlight w:val="none"/>
        </w:rPr>
      </w:pPr>
    </w:p>
    <w:p w14:paraId="7A7B0854">
      <w:pPr>
        <w:pStyle w:val="42"/>
        <w:tabs>
          <w:tab w:val="right" w:leader="dot" w:pos="9070"/>
        </w:tabs>
        <w:spacing w:line="500" w:lineRule="exact"/>
        <w:rPr>
          <w:rFonts w:ascii="宋体" w:hAnsi="宋体" w:eastAsia="宋体" w:cs="Times New Roman"/>
          <w:kern w:val="2"/>
          <w:sz w:val="21"/>
          <w:highlight w:val="none"/>
          <w:lang w:val="en-US" w:eastAsia="zh-CN" w:bidi="ar-SA"/>
        </w:rPr>
      </w:pPr>
    </w:p>
    <w:p w14:paraId="75C893F5">
      <w:pPr>
        <w:pStyle w:val="42"/>
        <w:tabs>
          <w:tab w:val="right" w:leader="dot" w:pos="9070"/>
        </w:tabs>
        <w:spacing w:line="500" w:lineRule="exact"/>
        <w:rPr>
          <w:rFonts w:ascii="黑体" w:hAnsi="黑体" w:eastAsia="黑体" w:cs="黑体"/>
          <w:bCs/>
          <w:szCs w:val="30"/>
          <w:highlight w:val="none"/>
          <w:lang w:val="en-US" w:eastAsia="zh-CN" w:bidi="ar-SA"/>
        </w:rPr>
      </w:pPr>
    </w:p>
    <w:p w14:paraId="496E61E7">
      <w:pPr>
        <w:pStyle w:val="42"/>
        <w:tabs>
          <w:tab w:val="right" w:leader="dot" w:pos="9070"/>
        </w:tabs>
        <w:spacing w:line="500" w:lineRule="exact"/>
        <w:rPr>
          <w:rFonts w:ascii="黑体" w:hAnsi="黑体" w:eastAsia="黑体" w:cs="黑体"/>
          <w:b/>
          <w:bCs/>
          <w:sz w:val="30"/>
          <w:szCs w:val="30"/>
          <w:highlight w:val="none"/>
        </w:rPr>
      </w:pPr>
    </w:p>
    <w:p w14:paraId="74F0ECB0">
      <w:pPr>
        <w:pStyle w:val="42"/>
        <w:tabs>
          <w:tab w:val="right" w:leader="dot" w:pos="9070"/>
        </w:tabs>
        <w:spacing w:line="500" w:lineRule="exact"/>
        <w:rPr>
          <w:rFonts w:ascii="黑体" w:hAnsi="黑体" w:eastAsia="黑体" w:cs="黑体"/>
          <w:b/>
          <w:bCs/>
          <w:sz w:val="30"/>
          <w:szCs w:val="30"/>
          <w:highlight w:val="none"/>
        </w:rPr>
      </w:pPr>
    </w:p>
    <w:p w14:paraId="78C7F320">
      <w:pPr>
        <w:pStyle w:val="42"/>
        <w:tabs>
          <w:tab w:val="right" w:leader="dot" w:pos="9070"/>
        </w:tabs>
        <w:spacing w:line="500" w:lineRule="exact"/>
        <w:rPr>
          <w:rFonts w:ascii="黑体" w:hAnsi="黑体" w:eastAsia="黑体" w:cs="黑体"/>
          <w:b/>
          <w:bCs/>
          <w:sz w:val="30"/>
          <w:szCs w:val="30"/>
          <w:highlight w:val="none"/>
        </w:rPr>
      </w:pPr>
    </w:p>
    <w:p w14:paraId="763903D5">
      <w:pPr>
        <w:pStyle w:val="42"/>
        <w:tabs>
          <w:tab w:val="right" w:leader="dot" w:pos="9070"/>
        </w:tabs>
        <w:spacing w:line="500" w:lineRule="exact"/>
        <w:rPr>
          <w:rFonts w:ascii="黑体" w:hAnsi="黑体" w:eastAsia="黑体" w:cs="黑体"/>
          <w:b/>
          <w:bCs/>
          <w:sz w:val="30"/>
          <w:szCs w:val="30"/>
          <w:highlight w:val="none"/>
        </w:rPr>
      </w:pPr>
    </w:p>
    <w:p w14:paraId="6BB4F76A">
      <w:pPr>
        <w:pStyle w:val="42"/>
        <w:tabs>
          <w:tab w:val="right" w:leader="dot" w:pos="9070"/>
        </w:tabs>
        <w:spacing w:line="500" w:lineRule="exact"/>
        <w:rPr>
          <w:rFonts w:ascii="黑体" w:hAnsi="黑体" w:eastAsia="黑体" w:cs="黑体"/>
          <w:b/>
          <w:bCs/>
          <w:sz w:val="30"/>
          <w:szCs w:val="30"/>
          <w:highlight w:val="none"/>
        </w:rPr>
      </w:pPr>
    </w:p>
    <w:p w14:paraId="2285C460">
      <w:pPr>
        <w:pStyle w:val="42"/>
        <w:tabs>
          <w:tab w:val="right" w:leader="dot" w:pos="9070"/>
        </w:tabs>
        <w:spacing w:line="500" w:lineRule="exact"/>
        <w:rPr>
          <w:rFonts w:ascii="黑体" w:hAnsi="黑体" w:eastAsia="黑体" w:cs="黑体"/>
          <w:b/>
          <w:bCs/>
          <w:sz w:val="30"/>
          <w:szCs w:val="30"/>
          <w:highlight w:val="none"/>
        </w:rPr>
      </w:pPr>
    </w:p>
    <w:p w14:paraId="058F7699">
      <w:pPr>
        <w:pStyle w:val="42"/>
        <w:tabs>
          <w:tab w:val="right" w:leader="dot" w:pos="9070"/>
        </w:tabs>
        <w:spacing w:line="500" w:lineRule="exact"/>
        <w:rPr>
          <w:rFonts w:ascii="黑体" w:hAnsi="黑体" w:eastAsia="黑体" w:cs="黑体"/>
          <w:b/>
          <w:bCs/>
          <w:sz w:val="30"/>
          <w:szCs w:val="30"/>
          <w:highlight w:val="none"/>
        </w:rPr>
      </w:pPr>
    </w:p>
    <w:p w14:paraId="7FC75285">
      <w:pPr>
        <w:spacing w:line="500" w:lineRule="exact"/>
        <w:jc w:val="left"/>
        <w:rPr>
          <w:rFonts w:ascii="黑体" w:hAnsi="黑体" w:eastAsia="黑体" w:cs="黑体"/>
          <w:b/>
          <w:bCs/>
          <w:sz w:val="30"/>
          <w:szCs w:val="30"/>
          <w:highlight w:val="none"/>
        </w:rPr>
      </w:pPr>
    </w:p>
    <w:p w14:paraId="0CB0944F">
      <w:pPr>
        <w:spacing w:line="500" w:lineRule="exact"/>
        <w:jc w:val="left"/>
        <w:rPr>
          <w:rFonts w:ascii="黑体" w:hAnsi="黑体" w:eastAsia="黑体" w:cs="黑体"/>
          <w:b/>
          <w:bCs/>
          <w:sz w:val="30"/>
          <w:szCs w:val="30"/>
          <w:highlight w:val="none"/>
        </w:rPr>
      </w:pPr>
    </w:p>
    <w:p w14:paraId="12CF9340">
      <w:pPr>
        <w:spacing w:line="500" w:lineRule="exact"/>
        <w:ind w:firstLine="602" w:firstLineChars="200"/>
        <w:jc w:val="left"/>
        <w:outlineLvl w:val="0"/>
        <w:rPr>
          <w:rFonts w:ascii="黑体" w:hAnsi="黑体" w:eastAsia="黑体" w:cs="黑体"/>
          <w:b/>
          <w:bCs/>
          <w:sz w:val="30"/>
          <w:szCs w:val="30"/>
          <w:highlight w:val="none"/>
        </w:rPr>
      </w:pPr>
      <w:bookmarkStart w:id="0" w:name="_Toc25197"/>
      <w:bookmarkStart w:id="1" w:name="_Toc14413"/>
      <w:r>
        <w:rPr>
          <w:rFonts w:hint="eastAsia" w:ascii="黑体" w:hAnsi="黑体" w:eastAsia="黑体" w:cs="黑体"/>
          <w:b/>
          <w:bCs/>
          <w:sz w:val="30"/>
          <w:szCs w:val="30"/>
          <w:highlight w:val="none"/>
        </w:rPr>
        <w:t>一、投标人须知</w:t>
      </w:r>
      <w:bookmarkEnd w:id="0"/>
      <w:bookmarkEnd w:id="1"/>
    </w:p>
    <w:p w14:paraId="3201351E">
      <w:pPr>
        <w:spacing w:line="500" w:lineRule="exact"/>
        <w:ind w:firstLine="600" w:firstLineChars="200"/>
        <w:jc w:val="both"/>
        <w:rPr>
          <w:rFonts w:ascii="仿宋_GB2312" w:hAnsi="仿宋" w:eastAsia="仿宋_GB2312"/>
          <w:sz w:val="30"/>
          <w:szCs w:val="30"/>
          <w:highlight w:val="none"/>
        </w:rPr>
      </w:pPr>
      <w:r>
        <w:rPr>
          <w:rFonts w:hint="eastAsia" w:ascii="仿宋_GB2312" w:hAnsi="仿宋" w:eastAsia="仿宋_GB2312"/>
          <w:sz w:val="30"/>
          <w:szCs w:val="30"/>
          <w:highlight w:val="none"/>
        </w:rPr>
        <w:t>1.招标人：中国重汽集团济南动力有限公司</w:t>
      </w:r>
    </w:p>
    <w:p w14:paraId="01CFA152">
      <w:pPr>
        <w:spacing w:line="500" w:lineRule="exact"/>
        <w:ind w:firstLine="600" w:firstLineChars="200"/>
        <w:jc w:val="both"/>
        <w:rPr>
          <w:rFonts w:hint="default" w:ascii="仿宋_GB2312" w:hAnsi="仿宋" w:eastAsia="仿宋_GB2312"/>
          <w:sz w:val="30"/>
          <w:szCs w:val="30"/>
          <w:highlight w:val="none"/>
          <w:lang w:val="en-US"/>
        </w:rPr>
      </w:pPr>
      <w:r>
        <w:rPr>
          <w:rFonts w:hint="eastAsia" w:ascii="仿宋_GB2312" w:hAnsi="仿宋" w:eastAsia="仿宋_GB2312"/>
          <w:sz w:val="30"/>
          <w:szCs w:val="30"/>
          <w:highlight w:val="none"/>
        </w:rPr>
        <w:t>2.项目名称：中国重汽</w:t>
      </w:r>
      <w:r>
        <w:rPr>
          <w:rFonts w:hint="eastAsia" w:ascii="仿宋_GB2312" w:hAnsi="仿宋" w:eastAsia="仿宋_GB2312"/>
          <w:sz w:val="30"/>
          <w:szCs w:val="30"/>
          <w:highlight w:val="none"/>
          <w:lang w:val="en-US" w:eastAsia="zh-CN"/>
        </w:rPr>
        <w:t>集团</w:t>
      </w:r>
      <w:r>
        <w:rPr>
          <w:rFonts w:hint="eastAsia" w:ascii="仿宋_GB2312" w:hAnsi="仿宋" w:eastAsia="仿宋_GB2312"/>
          <w:sz w:val="30"/>
          <w:szCs w:val="30"/>
          <w:highlight w:val="none"/>
        </w:rPr>
        <w:t>新晋领导干部专业素质培训项目</w:t>
      </w:r>
    </w:p>
    <w:p w14:paraId="54E50D6C">
      <w:pPr>
        <w:spacing w:line="500" w:lineRule="exact"/>
        <w:ind w:firstLine="600" w:firstLineChars="200"/>
        <w:jc w:val="both"/>
        <w:rPr>
          <w:rFonts w:hint="eastAsia" w:ascii="仿宋_GB2312" w:hAnsi="仿宋" w:eastAsia="仿宋_GB2312"/>
          <w:sz w:val="30"/>
          <w:szCs w:val="30"/>
          <w:highlight w:val="none"/>
          <w:lang w:val="en-US" w:eastAsia="zh-CN"/>
        </w:rPr>
      </w:pPr>
      <w:r>
        <w:rPr>
          <w:rFonts w:hint="eastAsia" w:ascii="仿宋_GB2312" w:hAnsi="仿宋" w:eastAsia="仿宋_GB2312"/>
          <w:sz w:val="30"/>
          <w:szCs w:val="30"/>
          <w:highlight w:val="none"/>
          <w:lang w:val="en-US" w:eastAsia="zh-CN"/>
        </w:rPr>
        <w:t>3.招标内容：本项目不分包，招标内容如下：</w:t>
      </w:r>
    </w:p>
    <w:p w14:paraId="41035B60">
      <w:pPr>
        <w:spacing w:line="500" w:lineRule="exact"/>
        <w:ind w:firstLine="600" w:firstLineChars="200"/>
        <w:jc w:val="both"/>
        <w:rPr>
          <w:rFonts w:hint="eastAsia" w:ascii="仿宋_GB2312" w:hAnsi="仿宋" w:eastAsia="仿宋_GB2312"/>
          <w:sz w:val="30"/>
          <w:szCs w:val="30"/>
          <w:highlight w:val="none"/>
          <w:lang w:val="en-US" w:eastAsia="zh-CN"/>
        </w:rPr>
      </w:pPr>
      <w:r>
        <w:rPr>
          <w:rFonts w:hint="eastAsia" w:ascii="仿宋_GB2312" w:hAnsi="仿宋" w:eastAsia="仿宋_GB2312"/>
          <w:sz w:val="30"/>
          <w:szCs w:val="30"/>
          <w:highlight w:val="none"/>
          <w:lang w:val="en-US" w:eastAsia="zh-CN"/>
        </w:rPr>
        <w:t>习近平党建思想、党史（以史为鉴 开创未来——中国共产党百年奋斗历程与历史经验）、非人力资源经理的人力资源管理、非财务经理的财务管理（财务审批责任）。</w:t>
      </w:r>
    </w:p>
    <w:p w14:paraId="750E8D12">
      <w:pPr>
        <w:spacing w:line="500" w:lineRule="exact"/>
        <w:ind w:firstLine="600" w:firstLineChars="200"/>
        <w:jc w:val="both"/>
        <w:rPr>
          <w:rFonts w:hint="eastAsia" w:ascii="仿宋_GB2312" w:hAnsi="仿宋" w:eastAsia="仿宋_GB2312"/>
          <w:sz w:val="30"/>
          <w:szCs w:val="30"/>
          <w:highlight w:val="none"/>
        </w:rPr>
      </w:pPr>
      <w:r>
        <w:rPr>
          <w:rFonts w:hint="eastAsia" w:ascii="仿宋_GB2312" w:hAnsi="仿宋" w:eastAsia="仿宋_GB2312"/>
          <w:sz w:val="30"/>
          <w:szCs w:val="30"/>
          <w:highlight w:val="none"/>
          <w:lang w:val="en-US" w:eastAsia="zh-CN"/>
        </w:rPr>
        <w:t>4</w:t>
      </w:r>
      <w:r>
        <w:rPr>
          <w:rFonts w:hint="eastAsia" w:ascii="仿宋_GB2312" w:hAnsi="仿宋" w:eastAsia="仿宋_GB2312"/>
          <w:sz w:val="30"/>
          <w:szCs w:val="30"/>
          <w:highlight w:val="none"/>
        </w:rPr>
        <w:t>.项目周期</w:t>
      </w:r>
      <w:r>
        <w:rPr>
          <w:rFonts w:hint="eastAsia" w:ascii="仿宋_GB2312" w:hAnsi="仿宋" w:eastAsia="仿宋_GB2312"/>
          <w:sz w:val="30"/>
          <w:szCs w:val="30"/>
          <w:highlight w:val="none"/>
          <w:lang w:eastAsia="zh-CN"/>
        </w:rPr>
        <w:t>：定于10月13–1</w:t>
      </w:r>
      <w:r>
        <w:rPr>
          <w:rFonts w:hint="eastAsia" w:ascii="仿宋_GB2312" w:hAnsi="仿宋" w:eastAsia="仿宋_GB2312"/>
          <w:sz w:val="30"/>
          <w:szCs w:val="30"/>
          <w:highlight w:val="none"/>
          <w:lang w:val="en-US" w:eastAsia="zh-CN"/>
        </w:rPr>
        <w:t>4</w:t>
      </w:r>
      <w:r>
        <w:rPr>
          <w:rFonts w:hint="eastAsia" w:ascii="仿宋_GB2312" w:hAnsi="仿宋" w:eastAsia="仿宋_GB2312"/>
          <w:sz w:val="30"/>
          <w:szCs w:val="30"/>
          <w:highlight w:val="none"/>
          <w:lang w:eastAsia="zh-CN"/>
        </w:rPr>
        <w:t>日，后续期次在中标后1年内按需开班</w:t>
      </w:r>
      <w:r>
        <w:rPr>
          <w:rFonts w:hint="eastAsia" w:ascii="仿宋_GB2312" w:hAnsi="仿宋" w:eastAsia="仿宋_GB2312"/>
          <w:sz w:val="30"/>
          <w:szCs w:val="30"/>
          <w:highlight w:val="none"/>
          <w:lang w:val="en-US" w:eastAsia="zh-CN"/>
        </w:rPr>
        <w:t>。时间如有变化，</w:t>
      </w:r>
      <w:r>
        <w:rPr>
          <w:rFonts w:hint="eastAsia" w:ascii="仿宋_GB2312" w:hAnsi="仿宋" w:eastAsia="仿宋_GB2312"/>
          <w:sz w:val="30"/>
          <w:szCs w:val="30"/>
          <w:highlight w:val="none"/>
        </w:rPr>
        <w:t>以中标后约定时间为准。</w:t>
      </w:r>
    </w:p>
    <w:p w14:paraId="75B68F2C">
      <w:pPr>
        <w:pStyle w:val="10"/>
        <w:spacing w:line="500" w:lineRule="exact"/>
        <w:ind w:firstLine="600" w:firstLineChars="200"/>
        <w:jc w:val="both"/>
        <w:rPr>
          <w:rFonts w:ascii="仿宋_GB2312" w:hAnsi="仿宋" w:eastAsia="仿宋_GB2312" w:cs="Times New Roman"/>
          <w:sz w:val="30"/>
          <w:szCs w:val="30"/>
          <w:highlight w:val="none"/>
        </w:rPr>
      </w:pPr>
      <w:r>
        <w:rPr>
          <w:rFonts w:hint="eastAsia" w:ascii="仿宋_GB2312" w:hAnsi="仿宋" w:eastAsia="仿宋_GB2312"/>
          <w:sz w:val="30"/>
          <w:szCs w:val="30"/>
          <w:highlight w:val="none"/>
          <w:lang w:val="en-US" w:eastAsia="zh-CN"/>
        </w:rPr>
        <w:t>5.报价方式：电子报价，报价需在重汽e采通完成。</w:t>
      </w:r>
    </w:p>
    <w:p w14:paraId="6AD4FBD6">
      <w:pPr>
        <w:spacing w:line="500" w:lineRule="exact"/>
        <w:ind w:firstLine="600" w:firstLineChars="200"/>
        <w:jc w:val="both"/>
        <w:rPr>
          <w:rFonts w:ascii="仿宋_GB2312" w:hAnsi="仿宋" w:eastAsia="仿宋_GB2312"/>
          <w:sz w:val="30"/>
          <w:szCs w:val="30"/>
          <w:highlight w:val="none"/>
        </w:rPr>
      </w:pPr>
      <w:r>
        <w:rPr>
          <w:rFonts w:hint="eastAsia" w:ascii="仿宋_GB2312" w:hAnsi="仿宋" w:eastAsia="仿宋_GB2312"/>
          <w:sz w:val="30"/>
          <w:szCs w:val="30"/>
          <w:highlight w:val="none"/>
          <w:lang w:val="en-US" w:eastAsia="zh-CN"/>
        </w:rPr>
        <w:t>6</w:t>
      </w:r>
      <w:r>
        <w:rPr>
          <w:rFonts w:hint="eastAsia" w:ascii="仿宋_GB2312" w:hAnsi="仿宋" w:eastAsia="仿宋_GB2312"/>
          <w:sz w:val="30"/>
          <w:szCs w:val="30"/>
          <w:highlight w:val="none"/>
        </w:rPr>
        <w:t>.方案递交</w:t>
      </w:r>
      <w:r>
        <w:rPr>
          <w:rFonts w:hint="eastAsia" w:ascii="仿宋_GB2312" w:hAnsi="仿宋" w:eastAsia="仿宋_GB2312"/>
          <w:color w:val="000000"/>
          <w:sz w:val="30"/>
          <w:szCs w:val="30"/>
          <w:highlight w:val="none"/>
        </w:rPr>
        <w:t>：</w:t>
      </w:r>
      <w:r>
        <w:rPr>
          <w:rFonts w:hint="eastAsia" w:ascii="仿宋_GB2312" w:hAnsi="仿宋" w:eastAsia="仿宋_GB2312"/>
          <w:color w:val="000000"/>
          <w:sz w:val="30"/>
          <w:szCs w:val="30"/>
          <w:highlight w:val="none"/>
          <w:lang w:val="en-US" w:eastAsia="zh-CN"/>
        </w:rPr>
        <w:t>线上</w:t>
      </w:r>
      <w:r>
        <w:rPr>
          <w:rFonts w:hint="eastAsia" w:ascii="仿宋_GB2312" w:hAnsi="仿宋" w:eastAsia="仿宋_GB2312"/>
          <w:color w:val="000000"/>
          <w:sz w:val="30"/>
          <w:szCs w:val="30"/>
          <w:highlight w:val="none"/>
        </w:rPr>
        <w:t>提交方案</w:t>
      </w:r>
      <w:r>
        <w:rPr>
          <w:rFonts w:hint="eastAsia" w:ascii="仿宋_GB2312" w:hAnsi="仿宋" w:eastAsia="仿宋_GB2312"/>
          <w:sz w:val="30"/>
          <w:szCs w:val="30"/>
          <w:highlight w:val="none"/>
        </w:rPr>
        <w:t>。</w:t>
      </w:r>
    </w:p>
    <w:p w14:paraId="64826DE4">
      <w:pPr>
        <w:spacing w:line="500" w:lineRule="exact"/>
        <w:ind w:firstLine="600" w:firstLineChars="200"/>
        <w:jc w:val="both"/>
        <w:rPr>
          <w:rFonts w:ascii="仿宋_GB2312" w:hAnsi="仿宋" w:eastAsia="仿宋_GB2312"/>
          <w:sz w:val="30"/>
          <w:szCs w:val="30"/>
          <w:highlight w:val="none"/>
        </w:rPr>
      </w:pPr>
      <w:r>
        <w:rPr>
          <w:rFonts w:hint="eastAsia" w:ascii="仿宋_GB2312" w:hAnsi="仿宋" w:eastAsia="仿宋_GB2312"/>
          <w:sz w:val="30"/>
          <w:szCs w:val="30"/>
          <w:highlight w:val="none"/>
          <w:lang w:val="en-US" w:eastAsia="zh-CN"/>
        </w:rPr>
        <w:t>7</w:t>
      </w:r>
      <w:r>
        <w:rPr>
          <w:rFonts w:hint="eastAsia" w:ascii="仿宋_GB2312" w:hAnsi="仿宋" w:eastAsia="仿宋_GB2312"/>
          <w:sz w:val="30"/>
          <w:szCs w:val="30"/>
          <w:highlight w:val="none"/>
        </w:rPr>
        <w:t>.招标形式：公开招标。</w:t>
      </w:r>
    </w:p>
    <w:p w14:paraId="39A348A6">
      <w:pPr>
        <w:spacing w:line="500" w:lineRule="exact"/>
        <w:ind w:firstLine="600" w:firstLineChars="200"/>
        <w:jc w:val="both"/>
        <w:rPr>
          <w:rFonts w:ascii="仿宋_GB2312" w:hAnsi="仿宋" w:eastAsia="仿宋_GB2312"/>
          <w:sz w:val="30"/>
          <w:szCs w:val="30"/>
          <w:highlight w:val="none"/>
        </w:rPr>
      </w:pPr>
      <w:r>
        <w:rPr>
          <w:rFonts w:hint="eastAsia" w:ascii="仿宋_GB2312" w:hAnsi="仿宋" w:eastAsia="仿宋_GB2312"/>
          <w:sz w:val="30"/>
          <w:szCs w:val="30"/>
          <w:highlight w:val="none"/>
          <w:lang w:val="en-US" w:eastAsia="zh-CN"/>
        </w:rPr>
        <w:t>8</w:t>
      </w:r>
      <w:r>
        <w:rPr>
          <w:rFonts w:hint="eastAsia" w:ascii="仿宋_GB2312" w:hAnsi="仿宋" w:eastAsia="仿宋_GB2312"/>
          <w:sz w:val="30"/>
          <w:szCs w:val="30"/>
          <w:highlight w:val="none"/>
        </w:rPr>
        <w:t>.开标：</w:t>
      </w:r>
    </w:p>
    <w:p w14:paraId="5663DD11">
      <w:pPr>
        <w:spacing w:line="500" w:lineRule="exact"/>
        <w:ind w:firstLine="600" w:firstLineChars="200"/>
        <w:jc w:val="both"/>
        <w:rPr>
          <w:rFonts w:ascii="仿宋_GB2312" w:hAnsi="仿宋" w:eastAsia="仿宋_GB2312"/>
          <w:sz w:val="30"/>
          <w:szCs w:val="30"/>
          <w:highlight w:val="none"/>
        </w:rPr>
      </w:pPr>
      <w:r>
        <w:rPr>
          <w:rFonts w:hint="eastAsia" w:ascii="仿宋_GB2312" w:hAnsi="仿宋" w:eastAsia="仿宋_GB2312"/>
          <w:sz w:val="30"/>
          <w:szCs w:val="30"/>
          <w:highlight w:val="none"/>
        </w:rPr>
        <w:t>时间：2026年10月1</w:t>
      </w:r>
      <w:r>
        <w:rPr>
          <w:rFonts w:hint="eastAsia" w:ascii="仿宋_GB2312" w:hAnsi="仿宋" w:eastAsia="仿宋_GB2312"/>
          <w:sz w:val="30"/>
          <w:szCs w:val="30"/>
          <w:highlight w:val="none"/>
          <w:lang w:val="en-US" w:eastAsia="zh-CN"/>
        </w:rPr>
        <w:t>1</w:t>
      </w:r>
      <w:r>
        <w:rPr>
          <w:rFonts w:hint="eastAsia" w:ascii="仿宋_GB2312" w:hAnsi="仿宋" w:eastAsia="仿宋_GB2312"/>
          <w:sz w:val="30"/>
          <w:szCs w:val="30"/>
          <w:highlight w:val="none"/>
        </w:rPr>
        <w:t>日。</w:t>
      </w:r>
    </w:p>
    <w:p w14:paraId="17690130">
      <w:pPr>
        <w:spacing w:line="500" w:lineRule="exact"/>
        <w:ind w:firstLine="600" w:firstLineChars="200"/>
        <w:jc w:val="both"/>
        <w:rPr>
          <w:rFonts w:ascii="仿宋_GB2312" w:hAnsi="仿宋" w:eastAsia="仿宋_GB2312"/>
          <w:sz w:val="30"/>
          <w:szCs w:val="30"/>
          <w:highlight w:val="none"/>
        </w:rPr>
      </w:pPr>
      <w:r>
        <w:rPr>
          <w:rFonts w:hint="eastAsia" w:ascii="仿宋_GB2312" w:hAnsi="仿宋" w:eastAsia="仿宋_GB2312"/>
          <w:sz w:val="30"/>
          <w:szCs w:val="30"/>
          <w:highlight w:val="none"/>
        </w:rPr>
        <w:t>地点：</w:t>
      </w:r>
      <w:r>
        <w:rPr>
          <w:rFonts w:hint="eastAsia" w:ascii="仿宋_GB2312" w:hAnsi="仿宋" w:eastAsia="仿宋_GB2312"/>
          <w:sz w:val="30"/>
          <w:szCs w:val="30"/>
          <w:highlight w:val="none"/>
          <w:lang w:val="en-US" w:eastAsia="zh-CN"/>
        </w:rPr>
        <w:t>线上开标</w:t>
      </w:r>
      <w:r>
        <w:rPr>
          <w:rFonts w:hint="eastAsia" w:ascii="仿宋_GB2312" w:hAnsi="仿宋" w:eastAsia="仿宋_GB2312"/>
          <w:sz w:val="30"/>
          <w:szCs w:val="30"/>
          <w:highlight w:val="none"/>
        </w:rPr>
        <w:t>。</w:t>
      </w:r>
    </w:p>
    <w:p w14:paraId="0CC466BC">
      <w:pPr>
        <w:spacing w:line="500" w:lineRule="exact"/>
        <w:ind w:firstLine="600" w:firstLineChars="200"/>
        <w:jc w:val="both"/>
        <w:rPr>
          <w:rFonts w:hint="eastAsia" w:ascii="仿宋_GB2312" w:hAnsi="仿宋" w:eastAsia="仿宋_GB2312"/>
          <w:sz w:val="30"/>
          <w:szCs w:val="30"/>
          <w:highlight w:val="none"/>
        </w:rPr>
      </w:pPr>
      <w:r>
        <w:rPr>
          <w:rFonts w:hint="eastAsia" w:ascii="仿宋_GB2312" w:hAnsi="仿宋" w:eastAsia="仿宋_GB2312"/>
          <w:sz w:val="30"/>
          <w:szCs w:val="30"/>
          <w:highlight w:val="none"/>
          <w:lang w:val="en-US" w:eastAsia="zh-CN"/>
        </w:rPr>
        <w:t>9</w:t>
      </w:r>
      <w:r>
        <w:rPr>
          <w:rFonts w:hint="eastAsia" w:ascii="仿宋_GB2312" w:hAnsi="仿宋" w:eastAsia="仿宋_GB2312"/>
          <w:sz w:val="30"/>
          <w:szCs w:val="30"/>
          <w:highlight w:val="none"/>
        </w:rPr>
        <w:t>.联系人：</w:t>
      </w:r>
    </w:p>
    <w:p w14:paraId="33DEBB14">
      <w:pPr>
        <w:pageBreakBefore w:val="0"/>
        <w:kinsoku/>
        <w:wordWrap/>
        <w:overflowPunct/>
        <w:topLinePunct w:val="0"/>
        <w:bidi w:val="0"/>
        <w:spacing w:line="520" w:lineRule="exact"/>
        <w:ind w:firstLine="600" w:firstLineChars="200"/>
        <w:jc w:val="left"/>
        <w:textAlignment w:val="auto"/>
        <w:rPr>
          <w:rFonts w:hint="eastAsia" w:ascii="仿宋_GB2312" w:hAnsi="仿宋_GB2312" w:eastAsia="仿宋_GB2312" w:cs="仿宋_GB2312"/>
          <w:sz w:val="30"/>
          <w:szCs w:val="30"/>
          <w:highlight w:val="none"/>
        </w:rPr>
      </w:pPr>
      <w:r>
        <w:rPr>
          <w:rFonts w:hint="eastAsia" w:ascii="仿宋_GB2312" w:hAnsi="仿宋" w:eastAsia="仿宋_GB2312"/>
          <w:sz w:val="30"/>
          <w:szCs w:val="30"/>
          <w:highlight w:val="none"/>
          <w:lang w:val="en-US" w:eastAsia="zh-CN"/>
        </w:rPr>
        <w:t>赵  蒙</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lang w:val="en-US" w:eastAsia="zh-CN"/>
        </w:rPr>
        <w:t>15253183290</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邮箱</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color w:val="auto"/>
          <w:sz w:val="30"/>
          <w:szCs w:val="30"/>
          <w:highlight w:val="none"/>
          <w:u w:val="none"/>
        </w:rPr>
        <w:t>zhaomeng@sinotruk.com</w:t>
      </w:r>
    </w:p>
    <w:p w14:paraId="00C14506">
      <w:pPr>
        <w:keepNext w:val="0"/>
        <w:keepLines w:val="0"/>
        <w:pageBreakBefore w:val="0"/>
        <w:kinsoku/>
        <w:wordWrap/>
        <w:overflowPunct/>
        <w:topLinePunct w:val="0"/>
        <w:autoSpaceDE/>
        <w:autoSpaceDN/>
        <w:bidi w:val="0"/>
        <w:adjustRightInd/>
        <w:snapToGrid/>
        <w:spacing w:line="520" w:lineRule="exact"/>
        <w:ind w:firstLine="600" w:firstLineChars="200"/>
        <w:jc w:val="left"/>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高鲲鹏，15854763969，邮箱：1215284973@qq.com</w:t>
      </w:r>
    </w:p>
    <w:p w14:paraId="15DF14BE">
      <w:pPr>
        <w:spacing w:line="500" w:lineRule="exact"/>
        <w:ind w:firstLine="600" w:firstLineChars="200"/>
        <w:jc w:val="both"/>
        <w:rPr>
          <w:rFonts w:hint="eastAsia" w:ascii="仿宋_GB2312" w:hAnsi="仿宋" w:eastAsia="仿宋_GB2312"/>
          <w:sz w:val="30"/>
          <w:szCs w:val="30"/>
          <w:highlight w:val="none"/>
        </w:rPr>
      </w:pPr>
      <w:r>
        <w:rPr>
          <w:rFonts w:hint="eastAsia" w:ascii="仿宋_GB2312" w:hAnsi="仿宋" w:eastAsia="仿宋_GB2312"/>
          <w:sz w:val="30"/>
          <w:szCs w:val="30"/>
          <w:highlight w:val="none"/>
          <w:lang w:val="en-US" w:eastAsia="zh-CN"/>
        </w:rPr>
        <w:t>10</w:t>
      </w:r>
      <w:r>
        <w:rPr>
          <w:rFonts w:hint="eastAsia" w:ascii="仿宋_GB2312" w:hAnsi="仿宋" w:eastAsia="仿宋_GB2312"/>
          <w:sz w:val="30"/>
          <w:szCs w:val="30"/>
          <w:highlight w:val="none"/>
        </w:rPr>
        <w:t>.答疑方式：线上答疑。</w:t>
      </w:r>
    </w:p>
    <w:p w14:paraId="203C4071">
      <w:pPr>
        <w:spacing w:line="500" w:lineRule="exact"/>
        <w:ind w:firstLine="602" w:firstLineChars="200"/>
        <w:jc w:val="left"/>
        <w:outlineLvl w:val="0"/>
        <w:rPr>
          <w:rFonts w:ascii="黑体" w:hAnsi="黑体" w:eastAsia="黑体" w:cs="黑体"/>
          <w:b/>
          <w:bCs/>
          <w:sz w:val="30"/>
          <w:szCs w:val="30"/>
          <w:highlight w:val="none"/>
        </w:rPr>
      </w:pPr>
      <w:bookmarkStart w:id="2" w:name="_Toc5871"/>
      <w:bookmarkStart w:id="3" w:name="_Toc26596"/>
      <w:r>
        <w:rPr>
          <w:rFonts w:hint="eastAsia" w:ascii="黑体" w:hAnsi="黑体" w:eastAsia="黑体" w:cs="黑体"/>
          <w:b/>
          <w:bCs/>
          <w:sz w:val="30"/>
          <w:szCs w:val="30"/>
          <w:highlight w:val="none"/>
        </w:rPr>
        <w:t>二、投标人资格条件及要求</w:t>
      </w:r>
      <w:bookmarkEnd w:id="2"/>
      <w:bookmarkEnd w:id="3"/>
    </w:p>
    <w:p w14:paraId="5997C4F5">
      <w:pPr>
        <w:pStyle w:val="10"/>
        <w:spacing w:line="500" w:lineRule="exact"/>
        <w:ind w:firstLine="600" w:firstLineChars="200"/>
        <w:rPr>
          <w:rFonts w:hint="eastAsia"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1.所有拟投标人需满足以下条件：</w:t>
      </w:r>
    </w:p>
    <w:p w14:paraId="080A703A">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（1）投标人是企业法人的，必须是在中华人民共和国境内注册的独立法人机构，具有独立承担民事责任能力，</w:t>
      </w:r>
      <w:r>
        <w:rPr>
          <w:rFonts w:hint="eastAsia" w:ascii="黑体" w:hAnsi="黑体" w:eastAsia="黑体" w:cs="黑体"/>
          <w:b/>
          <w:bCs/>
          <w:sz w:val="30"/>
          <w:szCs w:val="30"/>
          <w:highlight w:val="none"/>
        </w:rPr>
        <w:t>原则上投标人注册资金不得低于项目标的额或不低于</w:t>
      </w:r>
      <w:r>
        <w:rPr>
          <w:rFonts w:hint="eastAsia" w:ascii="黑体" w:hAnsi="黑体" w:eastAsia="黑体" w:cs="黑体"/>
          <w:b/>
          <w:bCs/>
          <w:sz w:val="30"/>
          <w:szCs w:val="30"/>
          <w:highlight w:val="none"/>
          <w:lang w:val="en-US" w:eastAsia="zh-CN"/>
        </w:rPr>
        <w:t>5</w:t>
      </w:r>
      <w:r>
        <w:rPr>
          <w:rFonts w:hint="eastAsia" w:ascii="黑体" w:hAnsi="黑体" w:eastAsia="黑体" w:cs="黑体"/>
          <w:b/>
          <w:bCs/>
          <w:sz w:val="30"/>
          <w:szCs w:val="30"/>
          <w:highlight w:val="none"/>
        </w:rPr>
        <w:t>00万元；公司成立三年以上（以营业执照成立日期到开标当日满三年为准）</w:t>
      </w:r>
      <w:r>
        <w:rPr>
          <w:rFonts w:hint="eastAsia" w:ascii="仿宋_GB2312" w:hAnsi="仿宋" w:eastAsia="仿宋_GB2312" w:cs="Times New Roman"/>
          <w:sz w:val="30"/>
          <w:szCs w:val="30"/>
          <w:highlight w:val="none"/>
        </w:rPr>
        <w:t>；且经营范围满足招标人需求；并在人员、设备、资金等方面具有承担本项目的能力；投标人是事业单位和社会团体及其分支机构，且经营范围满足招标方需求并在人员、设备、资金等方面具有承担本项目的能力的，可不受注册资金和成立时间限制；</w:t>
      </w:r>
    </w:p>
    <w:p w14:paraId="12A4AAC1">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（2）投标人应遵守《中华人民共和国招投标法》及有关的法律和法规。具备独立法人资格，具有独立承担民事责任能力、良好的财务状况并具有一定的垫资能力，能切实履行合同。</w:t>
      </w:r>
    </w:p>
    <w:p w14:paraId="684F2CDF">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（3）投标人在国家企业信用信息公示系统中有不良记录、近三年的公司财务报表异常、存在与本项目有关的违法及严重违规或被列入招标人“黑名单”的，招标人有权取消其投标资格。</w:t>
      </w:r>
    </w:p>
    <w:p w14:paraId="1525B2A4">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（4）投标人应有相关或类似培训项目策划执行实施经验，具有良好的风险应对能力，能够认可招标人的工作指令，包括节假日能正常开展工作等要求，并在</w:t>
      </w:r>
      <w:r>
        <w:rPr>
          <w:rFonts w:hint="eastAsia" w:ascii="仿宋_GB2312" w:hAnsi="仿宋" w:eastAsia="仿宋_GB2312" w:cs="Times New Roman"/>
          <w:sz w:val="30"/>
          <w:szCs w:val="30"/>
          <w:highlight w:val="none"/>
          <w:lang w:val="en-US" w:eastAsia="zh-CN"/>
        </w:rPr>
        <w:t>投标前上传</w:t>
      </w:r>
      <w:r>
        <w:rPr>
          <w:rFonts w:hint="eastAsia" w:ascii="仿宋_GB2312" w:hAnsi="仿宋" w:eastAsia="仿宋_GB2312" w:cs="Times New Roman"/>
          <w:sz w:val="30"/>
          <w:szCs w:val="30"/>
          <w:highlight w:val="none"/>
        </w:rPr>
        <w:t>以往项目策划执行资料、企业资信材料、财务报表及完税证明等备查；</w:t>
      </w:r>
    </w:p>
    <w:p w14:paraId="7F53FCBD">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（5）资格审查方式：</w:t>
      </w:r>
      <w:r>
        <w:rPr>
          <w:rFonts w:hint="eastAsia" w:ascii="仿宋_GB2312" w:hAnsi="仿宋" w:eastAsia="仿宋_GB2312" w:cs="Times New Roman"/>
          <w:sz w:val="30"/>
          <w:szCs w:val="30"/>
          <w:highlight w:val="none"/>
          <w:lang w:val="en-US" w:eastAsia="zh-CN"/>
        </w:rPr>
        <w:t>采用</w:t>
      </w:r>
      <w:r>
        <w:rPr>
          <w:rFonts w:hint="eastAsia" w:ascii="仿宋_GB2312" w:hAnsi="仿宋" w:eastAsia="仿宋_GB2312" w:cs="Times New Roman"/>
          <w:sz w:val="30"/>
          <w:szCs w:val="30"/>
          <w:highlight w:val="none"/>
        </w:rPr>
        <w:t>资格</w:t>
      </w:r>
      <w:r>
        <w:rPr>
          <w:rFonts w:hint="eastAsia" w:ascii="仿宋_GB2312" w:hAnsi="仿宋" w:eastAsia="仿宋_GB2312" w:cs="Times New Roman"/>
          <w:sz w:val="30"/>
          <w:szCs w:val="30"/>
          <w:highlight w:val="none"/>
          <w:lang w:val="en-US" w:eastAsia="zh-CN"/>
        </w:rPr>
        <w:t>预</w:t>
      </w:r>
      <w:r>
        <w:rPr>
          <w:rFonts w:hint="eastAsia" w:ascii="仿宋_GB2312" w:hAnsi="仿宋" w:eastAsia="仿宋_GB2312" w:cs="Times New Roman"/>
          <w:sz w:val="30"/>
          <w:szCs w:val="30"/>
          <w:highlight w:val="none"/>
        </w:rPr>
        <w:t>审</w:t>
      </w:r>
      <w:r>
        <w:rPr>
          <w:rFonts w:hint="eastAsia" w:ascii="仿宋_GB2312" w:hAnsi="仿宋" w:eastAsia="仿宋_GB2312" w:cs="Times New Roman"/>
          <w:sz w:val="30"/>
          <w:szCs w:val="30"/>
          <w:highlight w:val="none"/>
          <w:lang w:eastAsia="zh-CN"/>
        </w:rPr>
        <w:t>，</w:t>
      </w:r>
      <w:r>
        <w:rPr>
          <w:rFonts w:hint="eastAsia" w:ascii="仿宋_GB2312" w:hAnsi="仿宋" w:eastAsia="仿宋_GB2312" w:cs="Times New Roman"/>
          <w:sz w:val="30"/>
          <w:szCs w:val="30"/>
          <w:highlight w:val="none"/>
        </w:rPr>
        <w:t>合格制</w:t>
      </w:r>
      <w:r>
        <w:rPr>
          <w:rFonts w:hint="eastAsia" w:ascii="仿宋_GB2312" w:hAnsi="仿宋" w:eastAsia="仿宋_GB2312" w:cs="Times New Roman"/>
          <w:sz w:val="30"/>
          <w:szCs w:val="30"/>
          <w:highlight w:val="none"/>
          <w:lang w:eastAsia="zh-CN"/>
        </w:rPr>
        <w:t>。</w:t>
      </w:r>
      <w:r>
        <w:rPr>
          <w:rFonts w:hint="eastAsia" w:ascii="仿宋_GB2312" w:hAnsi="仿宋" w:eastAsia="仿宋_GB2312" w:cs="Times New Roman"/>
          <w:sz w:val="30"/>
          <w:szCs w:val="30"/>
          <w:highlight w:val="none"/>
          <w:lang w:val="en-US" w:eastAsia="zh-CN"/>
        </w:rPr>
        <w:t>项目发标后，拟投标人须先应标，招标工作组通过重汽e采通对应标人进行资质审核，审核通过后方可投标</w:t>
      </w:r>
      <w:r>
        <w:rPr>
          <w:rFonts w:hint="eastAsia" w:ascii="仿宋_GB2312" w:hAnsi="仿宋" w:eastAsia="仿宋_GB2312" w:cs="Times New Roman"/>
          <w:sz w:val="30"/>
          <w:szCs w:val="30"/>
          <w:highlight w:val="none"/>
        </w:rPr>
        <w:t>。</w:t>
      </w:r>
    </w:p>
    <w:p w14:paraId="3E2C893B">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投标人须知：应明确要求投标人提供</w:t>
      </w:r>
    </w:p>
    <w:p w14:paraId="36B47251">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 xml:space="preserve">①经会计师事务所审计且出具无保留意见的近三年的财务审计报告，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 </w:t>
      </w:r>
    </w:p>
    <w:p w14:paraId="42FCA0EF">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 xml:space="preserve">②企业最近半年完税证明、信用证明材料（中国人民银行信用代码证+征信报告）； </w:t>
      </w:r>
    </w:p>
    <w:p w14:paraId="640E3028">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 xml:space="preserve">③年度纳税信用评价信息（可从电子税务局查询截图，需加盖公章）； </w:t>
      </w:r>
    </w:p>
    <w:p w14:paraId="5EB07F71">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④企业对外担保说明（写明贵单位对外有无对外担保和质押业务，需加盖公章）。</w:t>
      </w:r>
    </w:p>
    <w:p w14:paraId="477C41A8">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2.投标人对课程材料拥有合法的知识产权或具有合法的来源，有关知识产权中不存在任何侵犯第三方的权益。</w:t>
      </w:r>
    </w:p>
    <w:p w14:paraId="0C0E0EA8">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 xml:space="preserve">3.投标方的直接或间接股东、法定代表人、董事、监事、高管非重汽员工及其亲属。 </w:t>
      </w:r>
    </w:p>
    <w:p w14:paraId="0D2614DB">
      <w:pPr>
        <w:spacing w:line="500" w:lineRule="exact"/>
        <w:ind w:firstLine="602" w:firstLineChars="200"/>
        <w:jc w:val="left"/>
        <w:outlineLvl w:val="0"/>
        <w:rPr>
          <w:rFonts w:ascii="黑体" w:hAnsi="黑体" w:eastAsia="黑体" w:cs="黑体"/>
          <w:b/>
          <w:bCs/>
          <w:sz w:val="30"/>
          <w:szCs w:val="30"/>
          <w:highlight w:val="none"/>
        </w:rPr>
      </w:pPr>
      <w:bookmarkStart w:id="4" w:name="_Toc13801"/>
      <w:bookmarkStart w:id="5" w:name="_Toc25722"/>
      <w:r>
        <w:rPr>
          <w:rFonts w:hint="eastAsia" w:ascii="黑体" w:hAnsi="黑体" w:eastAsia="黑体" w:cs="黑体"/>
          <w:b/>
          <w:bCs/>
          <w:sz w:val="30"/>
          <w:szCs w:val="30"/>
          <w:highlight w:val="none"/>
        </w:rPr>
        <w:t>三、投标说明</w:t>
      </w:r>
      <w:bookmarkEnd w:id="4"/>
      <w:bookmarkEnd w:id="5"/>
    </w:p>
    <w:p w14:paraId="72AF01E9">
      <w:pPr>
        <w:pStyle w:val="39"/>
        <w:spacing w:line="500" w:lineRule="exact"/>
        <w:ind w:firstLine="602"/>
        <w:outlineLvl w:val="1"/>
        <w:rPr>
          <w:rFonts w:ascii="楷体_GB2312" w:hAnsi="楷体_GB2312" w:eastAsia="楷体_GB2312" w:cs="楷体_GB2312"/>
          <w:sz w:val="30"/>
          <w:szCs w:val="30"/>
          <w:highlight w:val="none"/>
        </w:rPr>
      </w:pPr>
      <w:r>
        <w:rPr>
          <w:rFonts w:hint="eastAsia" w:ascii="楷体_GB2312" w:hAnsi="楷体_GB2312" w:eastAsia="楷体_GB2312" w:cs="楷体_GB2312"/>
          <w:sz w:val="30"/>
          <w:szCs w:val="30"/>
          <w:highlight w:val="none"/>
        </w:rPr>
        <w:t>1.招标文件获取</w:t>
      </w:r>
    </w:p>
    <w:p w14:paraId="5FA50563">
      <w:pPr>
        <w:pageBreakBefore w:val="0"/>
        <w:kinsoku/>
        <w:wordWrap/>
        <w:overflowPunct/>
        <w:topLinePunct w:val="0"/>
        <w:bidi w:val="0"/>
        <w:spacing w:line="520" w:lineRule="exact"/>
        <w:ind w:firstLine="600" w:firstLineChars="200"/>
        <w:jc w:val="distribute"/>
        <w:textAlignment w:val="auto"/>
        <w:rPr>
          <w:rFonts w:hint="eastAsia" w:ascii="仿宋_GB2312" w:hAnsi="黑体" w:eastAsia="仿宋_GB2312"/>
          <w:sz w:val="30"/>
          <w:szCs w:val="30"/>
          <w:highlight w:val="none"/>
        </w:rPr>
      </w:pPr>
      <w:r>
        <w:rPr>
          <w:rFonts w:hint="eastAsia" w:ascii="仿宋_GB2312" w:hAnsi="黑体" w:eastAsia="仿宋_GB2312"/>
          <w:sz w:val="30"/>
          <w:szCs w:val="30"/>
          <w:highlight w:val="none"/>
        </w:rPr>
        <w:t>招标人将本项目招标文件公布至重汽e采通平台</w:t>
      </w:r>
      <w:r>
        <w:rPr>
          <w:rFonts w:hint="eastAsia" w:ascii="仿宋_GB2312" w:hAnsi="黑体" w:eastAsia="仿宋_GB2312"/>
          <w:sz w:val="30"/>
          <w:szCs w:val="30"/>
          <w:highlight w:val="none"/>
          <w:lang w:val="en-US" w:eastAsia="zh-CN"/>
        </w:rPr>
        <w:t>和山东省阳光采购服务平台</w:t>
      </w:r>
      <w:r>
        <w:rPr>
          <w:rFonts w:hint="eastAsia" w:ascii="仿宋_GB2312" w:hAnsi="黑体" w:eastAsia="仿宋_GB2312"/>
          <w:sz w:val="30"/>
          <w:szCs w:val="30"/>
          <w:highlight w:val="none"/>
        </w:rPr>
        <w:t>，地址如下：</w:t>
      </w:r>
      <w:r>
        <w:rPr>
          <w:rFonts w:hint="eastAsia" w:ascii="仿宋_GB2312" w:hAnsi="黑体" w:eastAsia="仿宋_GB2312"/>
          <w:color w:val="auto"/>
          <w:sz w:val="30"/>
          <w:szCs w:val="30"/>
          <w:highlight w:val="none"/>
          <w:u w:val="none"/>
        </w:rPr>
        <w:t>https://ecaitong.</w:t>
      </w:r>
      <w:r>
        <w:rPr>
          <w:rFonts w:hint="eastAsia" w:ascii="仿宋_GB2312" w:hAnsi="黑体" w:eastAsia="仿宋_GB2312"/>
          <w:sz w:val="30"/>
          <w:szCs w:val="30"/>
          <w:highlight w:val="none"/>
        </w:rPr>
        <w:t>sinotruk.com:8012/#/</w:t>
      </w:r>
    </w:p>
    <w:p w14:paraId="6FBD272B">
      <w:pPr>
        <w:pageBreakBefore w:val="0"/>
        <w:kinsoku/>
        <w:wordWrap/>
        <w:overflowPunct/>
        <w:topLinePunct w:val="0"/>
        <w:bidi w:val="0"/>
        <w:spacing w:line="520" w:lineRule="exact"/>
        <w:jc w:val="left"/>
        <w:textAlignment w:val="auto"/>
        <w:rPr>
          <w:rFonts w:ascii="仿宋_GB2312" w:hAnsi="仿宋" w:eastAsia="仿宋_GB2312"/>
          <w:sz w:val="30"/>
          <w:szCs w:val="30"/>
          <w:highlight w:val="none"/>
        </w:rPr>
      </w:pPr>
      <w:r>
        <w:rPr>
          <w:rFonts w:hint="eastAsia" w:ascii="仿宋_GB2312" w:hAnsi="黑体" w:eastAsia="仿宋_GB2312"/>
          <w:sz w:val="30"/>
          <w:szCs w:val="30"/>
          <w:highlight w:val="none"/>
        </w:rPr>
        <w:t>login</w:t>
      </w:r>
      <w:r>
        <w:rPr>
          <w:rFonts w:hint="eastAsia" w:ascii="仿宋_GB2312" w:hAnsi="仿宋" w:eastAsia="仿宋_GB2312"/>
          <w:sz w:val="30"/>
          <w:szCs w:val="30"/>
          <w:highlight w:val="none"/>
        </w:rPr>
        <w:t>。投标人需注册后获取招标文件。具体操作详看</w:t>
      </w:r>
      <w:r>
        <w:rPr>
          <w:rFonts w:hint="eastAsia" w:ascii="仿宋_GB2312" w:hAnsi="仿宋" w:eastAsia="仿宋_GB2312"/>
          <w:sz w:val="30"/>
          <w:szCs w:val="30"/>
          <w:highlight w:val="none"/>
          <w:lang w:val="en-US" w:eastAsia="zh-CN"/>
        </w:rPr>
        <w:t>招标文件末尾后</w:t>
      </w:r>
      <w:r>
        <w:rPr>
          <w:rFonts w:hint="eastAsia" w:ascii="仿宋_GB2312" w:hAnsi="仿宋" w:eastAsia="仿宋_GB2312"/>
          <w:sz w:val="30"/>
          <w:szCs w:val="30"/>
          <w:highlight w:val="none"/>
        </w:rPr>
        <w:t>附件。</w:t>
      </w:r>
    </w:p>
    <w:p w14:paraId="67107E3A">
      <w:pPr>
        <w:pStyle w:val="39"/>
        <w:spacing w:line="500" w:lineRule="exact"/>
        <w:ind w:firstLine="602"/>
        <w:outlineLvl w:val="1"/>
        <w:rPr>
          <w:rFonts w:ascii="楷体_GB2312" w:hAnsi="楷体_GB2312" w:eastAsia="楷体_GB2312" w:cs="楷体_GB2312"/>
          <w:sz w:val="30"/>
          <w:szCs w:val="30"/>
          <w:highlight w:val="none"/>
        </w:rPr>
      </w:pPr>
      <w:r>
        <w:rPr>
          <w:rFonts w:hint="eastAsia" w:ascii="楷体_GB2312" w:hAnsi="楷体_GB2312" w:eastAsia="楷体_GB2312" w:cs="楷体_GB2312"/>
          <w:sz w:val="30"/>
          <w:szCs w:val="30"/>
          <w:highlight w:val="none"/>
        </w:rPr>
        <w:t>2.报名方式</w:t>
      </w:r>
    </w:p>
    <w:p w14:paraId="10469987">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投标人根据招标人</w:t>
      </w:r>
      <w:r>
        <w:rPr>
          <w:rFonts w:hint="eastAsia" w:ascii="仿宋_GB2312" w:hAnsi="黑体" w:eastAsia="仿宋_GB2312"/>
          <w:sz w:val="30"/>
          <w:szCs w:val="30"/>
          <w:highlight w:val="none"/>
          <w:lang w:val="en-US" w:eastAsia="zh-CN"/>
        </w:rPr>
        <w:t>在中国重汽官网和山东省阳光采购服务平台</w:t>
      </w:r>
      <w:r>
        <w:rPr>
          <w:rFonts w:hint="eastAsia" w:ascii="仿宋_GB2312" w:hAnsi="仿宋" w:eastAsia="仿宋_GB2312" w:cs="Times New Roman"/>
          <w:sz w:val="30"/>
          <w:szCs w:val="30"/>
          <w:highlight w:val="none"/>
        </w:rPr>
        <w:t>上发布的招标信息，在“中国重汽e采通”平台报名。按照中国重汽e采通“SRM非生产供应商注册手册”进行注册，注册时请填写：项目名称和项目编号，供货类别选择“非生产招标/服务/培训教学”。其他的据实填写。</w:t>
      </w:r>
    </w:p>
    <w:p w14:paraId="56AA5C6F">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注册完成后登录“e采通平台”进入“供应商应标”，选择对应的项目，点击“应标”后按照投标文件组成资格证明文件要求准备资料并上传，资质审查通过即为报名成功；公示期间请尽快应标。</w:t>
      </w:r>
    </w:p>
    <w:p w14:paraId="6B31F87F">
      <w:pPr>
        <w:pStyle w:val="10"/>
        <w:spacing w:line="500" w:lineRule="exact"/>
        <w:ind w:firstLine="600" w:firstLineChars="200"/>
        <w:rPr>
          <w:rFonts w:ascii="仿宋_GB2312" w:hAnsi="仿宋" w:eastAsia="仿宋_GB2312" w:cs="Times New Roman"/>
          <w:color w:val="000000"/>
          <w:sz w:val="30"/>
          <w:szCs w:val="30"/>
          <w:highlight w:val="none"/>
        </w:rPr>
      </w:pPr>
      <w:r>
        <w:rPr>
          <w:rFonts w:hint="eastAsia" w:ascii="仿宋_GB2312" w:hAnsi="仿宋" w:eastAsia="仿宋_GB2312" w:cs="Times New Roman"/>
          <w:color w:val="000000"/>
          <w:sz w:val="30"/>
          <w:szCs w:val="30"/>
          <w:highlight w:val="none"/>
        </w:rPr>
        <w:t>（1）发标时间：2026年9月</w:t>
      </w:r>
      <w:r>
        <w:rPr>
          <w:rFonts w:hint="eastAsia" w:ascii="仿宋_GB2312" w:hAnsi="仿宋" w:eastAsia="仿宋_GB2312" w:cs="Times New Roman"/>
          <w:color w:val="000000"/>
          <w:sz w:val="30"/>
          <w:szCs w:val="30"/>
          <w:highlight w:val="none"/>
          <w:lang w:val="en-US" w:eastAsia="zh-CN"/>
        </w:rPr>
        <w:t>30</w:t>
      </w:r>
      <w:r>
        <w:rPr>
          <w:rFonts w:hint="eastAsia" w:ascii="仿宋_GB2312" w:hAnsi="仿宋" w:eastAsia="仿宋_GB2312" w:cs="Times New Roman"/>
          <w:color w:val="000000"/>
          <w:sz w:val="30"/>
          <w:szCs w:val="30"/>
          <w:highlight w:val="none"/>
        </w:rPr>
        <w:t>日；</w:t>
      </w:r>
    </w:p>
    <w:p w14:paraId="70C5C249">
      <w:pPr>
        <w:pStyle w:val="10"/>
        <w:spacing w:line="500" w:lineRule="exact"/>
        <w:ind w:firstLine="600" w:firstLineChars="200"/>
        <w:rPr>
          <w:rFonts w:ascii="仿宋_GB2312" w:hAnsi="仿宋" w:eastAsia="仿宋_GB2312" w:cs="Times New Roman"/>
          <w:color w:val="000000"/>
          <w:sz w:val="30"/>
          <w:szCs w:val="30"/>
          <w:highlight w:val="none"/>
        </w:rPr>
      </w:pPr>
      <w:r>
        <w:rPr>
          <w:rFonts w:hint="eastAsia" w:ascii="仿宋_GB2312" w:hAnsi="仿宋" w:eastAsia="仿宋_GB2312" w:cs="Times New Roman"/>
          <w:color w:val="000000"/>
          <w:sz w:val="30"/>
          <w:szCs w:val="30"/>
          <w:highlight w:val="none"/>
        </w:rPr>
        <w:t>（2）应标截止时间：2026年</w:t>
      </w:r>
      <w:r>
        <w:rPr>
          <w:rFonts w:hint="eastAsia" w:ascii="仿宋_GB2312" w:hAnsi="仿宋" w:eastAsia="仿宋_GB2312" w:cs="Times New Roman"/>
          <w:color w:val="000000"/>
          <w:sz w:val="30"/>
          <w:szCs w:val="30"/>
          <w:highlight w:val="none"/>
          <w:lang w:val="en-US" w:eastAsia="zh-CN"/>
        </w:rPr>
        <w:t>10</w:t>
      </w:r>
      <w:r>
        <w:rPr>
          <w:rFonts w:hint="eastAsia" w:ascii="仿宋_GB2312" w:hAnsi="仿宋" w:eastAsia="仿宋_GB2312" w:cs="Times New Roman"/>
          <w:color w:val="000000"/>
          <w:sz w:val="30"/>
          <w:szCs w:val="30"/>
          <w:highlight w:val="none"/>
        </w:rPr>
        <w:t>月</w:t>
      </w:r>
      <w:r>
        <w:rPr>
          <w:rFonts w:hint="eastAsia" w:ascii="仿宋_GB2312" w:hAnsi="仿宋" w:eastAsia="仿宋_GB2312" w:cs="Times New Roman"/>
          <w:color w:val="000000"/>
          <w:sz w:val="30"/>
          <w:szCs w:val="30"/>
          <w:highlight w:val="none"/>
          <w:lang w:val="en-US" w:eastAsia="zh-CN"/>
        </w:rPr>
        <w:t>5</w:t>
      </w:r>
      <w:r>
        <w:rPr>
          <w:rFonts w:hint="eastAsia" w:ascii="仿宋_GB2312" w:hAnsi="仿宋" w:eastAsia="仿宋_GB2312" w:cs="Times New Roman"/>
          <w:color w:val="000000"/>
          <w:sz w:val="30"/>
          <w:szCs w:val="30"/>
          <w:highlight w:val="none"/>
        </w:rPr>
        <w:t>日；</w:t>
      </w:r>
    </w:p>
    <w:p w14:paraId="54A8A5F6">
      <w:pPr>
        <w:pStyle w:val="10"/>
        <w:spacing w:line="500" w:lineRule="exact"/>
        <w:ind w:firstLine="600" w:firstLineChars="200"/>
        <w:rPr>
          <w:rFonts w:ascii="仿宋_GB2312" w:hAnsi="仿宋" w:eastAsia="仿宋_GB2312" w:cs="Times New Roman"/>
          <w:color w:val="000000"/>
          <w:sz w:val="30"/>
          <w:szCs w:val="30"/>
          <w:highlight w:val="none"/>
        </w:rPr>
      </w:pPr>
      <w:r>
        <w:rPr>
          <w:rFonts w:hint="eastAsia" w:ascii="仿宋_GB2312" w:hAnsi="仿宋" w:eastAsia="仿宋_GB2312" w:cs="Times New Roman"/>
          <w:color w:val="000000"/>
          <w:sz w:val="30"/>
          <w:szCs w:val="30"/>
          <w:highlight w:val="none"/>
        </w:rPr>
        <w:t>（3）答疑时间：如果投标人对招标文件商务部分、技术部分有疑问，请各投标人在答疑环节提出。提交疑问时间：2026年10月3日17:00前；提交疑问方式：将答疑问题以word文件格式发送。</w:t>
      </w:r>
    </w:p>
    <w:p w14:paraId="13525A79">
      <w:pPr>
        <w:pStyle w:val="39"/>
        <w:spacing w:line="500" w:lineRule="exact"/>
        <w:ind w:firstLine="602"/>
        <w:outlineLvl w:val="1"/>
        <w:rPr>
          <w:rFonts w:ascii="楷体_GB2312" w:hAnsi="楷体_GB2312" w:eastAsia="楷体_GB2312" w:cs="楷体_GB2312"/>
          <w:sz w:val="30"/>
          <w:szCs w:val="30"/>
          <w:highlight w:val="none"/>
        </w:rPr>
      </w:pPr>
      <w:r>
        <w:rPr>
          <w:rFonts w:hint="eastAsia" w:ascii="楷体_GB2312" w:hAnsi="楷体_GB2312" w:eastAsia="楷体_GB2312" w:cs="楷体_GB2312"/>
          <w:sz w:val="30"/>
          <w:szCs w:val="30"/>
          <w:highlight w:val="none"/>
        </w:rPr>
        <w:t>3.投标保证金</w:t>
      </w:r>
    </w:p>
    <w:p w14:paraId="733B001D">
      <w:pPr>
        <w:pStyle w:val="41"/>
        <w:spacing w:line="500" w:lineRule="exact"/>
        <w:ind w:firstLine="600"/>
        <w:rPr>
          <w:rFonts w:hint="eastAsia" w:ascii="仿宋_GB2312" w:hAnsi="仿宋" w:eastAsia="仿宋_GB2312" w:cs="Times New Roman"/>
          <w:b w:val="0"/>
          <w:bCs w:val="0"/>
          <w:sz w:val="30"/>
          <w:szCs w:val="30"/>
          <w:highlight w:val="none"/>
          <w:lang w:val="en-US" w:eastAsia="zh-CN"/>
        </w:rPr>
      </w:pPr>
      <w:r>
        <w:rPr>
          <w:rFonts w:hint="eastAsia" w:ascii="仿宋_GB2312" w:hAnsi="仿宋" w:eastAsia="仿宋_GB2312" w:cs="Times New Roman"/>
          <w:sz w:val="30"/>
          <w:szCs w:val="30"/>
          <w:highlight w:val="none"/>
        </w:rPr>
        <w:t>投标人须向招标人缴纳投标保证金</w:t>
      </w:r>
      <w:r>
        <w:rPr>
          <w:rFonts w:hint="eastAsia" w:ascii="仿宋_GB2312" w:hAnsi="仿宋" w:eastAsia="仿宋_GB2312" w:cs="Times New Roman"/>
          <w:b w:val="0"/>
          <w:bCs w:val="0"/>
          <w:sz w:val="30"/>
          <w:szCs w:val="30"/>
          <w:highlight w:val="none"/>
        </w:rPr>
        <w:t>5000元</w:t>
      </w:r>
      <w:r>
        <w:rPr>
          <w:rFonts w:hint="eastAsia" w:ascii="仿宋_GB2312" w:hAnsi="仿宋" w:eastAsia="仿宋_GB2312" w:cs="Times New Roman"/>
          <w:b w:val="0"/>
          <w:bCs w:val="0"/>
          <w:sz w:val="30"/>
          <w:szCs w:val="30"/>
          <w:highlight w:val="none"/>
          <w:lang w:eastAsia="zh-CN"/>
        </w:rPr>
        <w:t>。</w:t>
      </w:r>
    </w:p>
    <w:p w14:paraId="666D1097">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本次招标收取的投标保证金公对公（基本账户）以现汇形式进行交款，不允许以个人名义交款，汇款时必须注明“中国重汽</w:t>
      </w:r>
      <w:r>
        <w:rPr>
          <w:rFonts w:hint="eastAsia" w:ascii="仿宋_GB2312" w:hAnsi="仿宋" w:eastAsia="仿宋_GB2312" w:cs="Times New Roman"/>
          <w:sz w:val="30"/>
          <w:szCs w:val="30"/>
          <w:highlight w:val="none"/>
          <w:lang w:val="en-US" w:eastAsia="zh-CN"/>
        </w:rPr>
        <w:t>集团新晋领导干部专业素质常态化培训</w:t>
      </w:r>
      <w:r>
        <w:rPr>
          <w:rFonts w:hint="eastAsia" w:ascii="仿宋_GB2312" w:hAnsi="仿宋" w:eastAsia="仿宋_GB2312" w:cs="Times New Roman"/>
          <w:sz w:val="30"/>
          <w:szCs w:val="30"/>
          <w:highlight w:val="none"/>
        </w:rPr>
        <w:t>项目投标保证金”，收款开户行及账户见下：</w:t>
      </w:r>
    </w:p>
    <w:p w14:paraId="79751534">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名称：中国重汽集团济南动力有限公司</w:t>
      </w:r>
    </w:p>
    <w:p w14:paraId="72FF1A99">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地址：山东省济南市高新区华奥路777号</w:t>
      </w:r>
    </w:p>
    <w:p w14:paraId="4E09675C">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电话：58062126</w:t>
      </w:r>
    </w:p>
    <w:p w14:paraId="771B5E38">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账号：37001616508050150300</w:t>
      </w:r>
    </w:p>
    <w:p w14:paraId="10CC8442">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开户行行号：105451000362</w:t>
      </w:r>
    </w:p>
    <w:p w14:paraId="5234BBEB">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财务电话：0531-58062181</w:t>
      </w:r>
    </w:p>
    <w:p w14:paraId="07386EBB">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开户行：中国建设银行济南市天桥区支行</w:t>
      </w:r>
    </w:p>
    <w:p w14:paraId="6F25FE64">
      <w:pPr>
        <w:pStyle w:val="41"/>
        <w:spacing w:line="500" w:lineRule="exact"/>
        <w:ind w:firstLine="600"/>
        <w:rPr>
          <w:rFonts w:hint="default" w:ascii="仿宋_GB2312" w:hAnsi="仿宋" w:eastAsia="仿宋_GB2312" w:cs="Times New Roman"/>
          <w:sz w:val="30"/>
          <w:szCs w:val="30"/>
          <w:highlight w:val="none"/>
          <w:lang w:val="en-US" w:eastAsia="zh-CN"/>
        </w:rPr>
      </w:pPr>
      <w:r>
        <w:rPr>
          <w:rFonts w:hint="eastAsia" w:ascii="仿宋_GB2312" w:hAnsi="仿宋" w:eastAsia="仿宋_GB2312" w:cs="Times New Roman"/>
          <w:sz w:val="30"/>
          <w:szCs w:val="30"/>
          <w:highlight w:val="none"/>
        </w:rPr>
        <w:t>投标人需将付款证明发送至邮箱。开标时，投标人须向招标人提供付款证明。中标单位的投标保证金在合同签订后的下一月</w:t>
      </w:r>
      <w:r>
        <w:rPr>
          <w:rFonts w:hint="eastAsia" w:ascii="仿宋_GB2312" w:hAnsi="仿宋" w:eastAsia="仿宋_GB2312" w:cs="Times New Roman"/>
          <w:sz w:val="30"/>
          <w:szCs w:val="30"/>
          <w:highlight w:val="none"/>
          <w:lang w:val="en-US" w:eastAsia="zh-CN"/>
        </w:rPr>
        <w:t>原路</w:t>
      </w:r>
      <w:r>
        <w:rPr>
          <w:rFonts w:hint="eastAsia" w:ascii="仿宋_GB2312" w:hAnsi="仿宋" w:eastAsia="仿宋_GB2312" w:cs="Times New Roman"/>
          <w:sz w:val="30"/>
          <w:szCs w:val="30"/>
          <w:highlight w:val="none"/>
        </w:rPr>
        <w:t>返还到交纳账户；未中标单位的投标保证金在中标结果公布后的下一月</w:t>
      </w:r>
      <w:r>
        <w:rPr>
          <w:rFonts w:hint="eastAsia" w:ascii="仿宋_GB2312" w:hAnsi="仿宋" w:eastAsia="仿宋_GB2312" w:cs="Times New Roman"/>
          <w:sz w:val="30"/>
          <w:szCs w:val="30"/>
          <w:highlight w:val="none"/>
          <w:lang w:val="en-US" w:eastAsia="zh-CN"/>
        </w:rPr>
        <w:t>原路</w:t>
      </w:r>
      <w:r>
        <w:rPr>
          <w:rFonts w:hint="eastAsia" w:ascii="仿宋_GB2312" w:hAnsi="仿宋" w:eastAsia="仿宋_GB2312" w:cs="Times New Roman"/>
          <w:sz w:val="30"/>
          <w:szCs w:val="30"/>
          <w:highlight w:val="none"/>
        </w:rPr>
        <w:t>返还到交纳账户；开标被判定为否决单位的，其投标保证金在开标之后的下一月</w:t>
      </w:r>
      <w:r>
        <w:rPr>
          <w:rFonts w:hint="eastAsia" w:ascii="仿宋_GB2312" w:hAnsi="仿宋" w:eastAsia="仿宋_GB2312" w:cs="Times New Roman"/>
          <w:sz w:val="30"/>
          <w:szCs w:val="30"/>
          <w:highlight w:val="none"/>
          <w:lang w:val="en-US" w:eastAsia="zh-CN"/>
        </w:rPr>
        <w:t>原路</w:t>
      </w:r>
      <w:r>
        <w:rPr>
          <w:rFonts w:hint="eastAsia" w:ascii="仿宋_GB2312" w:hAnsi="仿宋" w:eastAsia="仿宋_GB2312" w:cs="Times New Roman"/>
          <w:sz w:val="30"/>
          <w:szCs w:val="30"/>
          <w:highlight w:val="none"/>
        </w:rPr>
        <w:t>返还到交纳账户。</w:t>
      </w:r>
      <w:r>
        <w:rPr>
          <w:rFonts w:hint="eastAsia" w:ascii="仿宋_GB2312" w:hAnsi="仿宋" w:eastAsia="仿宋_GB2312" w:cs="Times New Roman"/>
          <w:sz w:val="30"/>
          <w:szCs w:val="30"/>
          <w:highlight w:val="none"/>
          <w:lang w:val="en-US" w:eastAsia="zh-CN"/>
        </w:rPr>
        <w:t>保证金均为无息返还。</w:t>
      </w:r>
    </w:p>
    <w:p w14:paraId="39DD61E8">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发生以下情况时，招标人有权没收投标保证金：</w:t>
      </w:r>
    </w:p>
    <w:p w14:paraId="3C306360">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a）截至开标前3天，投标人无正当理由、未以书面形式向招标人递交说明而在投标截止日不来投标的；</w:t>
      </w:r>
    </w:p>
    <w:p w14:paraId="14BC30CD">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b）投标人递送投标文件后，无正当理由放弃投标的；</w:t>
      </w:r>
    </w:p>
    <w:p w14:paraId="3C253F8C">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c）自中标通知书发出之日起30日内，中标人无正当理由不与招标人签订合同的；</w:t>
      </w:r>
    </w:p>
    <w:p w14:paraId="40F52E56">
      <w:pPr>
        <w:pStyle w:val="41"/>
        <w:spacing w:line="500" w:lineRule="exact"/>
        <w:ind w:firstLine="6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d）投标人在投标过程中被查实有串标、围标、陪标等违法违纪行为的；</w:t>
      </w:r>
    </w:p>
    <w:p w14:paraId="4DFD3334">
      <w:pPr>
        <w:pStyle w:val="41"/>
        <w:spacing w:line="500" w:lineRule="exact"/>
        <w:ind w:firstLine="600"/>
        <w:rPr>
          <w:rFonts w:hint="eastAsia" w:ascii="仿宋_GB2312" w:hAnsi="仿宋" w:eastAsia="仿宋_GB2312" w:cs="Times New Roman"/>
          <w:sz w:val="30"/>
          <w:szCs w:val="30"/>
          <w:highlight w:val="none"/>
          <w:lang w:eastAsia="zh-CN"/>
        </w:rPr>
      </w:pPr>
      <w:r>
        <w:rPr>
          <w:rFonts w:hint="eastAsia" w:ascii="仿宋_GB2312" w:hAnsi="仿宋" w:eastAsia="仿宋_GB2312" w:cs="Times New Roman"/>
          <w:sz w:val="30"/>
          <w:szCs w:val="30"/>
          <w:highlight w:val="none"/>
        </w:rPr>
        <w:t>e）投标人有违约违规行为或被投诉、举报的，在调查处理期间，保证金暂不退还，待调查处理结束后按有关规定处理</w:t>
      </w:r>
      <w:r>
        <w:rPr>
          <w:rFonts w:hint="eastAsia" w:ascii="仿宋_GB2312" w:hAnsi="仿宋" w:eastAsia="仿宋_GB2312" w:cs="Times New Roman"/>
          <w:sz w:val="30"/>
          <w:szCs w:val="30"/>
          <w:highlight w:val="none"/>
          <w:lang w:eastAsia="zh-CN"/>
        </w:rPr>
        <w:t>；</w:t>
      </w:r>
    </w:p>
    <w:p w14:paraId="74C3AEA9">
      <w:pPr>
        <w:pStyle w:val="41"/>
        <w:spacing w:line="500" w:lineRule="exact"/>
        <w:ind w:firstLine="600"/>
        <w:rPr>
          <w:rFonts w:hint="eastAsia" w:ascii="仿宋_GB2312" w:hAnsi="仿宋" w:eastAsia="仿宋_GB2312" w:cs="Times New Roman"/>
          <w:b w:val="0"/>
          <w:bCs w:val="0"/>
          <w:color w:val="000000"/>
          <w:sz w:val="30"/>
          <w:szCs w:val="30"/>
          <w:highlight w:val="none"/>
        </w:rPr>
      </w:pPr>
      <w:r>
        <w:rPr>
          <w:rFonts w:hint="eastAsia" w:ascii="仿宋_GB2312" w:hAnsi="仿宋" w:eastAsia="仿宋_GB2312" w:cs="Times New Roman"/>
          <w:sz w:val="30"/>
          <w:szCs w:val="30"/>
          <w:highlight w:val="none"/>
          <w:lang w:val="en-US" w:eastAsia="zh-CN"/>
        </w:rPr>
        <w:t>f)</w:t>
      </w:r>
      <w:r>
        <w:rPr>
          <w:rFonts w:hint="eastAsia" w:ascii="仿宋_GB2312" w:hAnsi="仿宋" w:eastAsia="仿宋_GB2312" w:cs="Times New Roman"/>
          <w:b w:val="0"/>
          <w:bCs w:val="0"/>
          <w:color w:val="000000"/>
          <w:sz w:val="30"/>
          <w:szCs w:val="30"/>
          <w:highlight w:val="none"/>
        </w:rPr>
        <w:t>供应商在提交响应文件截止时间后撤回响应文件的；</w:t>
      </w:r>
    </w:p>
    <w:p w14:paraId="6FC436EC">
      <w:pPr>
        <w:pStyle w:val="41"/>
        <w:spacing w:line="500" w:lineRule="exact"/>
        <w:ind w:firstLine="600"/>
        <w:rPr>
          <w:rFonts w:hint="eastAsia" w:ascii="仿宋_GB2312" w:hAnsi="仿宋" w:eastAsia="仿宋_GB2312" w:cs="Times New Roman"/>
          <w:sz w:val="30"/>
          <w:szCs w:val="30"/>
          <w:highlight w:val="none"/>
          <w:lang w:val="en-US" w:eastAsia="zh-CN"/>
        </w:rPr>
      </w:pPr>
      <w:r>
        <w:rPr>
          <w:rFonts w:hint="eastAsia" w:ascii="仿宋_GB2312" w:hAnsi="仿宋" w:eastAsia="仿宋_GB2312" w:cs="Times New Roman"/>
          <w:b w:val="0"/>
          <w:bCs w:val="0"/>
          <w:color w:val="000000"/>
          <w:sz w:val="30"/>
          <w:szCs w:val="30"/>
          <w:highlight w:val="none"/>
          <w:lang w:val="en-US" w:eastAsia="zh-CN"/>
        </w:rPr>
        <w:t>g）</w:t>
      </w:r>
      <w:r>
        <w:rPr>
          <w:rFonts w:hint="eastAsia" w:ascii="仿宋_GB2312" w:hAnsi="仿宋" w:eastAsia="仿宋_GB2312" w:cs="Times New Roman"/>
          <w:b w:val="0"/>
          <w:bCs w:val="0"/>
          <w:color w:val="000000"/>
          <w:sz w:val="30"/>
          <w:szCs w:val="30"/>
          <w:highlight w:val="none"/>
        </w:rPr>
        <w:t>供应商在响应文件中提供虚假材料的</w:t>
      </w:r>
      <w:r>
        <w:rPr>
          <w:rFonts w:hint="eastAsia" w:ascii="仿宋_GB2312" w:hAnsi="仿宋" w:eastAsia="仿宋_GB2312" w:cs="Times New Roman"/>
          <w:b w:val="0"/>
          <w:bCs w:val="0"/>
          <w:color w:val="000000"/>
          <w:sz w:val="30"/>
          <w:szCs w:val="30"/>
          <w:highlight w:val="none"/>
          <w:lang w:eastAsia="zh-CN"/>
        </w:rPr>
        <w:t>。</w:t>
      </w:r>
    </w:p>
    <w:p w14:paraId="0B7AB26D">
      <w:pPr>
        <w:spacing w:line="500" w:lineRule="exact"/>
        <w:ind w:firstLine="602" w:firstLineChars="200"/>
        <w:jc w:val="left"/>
        <w:outlineLvl w:val="1"/>
        <w:rPr>
          <w:rFonts w:ascii="楷体_GB2312" w:hAnsi="楷体_GB2312" w:eastAsia="楷体_GB2312" w:cs="楷体_GB2312"/>
          <w:b/>
          <w:bCs/>
          <w:sz w:val="30"/>
          <w:szCs w:val="30"/>
          <w:highlight w:val="none"/>
        </w:rPr>
      </w:pPr>
      <w:r>
        <w:rPr>
          <w:rFonts w:hint="eastAsia" w:ascii="楷体_GB2312" w:hAnsi="楷体_GB2312" w:eastAsia="楷体_GB2312" w:cs="楷体_GB2312"/>
          <w:b/>
          <w:bCs/>
          <w:sz w:val="30"/>
          <w:szCs w:val="30"/>
          <w:highlight w:val="none"/>
        </w:rPr>
        <w:t>4.投标报价</w:t>
      </w:r>
    </w:p>
    <w:p w14:paraId="5201021D">
      <w:pPr>
        <w:pStyle w:val="10"/>
        <w:spacing w:line="500" w:lineRule="exact"/>
        <w:ind w:firstLine="600" w:firstLineChars="200"/>
        <w:rPr>
          <w:rFonts w:hint="eastAsia" w:ascii="仿宋_GB2312" w:hAnsi="仿宋" w:eastAsia="仿宋_GB2312" w:cs="Times New Roman"/>
          <w:color w:val="000000"/>
          <w:sz w:val="30"/>
          <w:szCs w:val="30"/>
          <w:highlight w:val="none"/>
        </w:rPr>
      </w:pPr>
      <w:r>
        <w:rPr>
          <w:rFonts w:hint="eastAsia" w:ascii="仿宋_GB2312" w:hAnsi="仿宋" w:eastAsia="仿宋_GB2312" w:cs="Times New Roman"/>
          <w:color w:val="000000"/>
          <w:sz w:val="30"/>
          <w:szCs w:val="30"/>
          <w:highlight w:val="none"/>
        </w:rPr>
        <w:t>4.1投标人</w:t>
      </w:r>
    </w:p>
    <w:p w14:paraId="1F91B7EC">
      <w:pPr>
        <w:pStyle w:val="10"/>
        <w:spacing w:line="500" w:lineRule="exact"/>
        <w:ind w:firstLine="600" w:firstLineChars="200"/>
        <w:rPr>
          <w:rFonts w:ascii="仿宋_GB2312" w:hAnsi="仿宋" w:eastAsia="仿宋_GB2312" w:cs="Times New Roman"/>
          <w:color w:val="000000"/>
          <w:sz w:val="30"/>
          <w:szCs w:val="30"/>
          <w:highlight w:val="none"/>
        </w:rPr>
      </w:pPr>
      <w:r>
        <w:rPr>
          <w:rFonts w:hint="eastAsia" w:ascii="仿宋_GB2312" w:hAnsi="仿宋" w:eastAsia="仿宋_GB2312" w:cs="Times New Roman"/>
          <w:color w:val="000000"/>
          <w:sz w:val="30"/>
          <w:szCs w:val="30"/>
          <w:highlight w:val="none"/>
        </w:rPr>
        <w:t>须在投标截止日期前将电子标书上传到重汽e采通平台。若逾期未完成重汽e采通上传标书，投标无效。</w:t>
      </w:r>
    </w:p>
    <w:p w14:paraId="34CBD319">
      <w:pPr>
        <w:pStyle w:val="10"/>
        <w:spacing w:line="500" w:lineRule="exact"/>
        <w:ind w:firstLine="600" w:firstLineChars="200"/>
        <w:rPr>
          <w:rFonts w:ascii="仿宋_GB2312" w:hAnsi="仿宋" w:eastAsia="仿宋_GB2312" w:cs="Times New Roman"/>
          <w:color w:val="000000"/>
          <w:sz w:val="30"/>
          <w:szCs w:val="30"/>
          <w:highlight w:val="none"/>
        </w:rPr>
      </w:pPr>
      <w:r>
        <w:rPr>
          <w:rFonts w:hint="eastAsia" w:ascii="仿宋_GB2312" w:hAnsi="仿宋" w:eastAsia="仿宋_GB2312" w:cs="Times New Roman"/>
          <w:color w:val="000000"/>
          <w:sz w:val="30"/>
          <w:szCs w:val="30"/>
          <w:highlight w:val="none"/>
        </w:rPr>
        <w:t>4.2投标报价应包括培训课程开发及师资、培训物料</w:t>
      </w:r>
      <w:r>
        <w:rPr>
          <w:rFonts w:hint="eastAsia" w:ascii="仿宋_GB2312" w:hAnsi="仿宋" w:eastAsia="仿宋_GB2312" w:cs="Times New Roman"/>
          <w:color w:val="000000"/>
          <w:sz w:val="30"/>
          <w:szCs w:val="30"/>
          <w:highlight w:val="none"/>
          <w:lang w:eastAsia="zh-CN"/>
        </w:rPr>
        <w:t>、讲师交通费及食宿费用</w:t>
      </w:r>
      <w:r>
        <w:rPr>
          <w:rFonts w:hint="eastAsia" w:ascii="仿宋_GB2312" w:hAnsi="仿宋" w:eastAsia="仿宋_GB2312" w:cs="Times New Roman"/>
          <w:color w:val="000000"/>
          <w:sz w:val="30"/>
          <w:szCs w:val="30"/>
          <w:highlight w:val="none"/>
        </w:rPr>
        <w:t>等全部费用，除此之外，采购方无需支付任何费用。</w:t>
      </w:r>
    </w:p>
    <w:p w14:paraId="0763874B">
      <w:pPr>
        <w:pStyle w:val="10"/>
        <w:spacing w:line="500" w:lineRule="exact"/>
        <w:ind w:firstLine="600" w:firstLineChars="200"/>
        <w:rPr>
          <w:rFonts w:hint="eastAsia" w:ascii="仿宋_GB2312" w:hAnsi="仿宋" w:eastAsia="仿宋_GB2312" w:cs="Times New Roman"/>
          <w:color w:val="000000"/>
          <w:sz w:val="30"/>
          <w:szCs w:val="30"/>
          <w:highlight w:val="none"/>
        </w:rPr>
      </w:pPr>
      <w:r>
        <w:rPr>
          <w:rFonts w:hint="eastAsia" w:ascii="仿宋_GB2312" w:hAnsi="仿宋" w:eastAsia="仿宋_GB2312" w:cs="Times New Roman"/>
          <w:color w:val="000000"/>
          <w:sz w:val="30"/>
          <w:szCs w:val="30"/>
          <w:highlight w:val="none"/>
        </w:rPr>
        <w:t>4.3报价货币单位为元（人民币），报价时须注明不含税价、税率以及价税合计等信息。</w:t>
      </w:r>
    </w:p>
    <w:p w14:paraId="3F4DA410">
      <w:pPr>
        <w:pStyle w:val="10"/>
        <w:spacing w:line="500" w:lineRule="exact"/>
        <w:ind w:firstLine="600" w:firstLineChars="200"/>
        <w:rPr>
          <w:rFonts w:hint="eastAsia" w:ascii="仿宋_GB2312" w:hAnsi="仿宋" w:eastAsia="仿宋_GB2312" w:cs="Times New Roman"/>
          <w:color w:val="000000"/>
          <w:sz w:val="30"/>
          <w:szCs w:val="30"/>
          <w:highlight w:val="none"/>
          <w:lang w:val="en-US" w:eastAsia="zh-CN"/>
        </w:rPr>
      </w:pPr>
      <w:r>
        <w:rPr>
          <w:rFonts w:hint="eastAsia" w:ascii="仿宋_GB2312" w:hAnsi="仿宋" w:eastAsia="仿宋_GB2312" w:cs="Times New Roman"/>
          <w:color w:val="000000"/>
          <w:sz w:val="30"/>
          <w:szCs w:val="30"/>
          <w:highlight w:val="none"/>
          <w:lang w:val="en-US" w:eastAsia="zh-CN"/>
        </w:rPr>
        <w:t>4.4投标限价：</w:t>
      </w:r>
    </w:p>
    <w:p w14:paraId="4805108D">
      <w:pPr>
        <w:pStyle w:val="10"/>
        <w:spacing w:line="500" w:lineRule="exact"/>
        <w:ind w:firstLine="602" w:firstLineChars="200"/>
        <w:rPr>
          <w:rFonts w:hint="eastAsia" w:ascii="黑体" w:hAnsi="黑体" w:eastAsia="黑体" w:cs="黑体"/>
          <w:b/>
          <w:bCs/>
          <w:kern w:val="2"/>
          <w:sz w:val="30"/>
          <w:szCs w:val="30"/>
          <w:highlight w:val="none"/>
          <w:lang w:val="en-US" w:eastAsia="zh-CN" w:bidi="ar-SA"/>
        </w:rPr>
      </w:pPr>
      <w:r>
        <w:rPr>
          <w:rFonts w:hint="eastAsia" w:ascii="黑体" w:hAnsi="黑体" w:eastAsia="黑体" w:cs="黑体"/>
          <w:b/>
          <w:bCs/>
          <w:kern w:val="2"/>
          <w:sz w:val="30"/>
          <w:szCs w:val="30"/>
          <w:highlight w:val="none"/>
          <w:lang w:val="en-US" w:eastAsia="zh-CN" w:bidi="ar-SA"/>
        </w:rPr>
        <w:t>本项目投标限价：人民币5.25万元（含税）。</w:t>
      </w:r>
    </w:p>
    <w:p w14:paraId="621F31EC">
      <w:pPr>
        <w:pStyle w:val="10"/>
        <w:spacing w:line="500" w:lineRule="exact"/>
        <w:ind w:firstLine="600" w:firstLineChars="200"/>
        <w:rPr>
          <w:rFonts w:hint="eastAsia" w:ascii="仿宋_GB2312" w:hAnsi="仿宋" w:eastAsia="仿宋_GB2312" w:cs="Times New Roman"/>
          <w:color w:val="000000"/>
          <w:sz w:val="30"/>
          <w:szCs w:val="30"/>
          <w:highlight w:val="none"/>
          <w:lang w:val="en-US" w:eastAsia="zh-CN"/>
        </w:rPr>
      </w:pPr>
      <w:r>
        <w:rPr>
          <w:rFonts w:hint="eastAsia" w:ascii="仿宋_GB2312" w:hAnsi="仿宋" w:eastAsia="仿宋_GB2312" w:cs="Times New Roman"/>
          <w:color w:val="000000"/>
          <w:sz w:val="30"/>
          <w:szCs w:val="30"/>
          <w:highlight w:val="none"/>
          <w:lang w:val="en-US" w:eastAsia="zh-CN"/>
        </w:rPr>
        <w:t>4.5常态化开班及课程顺延采购：</w:t>
      </w:r>
    </w:p>
    <w:p w14:paraId="23CAE1E9">
      <w:pPr>
        <w:pStyle w:val="10"/>
        <w:spacing w:line="500" w:lineRule="exact"/>
        <w:ind w:firstLine="600" w:firstLineChars="200"/>
        <w:rPr>
          <w:rFonts w:hint="eastAsia" w:ascii="仿宋_GB2312" w:hAnsi="仿宋" w:eastAsia="仿宋_GB2312" w:cs="Times New Roman"/>
          <w:color w:val="000000"/>
          <w:sz w:val="30"/>
          <w:szCs w:val="30"/>
          <w:highlight w:val="none"/>
        </w:rPr>
      </w:pPr>
      <w:r>
        <w:rPr>
          <w:rFonts w:hint="eastAsia" w:ascii="仿宋_GB2312" w:hAnsi="仿宋" w:eastAsia="仿宋_GB2312" w:cs="Times New Roman"/>
          <w:color w:val="000000"/>
          <w:sz w:val="30"/>
          <w:szCs w:val="30"/>
          <w:highlight w:val="none"/>
        </w:rPr>
        <w:t>本项目为常态化培训项目，采用框架合同方式，按课程、按课时单价结算，招标人不承诺最低采购量。中标后1年内，招标人根据培训计划及报名情况，以单门课程为单位滚动组织开班；对本次招标范围内的任一单门课程（</w:t>
      </w:r>
      <w:r>
        <w:rPr>
          <w:rFonts w:hint="eastAsia" w:ascii="仿宋_GB2312" w:hAnsi="仿宋" w:eastAsia="仿宋_GB2312" w:cs="Times New Roman"/>
          <w:color w:val="000000"/>
          <w:sz w:val="30"/>
          <w:szCs w:val="30"/>
          <w:highlight w:val="none"/>
          <w:lang w:val="en-US" w:eastAsia="zh-CN"/>
        </w:rPr>
        <w:t>习近平</w:t>
      </w:r>
      <w:r>
        <w:rPr>
          <w:rFonts w:hint="eastAsia" w:ascii="仿宋_GB2312" w:hAnsi="仿宋" w:eastAsia="仿宋_GB2312" w:cs="Times New Roman"/>
          <w:color w:val="000000"/>
          <w:sz w:val="30"/>
          <w:szCs w:val="30"/>
          <w:highlight w:val="none"/>
        </w:rPr>
        <w:t>党建思想、党史、非人力资源经理的人力资源管理、</w:t>
      </w:r>
      <w:bookmarkStart w:id="39" w:name="_GoBack"/>
      <w:r>
        <w:rPr>
          <w:rFonts w:hint="eastAsia" w:ascii="仿宋_GB2312" w:hAnsi="仿宋" w:eastAsia="仿宋_GB2312" w:cs="Times New Roman"/>
          <w:color w:val="000000"/>
          <w:sz w:val="30"/>
          <w:szCs w:val="30"/>
          <w:highlight w:val="none"/>
        </w:rPr>
        <w:t>非财务经理的财务管理</w:t>
      </w:r>
      <w:bookmarkEnd w:id="39"/>
      <w:r>
        <w:rPr>
          <w:rFonts w:hint="eastAsia" w:ascii="仿宋_GB2312" w:hAnsi="仿宋" w:eastAsia="仿宋_GB2312" w:cs="Times New Roman"/>
          <w:color w:val="000000"/>
          <w:sz w:val="30"/>
          <w:szCs w:val="30"/>
          <w:highlight w:val="none"/>
        </w:rPr>
        <w:t>），招标人均可单独按需调用，追加期次或增加参训人数。中标人应按该门课程的中标课时单价、服务标准及本招标文件约定条件承接，不得拒绝或要求调整单价，双方按实际开班情况据实结算。</w:t>
      </w:r>
    </w:p>
    <w:p w14:paraId="52F7451D">
      <w:pPr>
        <w:spacing w:line="500" w:lineRule="exact"/>
        <w:ind w:firstLine="602" w:firstLineChars="200"/>
        <w:jc w:val="left"/>
        <w:outlineLvl w:val="1"/>
        <w:rPr>
          <w:rFonts w:ascii="楷体_GB2312" w:hAnsi="楷体_GB2312" w:eastAsia="楷体_GB2312" w:cs="楷体_GB2312"/>
          <w:b/>
          <w:bCs/>
          <w:sz w:val="30"/>
          <w:szCs w:val="30"/>
          <w:highlight w:val="none"/>
        </w:rPr>
      </w:pPr>
      <w:r>
        <w:rPr>
          <w:rFonts w:hint="eastAsia" w:ascii="楷体_GB2312" w:hAnsi="楷体_GB2312" w:eastAsia="楷体_GB2312" w:cs="楷体_GB2312"/>
          <w:b/>
          <w:bCs/>
          <w:sz w:val="30"/>
          <w:szCs w:val="30"/>
          <w:highlight w:val="none"/>
        </w:rPr>
        <w:t>5.评标过程</w:t>
      </w:r>
    </w:p>
    <w:p w14:paraId="3E22DF09">
      <w:pPr>
        <w:spacing w:line="500" w:lineRule="exact"/>
        <w:ind w:firstLine="600" w:firstLineChars="200"/>
        <w:rPr>
          <w:rFonts w:ascii="黑体" w:hAnsi="黑体" w:eastAsia="黑体" w:cs="黑体"/>
          <w:b/>
          <w:bCs/>
          <w:sz w:val="30"/>
          <w:szCs w:val="30"/>
          <w:highlight w:val="none"/>
        </w:rPr>
      </w:pPr>
      <w:r>
        <w:rPr>
          <w:rFonts w:hint="eastAsia" w:ascii="仿宋_GB2312" w:hAnsi="仿宋" w:eastAsia="仿宋_GB2312"/>
          <w:sz w:val="30"/>
          <w:szCs w:val="30"/>
          <w:highlight w:val="none"/>
        </w:rPr>
        <w:t>为保证项目顺利实施，由招标人组织、按国家法律法规及公司相关规章制度要求，设立评标工作小组，投标人在讲标时，须由拟担任招标项目的项目经理及项目组成员讲标，其中：讲标</w:t>
      </w:r>
      <w:r>
        <w:rPr>
          <w:rFonts w:hint="eastAsia" w:ascii="仿宋_GB2312" w:hAnsi="仿宋" w:eastAsia="仿宋_GB2312"/>
          <w:sz w:val="30"/>
          <w:szCs w:val="30"/>
          <w:highlight w:val="none"/>
          <w:lang w:val="en-US" w:eastAsia="zh-CN"/>
        </w:rPr>
        <w:t>15</w:t>
      </w:r>
      <w:r>
        <w:rPr>
          <w:rFonts w:hint="eastAsia" w:ascii="仿宋_GB2312" w:hAnsi="仿宋" w:eastAsia="仿宋_GB2312"/>
          <w:sz w:val="30"/>
          <w:szCs w:val="30"/>
          <w:highlight w:val="none"/>
        </w:rPr>
        <w:t>分钟，现场答疑时间</w:t>
      </w:r>
      <w:r>
        <w:rPr>
          <w:rFonts w:hint="eastAsia" w:ascii="仿宋_GB2312" w:hAnsi="仿宋" w:eastAsia="仿宋_GB2312"/>
          <w:sz w:val="30"/>
          <w:szCs w:val="30"/>
          <w:highlight w:val="none"/>
          <w:lang w:val="en-US" w:eastAsia="zh-CN"/>
        </w:rPr>
        <w:t>15</w:t>
      </w:r>
      <w:r>
        <w:rPr>
          <w:rFonts w:hint="eastAsia" w:ascii="仿宋_GB2312" w:hAnsi="仿宋" w:eastAsia="仿宋_GB2312"/>
          <w:sz w:val="30"/>
          <w:szCs w:val="30"/>
          <w:highlight w:val="none"/>
        </w:rPr>
        <w:t>分钟。</w:t>
      </w:r>
    </w:p>
    <w:p w14:paraId="32909FFD">
      <w:pPr>
        <w:spacing w:line="500" w:lineRule="exact"/>
        <w:ind w:firstLine="600" w:firstLineChars="200"/>
        <w:rPr>
          <w:rFonts w:ascii="仿宋_GB2312" w:hAnsi="仿宋" w:eastAsia="仿宋_GB2312"/>
          <w:sz w:val="30"/>
          <w:szCs w:val="30"/>
          <w:highlight w:val="none"/>
        </w:rPr>
      </w:pPr>
      <w:r>
        <w:rPr>
          <w:rFonts w:hint="eastAsia" w:ascii="仿宋_GB2312" w:hAnsi="仿宋" w:eastAsia="仿宋_GB2312"/>
          <w:sz w:val="30"/>
          <w:szCs w:val="30"/>
          <w:highlight w:val="none"/>
        </w:rPr>
        <w:t>5.1通过应标资格审查，报名成功的单位进入投标环节，按照“SRM系统供应商用户手册”，在重汽e采通平台投递电子标书（包含资质标、技术标、商务标），没有通过应标资质审查的单位不能进入投标环节；</w:t>
      </w:r>
    </w:p>
    <w:p w14:paraId="284C9C4B">
      <w:pPr>
        <w:spacing w:line="500" w:lineRule="exact"/>
        <w:ind w:firstLine="600" w:firstLineChars="200"/>
        <w:rPr>
          <w:rFonts w:ascii="仿宋_GB2312" w:hAnsi="仿宋" w:eastAsia="仿宋_GB2312"/>
          <w:sz w:val="30"/>
          <w:szCs w:val="30"/>
          <w:highlight w:val="none"/>
        </w:rPr>
      </w:pPr>
      <w:r>
        <w:rPr>
          <w:rFonts w:hint="eastAsia" w:ascii="仿宋_GB2312" w:hAnsi="仿宋" w:eastAsia="仿宋_GB2312"/>
          <w:sz w:val="30"/>
          <w:szCs w:val="30"/>
          <w:highlight w:val="none"/>
        </w:rPr>
        <w:t>5.2资质标评审：招标人通过重汽e采通平台对投标人的《资质标》进行审核，审核通过的单位，进入技术标评审；</w:t>
      </w:r>
    </w:p>
    <w:p w14:paraId="6F337E63">
      <w:pPr>
        <w:spacing w:line="500" w:lineRule="exact"/>
        <w:ind w:firstLine="600" w:firstLineChars="200"/>
        <w:rPr>
          <w:rFonts w:hint="eastAsia" w:ascii="黑体" w:hAnsi="黑体" w:eastAsia="黑体" w:cs="黑体"/>
          <w:b/>
          <w:bCs/>
          <w:sz w:val="30"/>
          <w:szCs w:val="30"/>
          <w:highlight w:val="none"/>
        </w:rPr>
      </w:pPr>
      <w:r>
        <w:rPr>
          <w:rFonts w:hint="eastAsia" w:ascii="仿宋_GB2312" w:hAnsi="仿宋" w:eastAsia="仿宋_GB2312"/>
          <w:sz w:val="30"/>
          <w:szCs w:val="30"/>
          <w:highlight w:val="none"/>
        </w:rPr>
        <w:t>5.3技术标评审：技术标评标专家组，通过重汽e采通，对各投标人的《技术标》进行综合评审；评审期间产生的技术澄清均由投标人在重汽e采通平台内完成提交；</w:t>
      </w:r>
      <w:r>
        <w:rPr>
          <w:rFonts w:hint="eastAsia" w:ascii="黑体" w:hAnsi="黑体" w:eastAsia="黑体" w:cs="黑体"/>
          <w:b/>
          <w:bCs/>
          <w:sz w:val="30"/>
          <w:szCs w:val="30"/>
          <w:highlight w:val="none"/>
        </w:rPr>
        <w:t>本次招标采用</w:t>
      </w:r>
      <w:r>
        <w:rPr>
          <w:rFonts w:hint="eastAsia" w:ascii="黑体" w:hAnsi="黑体" w:eastAsia="黑体" w:cs="黑体"/>
          <w:b/>
          <w:bCs/>
          <w:sz w:val="30"/>
          <w:szCs w:val="30"/>
          <w:highlight w:val="none"/>
          <w:lang w:val="en-US" w:eastAsia="zh-CN"/>
        </w:rPr>
        <w:t>技术标和</w:t>
      </w:r>
      <w:r>
        <w:rPr>
          <w:rFonts w:hint="eastAsia" w:ascii="黑体" w:hAnsi="黑体" w:eastAsia="黑体" w:cs="黑体"/>
          <w:b/>
          <w:bCs/>
          <w:sz w:val="30"/>
          <w:szCs w:val="30"/>
          <w:highlight w:val="none"/>
        </w:rPr>
        <w:t>商务标</w:t>
      </w:r>
      <w:r>
        <w:rPr>
          <w:rFonts w:hint="eastAsia" w:ascii="黑体" w:hAnsi="黑体" w:eastAsia="黑体" w:cs="黑体"/>
          <w:b/>
          <w:bCs/>
          <w:sz w:val="30"/>
          <w:szCs w:val="30"/>
          <w:highlight w:val="none"/>
          <w:lang w:val="en-US" w:eastAsia="zh-CN"/>
        </w:rPr>
        <w:t>分级</w:t>
      </w:r>
      <w:r>
        <w:rPr>
          <w:rFonts w:hint="eastAsia" w:ascii="黑体" w:hAnsi="黑体" w:eastAsia="黑体" w:cs="黑体"/>
          <w:b/>
          <w:bCs/>
          <w:sz w:val="30"/>
          <w:szCs w:val="30"/>
          <w:highlight w:val="none"/>
        </w:rPr>
        <w:t>开标的模式，技术标评分低于</w:t>
      </w:r>
      <w:r>
        <w:rPr>
          <w:rFonts w:hint="eastAsia" w:ascii="黑体" w:hAnsi="黑体" w:eastAsia="黑体" w:cs="黑体"/>
          <w:b/>
          <w:bCs/>
          <w:sz w:val="30"/>
          <w:szCs w:val="30"/>
          <w:highlight w:val="none"/>
          <w:lang w:eastAsia="zh-CN"/>
        </w:rPr>
        <w:t>7</w:t>
      </w:r>
      <w:r>
        <w:rPr>
          <w:rFonts w:hint="eastAsia" w:ascii="黑体" w:hAnsi="黑体" w:eastAsia="黑体" w:cs="黑体"/>
          <w:b/>
          <w:bCs/>
          <w:sz w:val="30"/>
          <w:szCs w:val="30"/>
          <w:highlight w:val="none"/>
        </w:rPr>
        <w:t>0分予以淘汰；</w:t>
      </w:r>
    </w:p>
    <w:p w14:paraId="43840880">
      <w:pPr>
        <w:spacing w:line="500" w:lineRule="exact"/>
        <w:ind w:firstLine="600" w:firstLineChars="200"/>
        <w:rPr>
          <w:rFonts w:ascii="仿宋_GB2312" w:hAnsi="仿宋" w:eastAsia="仿宋_GB2312"/>
          <w:sz w:val="30"/>
          <w:szCs w:val="30"/>
          <w:highlight w:val="none"/>
        </w:rPr>
      </w:pPr>
      <w:r>
        <w:rPr>
          <w:rFonts w:hint="eastAsia" w:ascii="仿宋_GB2312" w:hAnsi="仿宋" w:eastAsia="仿宋_GB2312"/>
          <w:sz w:val="30"/>
          <w:szCs w:val="30"/>
          <w:highlight w:val="none"/>
        </w:rPr>
        <w:t>5.4商务标评审：公开唱标→商务条款相应确认→价格澄清→商务标评审，采用多轮商务谈判。评审期间产生的商务价格澄清均由投标人在重汽e采通平台内限时完成提交；</w:t>
      </w:r>
    </w:p>
    <w:p w14:paraId="1175F4EE">
      <w:pPr>
        <w:spacing w:line="500" w:lineRule="exact"/>
        <w:ind w:firstLine="600" w:firstLineChars="200"/>
        <w:rPr>
          <w:rFonts w:ascii="仿宋_GB2312" w:hAnsi="仿宋" w:eastAsia="仿宋_GB2312"/>
          <w:sz w:val="30"/>
          <w:szCs w:val="30"/>
          <w:highlight w:val="none"/>
        </w:rPr>
      </w:pPr>
      <w:r>
        <w:rPr>
          <w:rFonts w:hint="eastAsia" w:ascii="仿宋_GB2312" w:hAnsi="仿宋" w:eastAsia="仿宋_GB2312"/>
          <w:sz w:val="30"/>
          <w:szCs w:val="30"/>
          <w:highlight w:val="none"/>
        </w:rPr>
        <w:t>注意：投标人</w:t>
      </w:r>
      <w:r>
        <w:rPr>
          <w:rFonts w:hint="eastAsia" w:ascii="仿宋_GB2312" w:hAnsi="仿宋" w:eastAsia="仿宋_GB2312"/>
          <w:sz w:val="30"/>
          <w:szCs w:val="30"/>
          <w:highlight w:val="none"/>
          <w:lang w:val="en-US" w:eastAsia="zh-CN"/>
        </w:rPr>
        <w:t>均需</w:t>
      </w:r>
      <w:r>
        <w:rPr>
          <w:rFonts w:hint="eastAsia" w:ascii="仿宋_GB2312" w:hAnsi="仿宋" w:eastAsia="仿宋_GB2312"/>
          <w:sz w:val="30"/>
          <w:szCs w:val="30"/>
          <w:highlight w:val="none"/>
        </w:rPr>
        <w:t>在重汽e采通平台自主进行投标和提交澄清函；投标和提交澄清函均有时间限制，超时未提交的按无效处理。</w:t>
      </w:r>
    </w:p>
    <w:p w14:paraId="2C58F3E1">
      <w:pPr>
        <w:pageBreakBefore w:val="0"/>
        <w:kinsoku/>
        <w:wordWrap/>
        <w:overflowPunct/>
        <w:topLinePunct w:val="0"/>
        <w:bidi w:val="0"/>
        <w:spacing w:line="520" w:lineRule="exact"/>
        <w:ind w:firstLine="600" w:firstLineChars="200"/>
        <w:textAlignment w:val="auto"/>
        <w:rPr>
          <w:rFonts w:ascii="仿宋_GB2312" w:hAnsi="仿宋" w:eastAsia="仿宋_GB2312"/>
          <w:sz w:val="30"/>
          <w:szCs w:val="30"/>
          <w:highlight w:val="none"/>
        </w:rPr>
      </w:pPr>
      <w:r>
        <w:rPr>
          <w:rFonts w:hint="eastAsia" w:ascii="仿宋_GB2312" w:hAnsi="仿宋" w:eastAsia="仿宋_GB2312"/>
          <w:sz w:val="30"/>
          <w:szCs w:val="30"/>
          <w:highlight w:val="none"/>
        </w:rPr>
        <w:t>5.5中标人确定：</w:t>
      </w:r>
      <w:r>
        <w:rPr>
          <w:rFonts w:hint="eastAsia" w:ascii="黑体" w:hAnsi="黑体" w:eastAsia="黑体" w:cs="黑体"/>
          <w:b/>
          <w:bCs/>
          <w:sz w:val="30"/>
          <w:szCs w:val="30"/>
          <w:highlight w:val="none"/>
        </w:rPr>
        <w:t>技术标入围后，综合考虑技术标得分、商务标得分，加权最终得分推荐</w:t>
      </w:r>
      <w:r>
        <w:rPr>
          <w:rFonts w:hint="eastAsia" w:ascii="黑体" w:hAnsi="黑体" w:eastAsia="黑体" w:cs="黑体"/>
          <w:b/>
          <w:bCs/>
          <w:sz w:val="30"/>
          <w:szCs w:val="30"/>
          <w:highlight w:val="none"/>
          <w:lang w:val="en-US" w:eastAsia="zh-CN"/>
        </w:rPr>
        <w:t>中标候选人</w:t>
      </w:r>
      <w:r>
        <w:rPr>
          <w:rFonts w:hint="eastAsia" w:ascii="黑体" w:hAnsi="黑体" w:eastAsia="黑体" w:cs="黑体"/>
          <w:b/>
          <w:bCs/>
          <w:sz w:val="30"/>
          <w:szCs w:val="30"/>
          <w:highlight w:val="none"/>
        </w:rPr>
        <w:t>（最终得分=技术标得分*</w:t>
      </w:r>
      <w:r>
        <w:rPr>
          <w:rFonts w:hint="eastAsia" w:ascii="黑体" w:hAnsi="黑体" w:eastAsia="黑体" w:cs="黑体"/>
          <w:b/>
          <w:bCs/>
          <w:sz w:val="30"/>
          <w:szCs w:val="30"/>
          <w:highlight w:val="none"/>
          <w:lang w:val="en-US" w:eastAsia="zh-CN"/>
        </w:rPr>
        <w:t>40</w:t>
      </w:r>
      <w:r>
        <w:rPr>
          <w:rFonts w:hint="eastAsia" w:ascii="黑体" w:hAnsi="黑体" w:eastAsia="黑体" w:cs="黑体"/>
          <w:b/>
          <w:bCs/>
          <w:sz w:val="30"/>
          <w:szCs w:val="30"/>
          <w:highlight w:val="none"/>
        </w:rPr>
        <w:t>%+商务标得分*</w:t>
      </w:r>
      <w:r>
        <w:rPr>
          <w:rFonts w:hint="eastAsia" w:ascii="黑体" w:hAnsi="黑体" w:eastAsia="黑体" w:cs="黑体"/>
          <w:b/>
          <w:bCs/>
          <w:sz w:val="30"/>
          <w:szCs w:val="30"/>
          <w:highlight w:val="none"/>
          <w:lang w:val="en-US" w:eastAsia="zh-CN"/>
        </w:rPr>
        <w:t>60</w:t>
      </w:r>
      <w:r>
        <w:rPr>
          <w:rFonts w:hint="eastAsia" w:ascii="黑体" w:hAnsi="黑体" w:eastAsia="黑体" w:cs="黑体"/>
          <w:b/>
          <w:bCs/>
          <w:sz w:val="30"/>
          <w:szCs w:val="30"/>
          <w:highlight w:val="none"/>
        </w:rPr>
        <w:t>%，保留两位小数）。</w:t>
      </w:r>
      <w:r>
        <w:rPr>
          <w:rFonts w:hint="eastAsia" w:ascii="仿宋_GB2312" w:hAnsi="仿宋" w:eastAsia="仿宋_GB2312"/>
          <w:sz w:val="30"/>
          <w:szCs w:val="30"/>
          <w:highlight w:val="none"/>
        </w:rPr>
        <w:t>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变更意向中标人。</w:t>
      </w:r>
    </w:p>
    <w:p w14:paraId="03E48602">
      <w:pPr>
        <w:keepNext w:val="0"/>
        <w:keepLines w:val="0"/>
        <w:pageBreakBefore w:val="0"/>
        <w:widowControl w:val="0"/>
        <w:kinsoku/>
        <w:wordWrap/>
        <w:overflowPunct/>
        <w:topLinePunct w:val="0"/>
        <w:bidi w:val="0"/>
        <w:snapToGrid/>
        <w:spacing w:line="520" w:lineRule="exact"/>
        <w:ind w:firstLine="602" w:firstLineChars="200"/>
        <w:jc w:val="left"/>
        <w:textAlignment w:val="auto"/>
        <w:outlineLvl w:val="1"/>
        <w:rPr>
          <w:rFonts w:ascii="楷体_GB2312" w:hAnsi="楷体_GB2312" w:eastAsia="楷体_GB2312" w:cs="楷体_GB2312"/>
          <w:b/>
          <w:bCs/>
          <w:sz w:val="30"/>
          <w:szCs w:val="30"/>
          <w:highlight w:val="none"/>
        </w:rPr>
      </w:pPr>
      <w:r>
        <w:rPr>
          <w:rFonts w:hint="eastAsia" w:ascii="楷体_GB2312" w:hAnsi="楷体_GB2312" w:eastAsia="楷体_GB2312" w:cs="楷体_GB2312"/>
          <w:b/>
          <w:bCs/>
          <w:sz w:val="30"/>
          <w:szCs w:val="30"/>
          <w:highlight w:val="none"/>
          <w:lang w:val="en-US" w:eastAsia="zh-CN"/>
        </w:rPr>
        <w:t>6</w:t>
      </w:r>
      <w:r>
        <w:rPr>
          <w:rFonts w:hint="eastAsia" w:ascii="楷体_GB2312" w:hAnsi="楷体_GB2312" w:eastAsia="楷体_GB2312" w:cs="楷体_GB2312"/>
          <w:b/>
          <w:bCs/>
          <w:sz w:val="30"/>
          <w:szCs w:val="30"/>
          <w:highlight w:val="none"/>
        </w:rPr>
        <w:t>.付款条件及付款方式</w:t>
      </w:r>
    </w:p>
    <w:p w14:paraId="2F3080ED">
      <w:pPr>
        <w:autoSpaceDE w:val="0"/>
        <w:autoSpaceDN w:val="0"/>
        <w:adjustRightInd w:val="0"/>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lang w:val="en-US" w:eastAsia="zh-CN"/>
        </w:rPr>
        <w:t>6</w:t>
      </w:r>
      <w:r>
        <w:rPr>
          <w:rFonts w:hint="eastAsia" w:ascii="仿宋_GB2312" w:hAnsi="仿宋" w:eastAsia="仿宋_GB2312"/>
          <w:sz w:val="30"/>
          <w:szCs w:val="30"/>
          <w:highlight w:val="none"/>
        </w:rPr>
        <w:t>.1付款条件：签署合同后，经甲方对</w:t>
      </w:r>
      <w:r>
        <w:rPr>
          <w:rFonts w:hint="eastAsia" w:ascii="仿宋_GB2312" w:hAnsi="仿宋" w:eastAsia="仿宋_GB2312"/>
          <w:sz w:val="30"/>
          <w:szCs w:val="30"/>
          <w:highlight w:val="none"/>
          <w:lang w:val="en-US" w:eastAsia="zh-CN"/>
        </w:rPr>
        <w:t>项目</w:t>
      </w:r>
      <w:r>
        <w:rPr>
          <w:rFonts w:hint="eastAsia" w:ascii="仿宋_GB2312" w:hAnsi="仿宋" w:eastAsia="仿宋_GB2312"/>
          <w:sz w:val="30"/>
          <w:szCs w:val="30"/>
          <w:highlight w:val="none"/>
        </w:rPr>
        <w:t>完成情况进行确认后</w:t>
      </w:r>
      <w:r>
        <w:rPr>
          <w:rFonts w:hint="eastAsia" w:ascii="仿宋_GB2312" w:hAnsi="仿宋" w:eastAsia="仿宋_GB2312"/>
          <w:sz w:val="30"/>
          <w:szCs w:val="30"/>
          <w:highlight w:val="none"/>
          <w:lang w:val="en-US" w:eastAsia="zh-CN"/>
        </w:rPr>
        <w:t>进行</w:t>
      </w:r>
      <w:r>
        <w:rPr>
          <w:rFonts w:hint="eastAsia" w:ascii="仿宋_GB2312" w:hAnsi="仿宋" w:eastAsia="仿宋_GB2312"/>
          <w:sz w:val="30"/>
          <w:szCs w:val="30"/>
          <w:highlight w:val="none"/>
        </w:rPr>
        <w:t>结算。</w:t>
      </w:r>
    </w:p>
    <w:p w14:paraId="11E8D128">
      <w:pPr>
        <w:keepNext w:val="0"/>
        <w:keepLines w:val="0"/>
        <w:pageBreakBefore w:val="0"/>
        <w:widowControl w:val="0"/>
        <w:kinsoku/>
        <w:wordWrap/>
        <w:overflowPunct/>
        <w:topLinePunct w:val="0"/>
        <w:autoSpaceDE/>
        <w:autoSpaceDN/>
        <w:bidi w:val="0"/>
        <w:adjustRightInd/>
        <w:snapToGrid/>
        <w:spacing w:beforeLines="0" w:afterLines="0" w:line="520" w:lineRule="exact"/>
        <w:ind w:firstLine="600" w:firstLineChars="200"/>
        <w:jc w:val="left"/>
        <w:textAlignment w:val="auto"/>
        <w:rPr>
          <w:rFonts w:hint="eastAsia" w:ascii="黑体" w:hAnsi="黑体" w:eastAsia="黑体" w:cs="黑体"/>
          <w:b/>
          <w:bCs/>
          <w:sz w:val="30"/>
          <w:szCs w:val="30"/>
          <w:highlight w:val="none"/>
        </w:rPr>
      </w:pPr>
      <w:r>
        <w:rPr>
          <w:rFonts w:hint="eastAsia" w:ascii="仿宋_GB2312" w:hAnsi="仿宋" w:eastAsia="仿宋_GB2312"/>
          <w:sz w:val="30"/>
          <w:szCs w:val="30"/>
          <w:highlight w:val="none"/>
          <w:lang w:val="en-US" w:eastAsia="zh-CN"/>
        </w:rPr>
        <w:t>6</w:t>
      </w:r>
      <w:r>
        <w:rPr>
          <w:rFonts w:hint="eastAsia" w:ascii="仿宋_GB2312" w:hAnsi="仿宋" w:eastAsia="仿宋_GB2312"/>
          <w:sz w:val="30"/>
          <w:szCs w:val="30"/>
          <w:highlight w:val="none"/>
        </w:rPr>
        <w:t>.2付款方式：</w:t>
      </w:r>
      <w:r>
        <w:rPr>
          <w:rFonts w:hint="eastAsia" w:ascii="黑体" w:hAnsi="黑体" w:eastAsia="黑体" w:cs="黑体"/>
          <w:b/>
          <w:bCs/>
          <w:sz w:val="30"/>
          <w:szCs w:val="30"/>
          <w:highlight w:val="none"/>
        </w:rPr>
        <w:t>半年期商业汇票（银行承兑汇票或商业承兑汇票）。</w:t>
      </w:r>
    </w:p>
    <w:p w14:paraId="7BCF0296">
      <w:pPr>
        <w:keepNext w:val="0"/>
        <w:keepLines w:val="0"/>
        <w:pageBreakBefore w:val="0"/>
        <w:widowControl w:val="0"/>
        <w:kinsoku/>
        <w:wordWrap/>
        <w:overflowPunct/>
        <w:topLinePunct w:val="0"/>
        <w:autoSpaceDE/>
        <w:autoSpaceDN/>
        <w:bidi w:val="0"/>
        <w:adjustRightInd/>
        <w:snapToGrid/>
        <w:spacing w:beforeLines="0" w:afterLines="0" w:line="520" w:lineRule="exact"/>
        <w:ind w:firstLine="600" w:firstLineChars="200"/>
        <w:jc w:val="left"/>
        <w:textAlignment w:val="auto"/>
        <w:rPr>
          <w:rFonts w:hint="eastAsia" w:ascii="仿宋_GB2312" w:hAnsi="仿宋" w:eastAsia="仿宋_GB2312" w:cs="Times New Roman"/>
          <w:b w:val="0"/>
          <w:bCs w:val="0"/>
          <w:sz w:val="30"/>
          <w:szCs w:val="30"/>
          <w:highlight w:val="none"/>
        </w:rPr>
      </w:pPr>
      <w:r>
        <w:rPr>
          <w:rFonts w:hint="eastAsia" w:ascii="仿宋_GB2312" w:hAnsi="仿宋" w:eastAsia="仿宋_GB2312"/>
          <w:sz w:val="30"/>
          <w:szCs w:val="30"/>
          <w:highlight w:val="none"/>
        </w:rPr>
        <w:t>乙方按照合同约定提供培训服务，每期培训结束后按评价结果结算</w:t>
      </w:r>
      <w:r>
        <w:rPr>
          <w:rFonts w:hint="eastAsia" w:ascii="仿宋_GB2312" w:hAnsi="仿宋" w:eastAsia="仿宋_GB2312"/>
          <w:sz w:val="30"/>
          <w:szCs w:val="30"/>
          <w:highlight w:val="none"/>
          <w:lang w:val="en-US" w:eastAsia="zh-CN"/>
        </w:rPr>
        <w:t>，甲方</w:t>
      </w:r>
      <w:r>
        <w:rPr>
          <w:rFonts w:hint="eastAsia" w:ascii="仿宋_GB2312" w:hAnsi="仿宋" w:eastAsia="仿宋_GB2312"/>
          <w:sz w:val="30"/>
          <w:szCs w:val="30"/>
          <w:highlight w:val="none"/>
        </w:rPr>
        <w:t>根据乙方服务质量、评价结果进行</w:t>
      </w:r>
      <w:r>
        <w:rPr>
          <w:rFonts w:hint="eastAsia" w:ascii="仿宋_GB2312" w:hAnsi="仿宋" w:eastAsia="仿宋_GB2312"/>
          <w:sz w:val="30"/>
          <w:szCs w:val="30"/>
          <w:highlight w:val="none"/>
          <w:lang w:val="en-US" w:eastAsia="zh-CN"/>
        </w:rPr>
        <w:t>费用</w:t>
      </w:r>
      <w:r>
        <w:rPr>
          <w:rFonts w:hint="eastAsia" w:ascii="仿宋_GB2312" w:hAnsi="仿宋" w:eastAsia="仿宋_GB2312"/>
          <w:sz w:val="30"/>
          <w:szCs w:val="30"/>
          <w:highlight w:val="none"/>
        </w:rPr>
        <w:t>结算</w:t>
      </w:r>
      <w:r>
        <w:rPr>
          <w:rFonts w:hint="eastAsia" w:ascii="仿宋_GB2312" w:hAnsi="仿宋" w:eastAsia="仿宋_GB2312"/>
          <w:sz w:val="30"/>
          <w:szCs w:val="30"/>
          <w:highlight w:val="none"/>
          <w:lang w:eastAsia="zh-CN"/>
        </w:rPr>
        <w:t>。</w:t>
      </w:r>
      <w:r>
        <w:rPr>
          <w:rFonts w:hint="eastAsia" w:ascii="仿宋_GB2312" w:hAnsi="仿宋" w:eastAsia="仿宋_GB2312" w:cs="Times New Roman"/>
          <w:b w:val="0"/>
          <w:bCs w:val="0"/>
          <w:sz w:val="30"/>
          <w:szCs w:val="30"/>
          <w:highlight w:val="none"/>
        </w:rPr>
        <w:t>培训过程中，对乙方的培训效果进行现场评价，评价采取计分法，满分为100分</w:t>
      </w:r>
      <w:r>
        <w:rPr>
          <w:rFonts w:hint="eastAsia" w:ascii="仿宋_GB2312" w:hAnsi="仿宋" w:eastAsia="仿宋_GB2312" w:cs="Times New Roman"/>
          <w:b w:val="0"/>
          <w:bCs w:val="0"/>
          <w:sz w:val="30"/>
          <w:szCs w:val="30"/>
          <w:highlight w:val="none"/>
          <w:lang w:eastAsia="zh-CN"/>
        </w:rPr>
        <w:t>，</w:t>
      </w:r>
      <w:r>
        <w:rPr>
          <w:rFonts w:hint="eastAsia" w:ascii="仿宋_GB2312" w:hAnsi="仿宋" w:eastAsia="仿宋_GB2312" w:cs="Times New Roman"/>
          <w:b w:val="0"/>
          <w:bCs w:val="0"/>
          <w:sz w:val="30"/>
          <w:szCs w:val="30"/>
          <w:highlight w:val="none"/>
        </w:rPr>
        <w:t>得分</w:t>
      </w:r>
      <w:r>
        <w:rPr>
          <w:rFonts w:hint="eastAsia" w:ascii="仿宋_GB2312" w:hAnsi="仿宋" w:eastAsia="仿宋_GB2312" w:cs="Times New Roman"/>
          <w:b w:val="0"/>
          <w:bCs w:val="0"/>
          <w:sz w:val="30"/>
          <w:szCs w:val="30"/>
          <w:highlight w:val="none"/>
          <w:lang w:val="en-US" w:eastAsia="zh-CN"/>
        </w:rPr>
        <w:t>≥</w:t>
      </w:r>
      <w:r>
        <w:rPr>
          <w:rFonts w:hint="eastAsia" w:ascii="仿宋_GB2312" w:hAnsi="仿宋" w:eastAsia="仿宋_GB2312" w:cs="Times New Roman"/>
          <w:b w:val="0"/>
          <w:bCs w:val="0"/>
          <w:sz w:val="30"/>
          <w:szCs w:val="30"/>
          <w:highlight w:val="none"/>
        </w:rPr>
        <w:t>85分的，按合同履行金额100%支付；80≤总得分&lt;85分，按合同履行金额80%支付；总得分&lt;80分，按合同履行金额60%支付，并取消其继续合作资格，视情况列入重汽供应商黑名单。</w:t>
      </w:r>
      <w:r>
        <w:rPr>
          <w:rFonts w:hint="eastAsia" w:ascii="仿宋_GB2312" w:hAnsi="仿宋" w:eastAsia="仿宋_GB2312"/>
          <w:sz w:val="30"/>
          <w:szCs w:val="30"/>
          <w:highlight w:val="none"/>
        </w:rPr>
        <w:t>乙方按合同约定金额的</w:t>
      </w:r>
      <w:r>
        <w:rPr>
          <w:rFonts w:hint="eastAsia" w:ascii="仿宋_GB2312" w:hAnsi="仿宋" w:eastAsia="仿宋_GB2312"/>
          <w:sz w:val="30"/>
          <w:szCs w:val="30"/>
          <w:highlight w:val="none"/>
          <w:lang w:val="en-US" w:eastAsia="zh-CN"/>
        </w:rPr>
        <w:t>对应比例</w:t>
      </w:r>
      <w:r>
        <w:rPr>
          <w:rFonts w:hint="eastAsia" w:ascii="仿宋_GB2312" w:hAnsi="仿宋" w:eastAsia="仿宋_GB2312"/>
          <w:sz w:val="30"/>
          <w:szCs w:val="30"/>
          <w:highlight w:val="none"/>
        </w:rPr>
        <w:t>开具符合法律规定的增值税专用发票</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甲方收到发票后30个工作日内支付发票载明的采购费用。</w:t>
      </w:r>
    </w:p>
    <w:p w14:paraId="70686F3A">
      <w:pPr>
        <w:keepNext w:val="0"/>
        <w:keepLines w:val="0"/>
        <w:pageBreakBefore w:val="0"/>
        <w:widowControl w:val="0"/>
        <w:kinsoku/>
        <w:wordWrap/>
        <w:overflowPunct/>
        <w:topLinePunct w:val="0"/>
        <w:autoSpaceDE/>
        <w:autoSpaceDN/>
        <w:bidi w:val="0"/>
        <w:adjustRightInd/>
        <w:snapToGrid/>
        <w:spacing w:beforeLines="0" w:afterLines="0" w:line="520" w:lineRule="exact"/>
        <w:ind w:firstLine="600" w:firstLineChars="200"/>
        <w:jc w:val="left"/>
        <w:textAlignment w:val="auto"/>
        <w:rPr>
          <w:rFonts w:hint="eastAsia" w:ascii="仿宋_GB2312" w:hAnsi="仿宋" w:eastAsia="仿宋_GB2312" w:cs="Times New Roman"/>
          <w:b w:val="0"/>
          <w:bCs w:val="0"/>
          <w:sz w:val="30"/>
          <w:szCs w:val="30"/>
          <w:highlight w:val="none"/>
          <w:lang w:eastAsia="zh-CN"/>
        </w:rPr>
      </w:pPr>
      <w:r>
        <w:rPr>
          <w:rFonts w:hint="eastAsia" w:ascii="仿宋_GB2312" w:hAnsi="Calibri" w:eastAsia="仿宋_GB2312" w:cs="Times New Roman"/>
          <w:sz w:val="30"/>
          <w:szCs w:val="30"/>
          <w:highlight w:val="none"/>
        </w:rPr>
        <w:t>因发票违规给付款方造成的增值税、所得税等损失，由开票方承担相关责任，包括但不限于税款、滞纳金、罚款及其它相关损失</w:t>
      </w:r>
      <w:r>
        <w:rPr>
          <w:rFonts w:hint="eastAsia" w:ascii="仿宋_GB2312" w:hAnsi="Calibri" w:eastAsia="仿宋_GB2312" w:cs="Times New Roman"/>
          <w:sz w:val="30"/>
          <w:szCs w:val="30"/>
          <w:highlight w:val="none"/>
          <w:lang w:eastAsia="zh-CN"/>
        </w:rPr>
        <w:t>。</w:t>
      </w:r>
    </w:p>
    <w:p w14:paraId="627893D2">
      <w:pPr>
        <w:keepNext w:val="0"/>
        <w:keepLines w:val="0"/>
        <w:pageBreakBefore w:val="0"/>
        <w:widowControl w:val="0"/>
        <w:kinsoku/>
        <w:wordWrap/>
        <w:overflowPunct/>
        <w:topLinePunct w:val="0"/>
        <w:bidi w:val="0"/>
        <w:snapToGrid/>
        <w:spacing w:line="520" w:lineRule="exact"/>
        <w:ind w:firstLine="602" w:firstLineChars="200"/>
        <w:jc w:val="left"/>
        <w:textAlignment w:val="auto"/>
        <w:outlineLvl w:val="1"/>
        <w:rPr>
          <w:rFonts w:ascii="楷体_GB2312" w:hAnsi="楷体_GB2312" w:eastAsia="楷体_GB2312" w:cs="楷体_GB2312"/>
          <w:b/>
          <w:bCs/>
          <w:sz w:val="30"/>
          <w:szCs w:val="30"/>
          <w:highlight w:val="none"/>
        </w:rPr>
      </w:pPr>
      <w:r>
        <w:rPr>
          <w:rFonts w:hint="eastAsia" w:ascii="楷体_GB2312" w:hAnsi="楷体_GB2312" w:eastAsia="楷体_GB2312" w:cs="楷体_GB2312"/>
          <w:b/>
          <w:bCs/>
          <w:sz w:val="30"/>
          <w:szCs w:val="30"/>
          <w:highlight w:val="none"/>
          <w:lang w:val="en-US" w:eastAsia="zh-CN"/>
        </w:rPr>
        <w:t>7</w:t>
      </w:r>
      <w:r>
        <w:rPr>
          <w:rFonts w:hint="eastAsia" w:ascii="楷体_GB2312" w:hAnsi="楷体_GB2312" w:eastAsia="楷体_GB2312" w:cs="楷体_GB2312"/>
          <w:b/>
          <w:bCs/>
          <w:sz w:val="30"/>
          <w:szCs w:val="30"/>
          <w:highlight w:val="none"/>
        </w:rPr>
        <w:t>.评标原则和评分标准</w:t>
      </w:r>
    </w:p>
    <w:p w14:paraId="3B6DB530">
      <w:pPr>
        <w:keepNext w:val="0"/>
        <w:keepLines w:val="0"/>
        <w:pageBreakBefore w:val="0"/>
        <w:widowControl w:val="0"/>
        <w:kinsoku/>
        <w:wordWrap/>
        <w:overflowPunct/>
        <w:topLinePunct w:val="0"/>
        <w:bidi w:val="0"/>
        <w:snapToGrid/>
        <w:spacing w:line="520" w:lineRule="exact"/>
        <w:ind w:firstLine="600" w:firstLineChars="200"/>
        <w:jc w:val="left"/>
        <w:textAlignment w:val="auto"/>
        <w:rPr>
          <w:rFonts w:ascii="仿宋_GB2312" w:hAnsi="仿宋" w:eastAsia="仿宋_GB2312"/>
          <w:sz w:val="30"/>
          <w:szCs w:val="30"/>
          <w:highlight w:val="none"/>
        </w:rPr>
      </w:pPr>
      <w:r>
        <w:rPr>
          <w:rFonts w:hint="eastAsia" w:ascii="仿宋_GB2312" w:hAnsi="仿宋" w:eastAsia="仿宋_GB2312"/>
          <w:sz w:val="30"/>
          <w:szCs w:val="30"/>
          <w:highlight w:val="none"/>
          <w:lang w:val="en-US" w:eastAsia="zh-CN"/>
        </w:rPr>
        <w:t>7</w:t>
      </w:r>
      <w:r>
        <w:rPr>
          <w:rFonts w:hint="eastAsia" w:ascii="仿宋_GB2312" w:hAnsi="仿宋" w:eastAsia="仿宋_GB2312"/>
          <w:sz w:val="30"/>
          <w:szCs w:val="30"/>
          <w:highlight w:val="none"/>
        </w:rPr>
        <w:t>.1评标工作由招标人为该项目依法组织的、由3人及以上单数成员组成的评标工作小组负责。由评标工作小组按照国家招投标有关规定，本着公平、公正、公开、有序的原则，在最大限度地满足招标文件实质性要求的前提下，按照招标文件中规定的各项因素进行评审。</w:t>
      </w:r>
    </w:p>
    <w:p w14:paraId="08E716EC">
      <w:pPr>
        <w:keepNext w:val="0"/>
        <w:keepLines w:val="0"/>
        <w:pageBreakBefore w:val="0"/>
        <w:widowControl w:val="0"/>
        <w:numPr>
          <w:ilvl w:val="0"/>
          <w:numId w:val="2"/>
        </w:numPr>
        <w:kinsoku/>
        <w:wordWrap/>
        <w:overflowPunct/>
        <w:topLinePunct w:val="0"/>
        <w:bidi w:val="0"/>
        <w:snapToGrid/>
        <w:spacing w:line="520" w:lineRule="exact"/>
        <w:ind w:firstLine="600" w:firstLineChars="200"/>
        <w:jc w:val="left"/>
        <w:textAlignment w:val="auto"/>
        <w:outlineLvl w:val="2"/>
        <w:rPr>
          <w:rFonts w:hint="eastAsia" w:ascii="仿宋_GB2312" w:hAnsi="仿宋" w:eastAsia="仿宋_GB2312"/>
          <w:sz w:val="30"/>
          <w:szCs w:val="30"/>
          <w:highlight w:val="none"/>
        </w:rPr>
      </w:pPr>
      <w:r>
        <w:rPr>
          <w:rFonts w:hint="eastAsia" w:ascii="仿宋_GB2312" w:hAnsi="仿宋" w:eastAsia="仿宋_GB2312"/>
          <w:sz w:val="30"/>
          <w:szCs w:val="30"/>
          <w:highlight w:val="none"/>
        </w:rPr>
        <w:t>技术标评分标准如下：</w:t>
      </w:r>
    </w:p>
    <w:p w14:paraId="002B8590">
      <w:pPr>
        <w:pStyle w:val="13"/>
        <w:widowControl w:val="0"/>
        <w:numPr>
          <w:ilvl w:val="0"/>
          <w:numId w:val="0"/>
        </w:numPr>
        <w:snapToGrid w:val="0"/>
        <w:spacing w:line="300" w:lineRule="exact"/>
        <w:jc w:val="left"/>
        <w:rPr>
          <w:highlight w:val="none"/>
        </w:rPr>
      </w:pPr>
    </w:p>
    <w:tbl>
      <w:tblPr>
        <w:tblStyle w:val="20"/>
        <w:tblW w:w="98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104"/>
        <w:gridCol w:w="6048"/>
        <w:gridCol w:w="989"/>
        <w:gridCol w:w="544"/>
      </w:tblGrid>
      <w:tr w14:paraId="381DB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1134" w:type="dxa"/>
            <w:vAlign w:val="center"/>
          </w:tcPr>
          <w:p w14:paraId="00706429">
            <w:pPr>
              <w:widowControl/>
              <w:spacing w:line="300" w:lineRule="exact"/>
              <w:jc w:val="center"/>
              <w:rPr>
                <w:rFonts w:hint="eastAsia" w:ascii="黑体" w:hAnsi="黑体" w:eastAsia="黑体" w:cs="黑体"/>
                <w:b/>
                <w:bCs/>
                <w:color w:val="000000"/>
                <w:kern w:val="0"/>
                <w:sz w:val="20"/>
                <w:highlight w:val="none"/>
                <w:lang w:bidi="ar"/>
              </w:rPr>
            </w:pPr>
            <w:r>
              <w:rPr>
                <w:rFonts w:hint="eastAsia" w:ascii="黑体" w:hAnsi="黑体" w:eastAsia="黑体" w:cs="黑体"/>
                <w:b/>
                <w:bCs/>
                <w:color w:val="000000"/>
                <w:kern w:val="0"/>
                <w:sz w:val="20"/>
                <w:highlight w:val="none"/>
                <w:lang w:bidi="ar"/>
              </w:rPr>
              <w:t>项目</w:t>
            </w:r>
          </w:p>
        </w:tc>
        <w:tc>
          <w:tcPr>
            <w:tcW w:w="1104" w:type="dxa"/>
            <w:shd w:val="clear" w:color="auto" w:fill="auto"/>
            <w:vAlign w:val="center"/>
          </w:tcPr>
          <w:p w14:paraId="5B09D3D5">
            <w:pPr>
              <w:widowControl/>
              <w:spacing w:line="300" w:lineRule="exact"/>
              <w:jc w:val="center"/>
              <w:rPr>
                <w:rFonts w:hint="eastAsia" w:ascii="黑体" w:hAnsi="黑体" w:eastAsia="黑体" w:cs="黑体"/>
                <w:b/>
                <w:bCs/>
                <w:color w:val="000000"/>
                <w:kern w:val="0"/>
                <w:sz w:val="20"/>
                <w:highlight w:val="none"/>
                <w:lang w:bidi="ar"/>
              </w:rPr>
            </w:pPr>
            <w:r>
              <w:rPr>
                <w:rFonts w:hint="eastAsia" w:ascii="黑体" w:hAnsi="黑体" w:eastAsia="黑体" w:cs="黑体"/>
                <w:b/>
                <w:bCs/>
                <w:color w:val="000000"/>
                <w:kern w:val="0"/>
                <w:sz w:val="20"/>
                <w:highlight w:val="none"/>
                <w:lang w:bidi="ar"/>
              </w:rPr>
              <w:t>细则</w:t>
            </w:r>
          </w:p>
        </w:tc>
        <w:tc>
          <w:tcPr>
            <w:tcW w:w="7037" w:type="dxa"/>
            <w:gridSpan w:val="2"/>
            <w:shd w:val="clear" w:color="auto" w:fill="auto"/>
            <w:vAlign w:val="center"/>
          </w:tcPr>
          <w:p w14:paraId="33B8A0F9">
            <w:pPr>
              <w:widowControl/>
              <w:spacing w:line="300" w:lineRule="exact"/>
              <w:jc w:val="center"/>
              <w:rPr>
                <w:rFonts w:hint="eastAsia" w:ascii="黑体" w:hAnsi="黑体" w:eastAsia="黑体" w:cs="黑体"/>
                <w:b/>
                <w:bCs/>
                <w:color w:val="000000"/>
                <w:kern w:val="0"/>
                <w:sz w:val="20"/>
                <w:highlight w:val="none"/>
                <w:lang w:bidi="ar"/>
              </w:rPr>
            </w:pPr>
            <w:r>
              <w:rPr>
                <w:rFonts w:hint="eastAsia" w:ascii="黑体" w:hAnsi="黑体" w:eastAsia="黑体" w:cs="黑体"/>
                <w:b/>
                <w:bCs/>
                <w:color w:val="000000"/>
                <w:kern w:val="0"/>
                <w:sz w:val="20"/>
                <w:highlight w:val="none"/>
                <w:lang w:bidi="ar"/>
              </w:rPr>
              <w:t>技术标评分标准</w:t>
            </w:r>
          </w:p>
        </w:tc>
        <w:tc>
          <w:tcPr>
            <w:tcW w:w="544" w:type="dxa"/>
            <w:shd w:val="clear" w:color="auto" w:fill="auto"/>
            <w:vAlign w:val="center"/>
          </w:tcPr>
          <w:p w14:paraId="202657D6">
            <w:pPr>
              <w:widowControl/>
              <w:spacing w:line="300" w:lineRule="exact"/>
              <w:jc w:val="center"/>
              <w:rPr>
                <w:rFonts w:hint="eastAsia" w:ascii="黑体" w:hAnsi="黑体" w:eastAsia="黑体" w:cs="黑体"/>
                <w:b/>
                <w:bCs/>
                <w:color w:val="000000"/>
                <w:kern w:val="0"/>
                <w:sz w:val="20"/>
                <w:highlight w:val="none"/>
                <w:lang w:bidi="ar"/>
              </w:rPr>
            </w:pPr>
            <w:r>
              <w:rPr>
                <w:rFonts w:hint="eastAsia" w:ascii="黑体" w:hAnsi="黑体" w:eastAsia="黑体" w:cs="黑体"/>
                <w:b/>
                <w:bCs/>
                <w:color w:val="000000"/>
                <w:kern w:val="0"/>
                <w:sz w:val="20"/>
                <w:highlight w:val="none"/>
                <w:lang w:bidi="ar"/>
              </w:rPr>
              <w:t>得分</w:t>
            </w:r>
          </w:p>
        </w:tc>
      </w:tr>
      <w:tr w14:paraId="1231A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7" w:hRule="atLeast"/>
          <w:jc w:val="center"/>
        </w:trPr>
        <w:tc>
          <w:tcPr>
            <w:tcW w:w="1134" w:type="dxa"/>
            <w:vMerge w:val="restart"/>
            <w:vAlign w:val="center"/>
          </w:tcPr>
          <w:p w14:paraId="0E439F30">
            <w:pPr>
              <w:widowControl/>
              <w:spacing w:line="300" w:lineRule="exact"/>
              <w:jc w:val="center"/>
              <w:rPr>
                <w:rFonts w:hint="eastAsia" w:ascii="仿宋_GB2312" w:hAnsi="仿宋_GB2312" w:eastAsia="仿宋_GB2312" w:cs="仿宋_GB2312"/>
                <w:highlight w:val="none"/>
              </w:rPr>
            </w:pPr>
            <w:r>
              <w:rPr>
                <w:rFonts w:hint="eastAsia" w:ascii="仿宋_GB2312" w:hAnsi="仿宋_GB2312" w:eastAsia="仿宋_GB2312" w:cs="仿宋_GB2312"/>
                <w:highlight w:val="none"/>
              </w:rPr>
              <w:t>技术标</w:t>
            </w:r>
          </w:p>
          <w:p w14:paraId="3010E50B">
            <w:pPr>
              <w:widowControl/>
              <w:spacing w:line="300" w:lineRule="exact"/>
              <w:jc w:val="center"/>
              <w:rPr>
                <w:rFonts w:hint="eastAsia" w:ascii="仿宋_GB2312" w:hAnsi="仿宋_GB2312" w:eastAsia="仿宋_GB2312" w:cs="仿宋_GB2312"/>
                <w:szCs w:val="21"/>
                <w:highlight w:val="none"/>
              </w:rPr>
            </w:pPr>
            <w:r>
              <w:rPr>
                <w:rFonts w:hint="eastAsia" w:ascii="仿宋_GB2312" w:hAnsi="仿宋_GB2312" w:eastAsia="仿宋_GB2312" w:cs="仿宋_GB2312"/>
                <w:highlight w:val="none"/>
              </w:rPr>
              <w:t>（100分）</w:t>
            </w:r>
          </w:p>
        </w:tc>
        <w:tc>
          <w:tcPr>
            <w:tcW w:w="1104" w:type="dxa"/>
            <w:shd w:val="clear" w:color="auto" w:fill="auto"/>
            <w:vAlign w:val="center"/>
          </w:tcPr>
          <w:p w14:paraId="69A29B9E">
            <w:pPr>
              <w:widowControl/>
              <w:spacing w:line="300" w:lineRule="exac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投标方</w:t>
            </w:r>
          </w:p>
          <w:p w14:paraId="229840F9">
            <w:pPr>
              <w:widowControl/>
              <w:spacing w:line="300" w:lineRule="exac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业绩</w:t>
            </w:r>
          </w:p>
          <w:p w14:paraId="63C488B2">
            <w:pPr>
              <w:widowControl/>
              <w:spacing w:line="300" w:lineRule="exac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（20 分）</w:t>
            </w:r>
          </w:p>
        </w:tc>
        <w:tc>
          <w:tcPr>
            <w:tcW w:w="6048" w:type="dxa"/>
            <w:shd w:val="clear" w:color="auto" w:fill="auto"/>
            <w:vAlign w:val="center"/>
          </w:tcPr>
          <w:p w14:paraId="6F13C8F3">
            <w:pPr>
              <w:widowControl/>
              <w:spacing w:line="300" w:lineRule="exact"/>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1.合作单位、整车及相关行业案例（同行业加分）及业务拓展情况。合作一家得3分，最高15分。</w:t>
            </w:r>
          </w:p>
          <w:p w14:paraId="3E9F83A0">
            <w:pPr>
              <w:widowControl/>
              <w:spacing w:line="300" w:lineRule="exact"/>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2.取得的相关荣誉、信用等级和认证证书得5分，缺少的视情况得1-3分。</w:t>
            </w:r>
          </w:p>
        </w:tc>
        <w:tc>
          <w:tcPr>
            <w:tcW w:w="989" w:type="dxa"/>
            <w:vMerge w:val="restart"/>
            <w:shd w:val="clear" w:color="auto" w:fill="auto"/>
            <w:vAlign w:val="center"/>
          </w:tcPr>
          <w:p w14:paraId="1BC1B4FB">
            <w:pPr>
              <w:widowControl/>
              <w:spacing w:line="300" w:lineRule="exact"/>
              <w:jc w:val="both"/>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现场讲标。围绕投标方业绩、培训方案、服务承诺、投标方资质等方面阐述项目保障、计划、技术服务等。</w:t>
            </w:r>
          </w:p>
        </w:tc>
        <w:tc>
          <w:tcPr>
            <w:tcW w:w="544" w:type="dxa"/>
            <w:shd w:val="clear" w:color="auto" w:fill="auto"/>
            <w:vAlign w:val="center"/>
          </w:tcPr>
          <w:p w14:paraId="2D11B44D">
            <w:pPr>
              <w:widowControl/>
              <w:spacing w:line="300" w:lineRule="exact"/>
              <w:jc w:val="left"/>
              <w:rPr>
                <w:rFonts w:hint="eastAsia" w:ascii="仿宋_GB2312" w:hAnsi="仿宋_GB2312" w:eastAsia="仿宋_GB2312" w:cs="仿宋_GB2312"/>
                <w:szCs w:val="21"/>
                <w:highlight w:val="none"/>
              </w:rPr>
            </w:pPr>
          </w:p>
        </w:tc>
      </w:tr>
      <w:tr w14:paraId="69207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1" w:hRule="atLeast"/>
          <w:jc w:val="center"/>
        </w:trPr>
        <w:tc>
          <w:tcPr>
            <w:tcW w:w="1134" w:type="dxa"/>
            <w:vMerge w:val="continue"/>
          </w:tcPr>
          <w:p w14:paraId="31858783">
            <w:pPr>
              <w:widowControl/>
              <w:spacing w:line="300" w:lineRule="exact"/>
              <w:jc w:val="center"/>
              <w:rPr>
                <w:rFonts w:hint="eastAsia" w:ascii="仿宋_GB2312" w:hAnsi="仿宋_GB2312" w:eastAsia="仿宋_GB2312" w:cs="仿宋_GB2312"/>
                <w:szCs w:val="21"/>
                <w:highlight w:val="none"/>
              </w:rPr>
            </w:pPr>
          </w:p>
        </w:tc>
        <w:tc>
          <w:tcPr>
            <w:tcW w:w="1104" w:type="dxa"/>
            <w:shd w:val="clear" w:color="auto" w:fill="auto"/>
            <w:vAlign w:val="center"/>
          </w:tcPr>
          <w:p w14:paraId="6808F324">
            <w:pPr>
              <w:widowControl/>
              <w:spacing w:line="300" w:lineRule="exac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培训方案</w:t>
            </w:r>
          </w:p>
          <w:p w14:paraId="712D268E">
            <w:pPr>
              <w:widowControl/>
              <w:spacing w:line="300" w:lineRule="exac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w:t>
            </w:r>
            <w:r>
              <w:rPr>
                <w:rFonts w:hint="eastAsia" w:ascii="仿宋_GB2312" w:hAnsi="仿宋_GB2312" w:eastAsia="仿宋_GB2312" w:cs="仿宋_GB2312"/>
                <w:szCs w:val="21"/>
                <w:highlight w:val="none"/>
                <w:lang w:val="en-US" w:eastAsia="zh-CN"/>
              </w:rPr>
              <w:t>8</w:t>
            </w:r>
            <w:r>
              <w:rPr>
                <w:rFonts w:hint="eastAsia" w:ascii="仿宋_GB2312" w:hAnsi="仿宋_GB2312" w:eastAsia="仿宋_GB2312" w:cs="仿宋_GB2312"/>
                <w:szCs w:val="21"/>
                <w:highlight w:val="none"/>
              </w:rPr>
              <w:t>0 分）</w:t>
            </w:r>
          </w:p>
        </w:tc>
        <w:tc>
          <w:tcPr>
            <w:tcW w:w="6048" w:type="dxa"/>
            <w:shd w:val="clear" w:color="auto" w:fill="auto"/>
            <w:vAlign w:val="center"/>
          </w:tcPr>
          <w:p w14:paraId="4C304E01">
            <w:pPr>
              <w:widowControl/>
              <w:spacing w:line="300" w:lineRule="exact"/>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lang w:val="en-US" w:eastAsia="zh-CN"/>
              </w:rPr>
              <w:t>1.</w:t>
            </w:r>
            <w:r>
              <w:rPr>
                <w:rFonts w:hint="eastAsia" w:ascii="仿宋_GB2312" w:hAnsi="仿宋_GB2312" w:eastAsia="仿宋_GB2312" w:cs="仿宋_GB2312"/>
                <w:szCs w:val="21"/>
                <w:highlight w:val="none"/>
              </w:rPr>
              <w:t>团队管理：管理架构清晰、专有讲师团队在20人以上得</w:t>
            </w:r>
            <w:r>
              <w:rPr>
                <w:rFonts w:hint="eastAsia" w:ascii="仿宋_GB2312" w:hAnsi="仿宋_GB2312" w:eastAsia="仿宋_GB2312" w:cs="仿宋_GB2312"/>
                <w:szCs w:val="21"/>
                <w:highlight w:val="none"/>
                <w:lang w:val="en-US" w:eastAsia="zh-CN"/>
              </w:rPr>
              <w:t>10</w:t>
            </w:r>
            <w:r>
              <w:rPr>
                <w:rFonts w:hint="eastAsia" w:ascii="仿宋_GB2312" w:hAnsi="仿宋_GB2312" w:eastAsia="仿宋_GB2312" w:cs="仿宋_GB2312"/>
                <w:szCs w:val="21"/>
                <w:highlight w:val="none"/>
              </w:rPr>
              <w:t>分，不足视情况得1-</w:t>
            </w:r>
            <w:r>
              <w:rPr>
                <w:rFonts w:hint="eastAsia" w:ascii="仿宋_GB2312" w:hAnsi="仿宋_GB2312" w:eastAsia="仿宋_GB2312" w:cs="仿宋_GB2312"/>
                <w:szCs w:val="21"/>
                <w:highlight w:val="none"/>
                <w:lang w:val="en-US" w:eastAsia="zh-CN"/>
              </w:rPr>
              <w:t>8</w:t>
            </w:r>
            <w:r>
              <w:rPr>
                <w:rFonts w:hint="eastAsia" w:ascii="仿宋_GB2312" w:hAnsi="仿宋_GB2312" w:eastAsia="仿宋_GB2312" w:cs="仿宋_GB2312"/>
                <w:szCs w:val="21"/>
                <w:highlight w:val="none"/>
              </w:rPr>
              <w:t>分。</w:t>
            </w:r>
          </w:p>
          <w:p w14:paraId="0E531D67">
            <w:pPr>
              <w:widowControl/>
              <w:spacing w:line="300" w:lineRule="exact"/>
              <w:jc w:val="left"/>
              <w:rPr>
                <w:rFonts w:hint="default" w:ascii="仿宋_GB2312" w:hAnsi="仿宋_GB2312" w:eastAsia="仿宋_GB2312" w:cs="仿宋_GB2312"/>
                <w:szCs w:val="21"/>
                <w:highlight w:val="none"/>
                <w:lang w:val="en-US" w:eastAsia="zh-CN"/>
              </w:rPr>
            </w:pPr>
            <w:r>
              <w:rPr>
                <w:rFonts w:hint="eastAsia" w:ascii="仿宋_GB2312" w:hAnsi="仿宋_GB2312" w:eastAsia="仿宋_GB2312" w:cs="仿宋_GB2312"/>
                <w:szCs w:val="21"/>
                <w:highlight w:val="none"/>
                <w:lang w:val="en-US" w:eastAsia="zh-CN"/>
              </w:rPr>
              <w:t>2.讲师资质：</w:t>
            </w:r>
            <w:r>
              <w:rPr>
                <w:rFonts w:hint="eastAsia" w:ascii="仿宋_GB2312" w:hAnsi="仿宋_GB2312" w:eastAsia="仿宋_GB2312" w:cs="仿宋_GB2312"/>
                <w:szCs w:val="21"/>
                <w:highlight w:val="none"/>
              </w:rPr>
              <w:t>讲师具备相关领域的专业资质和经验</w:t>
            </w:r>
            <w:r>
              <w:rPr>
                <w:rFonts w:hint="eastAsia" w:ascii="仿宋_GB2312" w:hAnsi="仿宋_GB2312" w:eastAsia="仿宋_GB2312" w:cs="仿宋_GB2312"/>
                <w:szCs w:val="21"/>
                <w:highlight w:val="none"/>
                <w:lang w:eastAsia="zh-CN"/>
              </w:rPr>
              <w:t>，</w:t>
            </w:r>
            <w:r>
              <w:rPr>
                <w:rFonts w:hint="eastAsia" w:ascii="仿宋_GB2312" w:hAnsi="仿宋_GB2312" w:eastAsia="仿宋_GB2312" w:cs="仿宋_GB2312"/>
                <w:szCs w:val="21"/>
                <w:highlight w:val="none"/>
              </w:rPr>
              <w:t>丰富的实践经验和行业案例</w:t>
            </w:r>
            <w:r>
              <w:rPr>
                <w:rFonts w:hint="eastAsia" w:ascii="仿宋_GB2312" w:hAnsi="仿宋_GB2312" w:eastAsia="仿宋_GB2312" w:cs="仿宋_GB2312"/>
                <w:szCs w:val="21"/>
                <w:highlight w:val="none"/>
                <w:lang w:eastAsia="zh-CN"/>
              </w:rPr>
              <w:t>，</w:t>
            </w:r>
            <w:r>
              <w:rPr>
                <w:rFonts w:hint="eastAsia" w:ascii="仿宋_GB2312" w:hAnsi="仿宋_GB2312" w:eastAsia="仿宋_GB2312" w:cs="仿宋_GB2312"/>
                <w:szCs w:val="21"/>
                <w:highlight w:val="none"/>
                <w:lang w:val="en-US" w:eastAsia="zh-CN"/>
              </w:rPr>
              <w:t>视情况得1-20分。</w:t>
            </w:r>
          </w:p>
          <w:p w14:paraId="26AFC2EC">
            <w:pPr>
              <w:widowControl/>
              <w:spacing w:line="300" w:lineRule="exact"/>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lang w:val="en-US" w:eastAsia="zh-CN"/>
              </w:rPr>
              <w:t>3</w:t>
            </w:r>
            <w:r>
              <w:rPr>
                <w:rFonts w:hint="eastAsia" w:ascii="仿宋_GB2312" w:hAnsi="仿宋_GB2312" w:eastAsia="仿宋_GB2312" w:cs="仿宋_GB2312"/>
                <w:szCs w:val="21"/>
                <w:highlight w:val="none"/>
              </w:rPr>
              <w:t>.培训内容：培训内容贴合度、课程内容丰富度、课程设计</w:t>
            </w:r>
            <w:r>
              <w:rPr>
                <w:rFonts w:hint="eastAsia" w:ascii="仿宋_GB2312" w:hAnsi="仿宋_GB2312" w:eastAsia="仿宋_GB2312" w:cs="仿宋_GB2312"/>
                <w:szCs w:val="21"/>
                <w:highlight w:val="none"/>
                <w:lang w:val="en-US" w:eastAsia="zh-CN"/>
              </w:rPr>
              <w:t>实用性</w:t>
            </w:r>
            <w:r>
              <w:rPr>
                <w:rFonts w:hint="eastAsia" w:ascii="仿宋_GB2312" w:hAnsi="仿宋_GB2312" w:eastAsia="仿宋_GB2312" w:cs="仿宋_GB2312"/>
                <w:szCs w:val="21"/>
                <w:highlight w:val="none"/>
              </w:rPr>
              <w:t>，完全符合得</w:t>
            </w:r>
            <w:r>
              <w:rPr>
                <w:rFonts w:hint="eastAsia" w:ascii="仿宋_GB2312" w:hAnsi="仿宋_GB2312" w:eastAsia="仿宋_GB2312" w:cs="仿宋_GB2312"/>
                <w:szCs w:val="21"/>
                <w:highlight w:val="none"/>
                <w:lang w:val="en-US" w:eastAsia="zh-CN"/>
              </w:rPr>
              <w:t>3</w:t>
            </w:r>
            <w:r>
              <w:rPr>
                <w:rFonts w:hint="eastAsia" w:ascii="仿宋_GB2312" w:hAnsi="仿宋_GB2312" w:eastAsia="仿宋_GB2312" w:cs="仿宋_GB2312"/>
                <w:szCs w:val="21"/>
                <w:highlight w:val="none"/>
              </w:rPr>
              <w:t>0分，符合得</w:t>
            </w:r>
            <w:r>
              <w:rPr>
                <w:rFonts w:hint="eastAsia" w:ascii="仿宋_GB2312" w:hAnsi="仿宋_GB2312" w:eastAsia="仿宋_GB2312" w:cs="仿宋_GB2312"/>
                <w:szCs w:val="21"/>
                <w:highlight w:val="none"/>
                <w:lang w:val="en-US" w:eastAsia="zh-CN"/>
              </w:rPr>
              <w:t>20</w:t>
            </w:r>
            <w:r>
              <w:rPr>
                <w:rFonts w:hint="eastAsia" w:ascii="仿宋_GB2312" w:hAnsi="仿宋_GB2312" w:eastAsia="仿宋_GB2312" w:cs="仿宋_GB2312"/>
                <w:szCs w:val="21"/>
                <w:highlight w:val="none"/>
              </w:rPr>
              <w:t>分，基本符合得</w:t>
            </w:r>
            <w:r>
              <w:rPr>
                <w:rFonts w:hint="eastAsia" w:ascii="仿宋_GB2312" w:hAnsi="仿宋_GB2312" w:eastAsia="仿宋_GB2312" w:cs="仿宋_GB2312"/>
                <w:szCs w:val="21"/>
                <w:highlight w:val="none"/>
                <w:lang w:val="en-US" w:eastAsia="zh-CN"/>
              </w:rPr>
              <w:t>15</w:t>
            </w:r>
            <w:r>
              <w:rPr>
                <w:rFonts w:hint="eastAsia" w:ascii="仿宋_GB2312" w:hAnsi="仿宋_GB2312" w:eastAsia="仿宋_GB2312" w:cs="仿宋_GB2312"/>
                <w:szCs w:val="21"/>
                <w:highlight w:val="none"/>
              </w:rPr>
              <w:t>分，不符合得5分。</w:t>
            </w:r>
          </w:p>
          <w:p w14:paraId="67281494">
            <w:pPr>
              <w:widowControl/>
              <w:spacing w:line="300" w:lineRule="exact"/>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lang w:val="en-US" w:eastAsia="zh-CN"/>
              </w:rPr>
              <w:t>4</w:t>
            </w:r>
            <w:r>
              <w:rPr>
                <w:rFonts w:hint="eastAsia" w:ascii="仿宋_GB2312" w:hAnsi="仿宋_GB2312" w:eastAsia="仿宋_GB2312" w:cs="仿宋_GB2312"/>
                <w:szCs w:val="21"/>
                <w:highlight w:val="none"/>
              </w:rPr>
              <w:t>.培训运营：项目运营方案可行、科学，具有课堂氛围营造措施、可提高员工培训满意度，完全符合得20分，符合得15分，基本符合得10分，不符合得5分。</w:t>
            </w:r>
          </w:p>
        </w:tc>
        <w:tc>
          <w:tcPr>
            <w:tcW w:w="989" w:type="dxa"/>
            <w:vMerge w:val="continue"/>
            <w:shd w:val="clear" w:color="auto" w:fill="auto"/>
            <w:vAlign w:val="center"/>
          </w:tcPr>
          <w:p w14:paraId="1A1E45D5">
            <w:pPr>
              <w:widowControl/>
              <w:spacing w:line="300" w:lineRule="exact"/>
              <w:jc w:val="left"/>
              <w:rPr>
                <w:rFonts w:hint="eastAsia" w:ascii="仿宋_GB2312" w:hAnsi="仿宋_GB2312" w:eastAsia="仿宋_GB2312" w:cs="仿宋_GB2312"/>
                <w:szCs w:val="21"/>
                <w:highlight w:val="none"/>
              </w:rPr>
            </w:pPr>
          </w:p>
        </w:tc>
        <w:tc>
          <w:tcPr>
            <w:tcW w:w="544" w:type="dxa"/>
            <w:shd w:val="clear" w:color="auto" w:fill="auto"/>
            <w:vAlign w:val="center"/>
          </w:tcPr>
          <w:p w14:paraId="24F63806">
            <w:pPr>
              <w:widowControl/>
              <w:spacing w:line="300" w:lineRule="exact"/>
              <w:jc w:val="left"/>
              <w:rPr>
                <w:rFonts w:hint="eastAsia" w:ascii="仿宋_GB2312" w:hAnsi="仿宋_GB2312" w:eastAsia="仿宋_GB2312" w:cs="仿宋_GB2312"/>
                <w:szCs w:val="21"/>
                <w:highlight w:val="none"/>
              </w:rPr>
            </w:pPr>
          </w:p>
        </w:tc>
      </w:tr>
    </w:tbl>
    <w:p w14:paraId="4FBB3432">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注1：投标人得分取所有评委对该投标人计分之和的算术平均值。</w:t>
      </w:r>
    </w:p>
    <w:p w14:paraId="6049803E">
      <w:pPr>
        <w:pStyle w:val="10"/>
        <w:spacing w:line="500" w:lineRule="exact"/>
        <w:ind w:firstLine="600" w:firstLineChars="200"/>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注2：最终得分小数点后保留2位有效数字。</w:t>
      </w:r>
    </w:p>
    <w:p w14:paraId="7B0D2803">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注3：对于未能提供承诺书证明材料的，一票否决。</w:t>
      </w:r>
    </w:p>
    <w:p w14:paraId="427789FA">
      <w:pPr>
        <w:pStyle w:val="10"/>
        <w:spacing w:line="500" w:lineRule="exact"/>
        <w:ind w:firstLine="600" w:firstLineChars="200"/>
        <w:outlineLvl w:val="2"/>
        <w:rPr>
          <w:rFonts w:ascii="仿宋_GB2312" w:hAnsi="仿宋" w:eastAsia="仿宋_GB2312" w:cs="Times New Roman"/>
          <w:sz w:val="30"/>
          <w:szCs w:val="30"/>
          <w:highlight w:val="none"/>
        </w:rPr>
      </w:pPr>
      <w:r>
        <w:rPr>
          <w:rFonts w:hint="eastAsia" w:ascii="仿宋_GB2312" w:hAnsi="仿宋" w:eastAsia="仿宋_GB2312" w:cs="Times New Roman"/>
          <w:sz w:val="30"/>
          <w:szCs w:val="30"/>
          <w:highlight w:val="none"/>
        </w:rPr>
        <w:t>（2）商务标评分标准</w:t>
      </w:r>
    </w:p>
    <w:tbl>
      <w:tblPr>
        <w:tblStyle w:val="20"/>
        <w:tblW w:w="9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5"/>
        <w:gridCol w:w="1104"/>
        <w:gridCol w:w="6815"/>
        <w:gridCol w:w="695"/>
      </w:tblGrid>
      <w:tr w14:paraId="16208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1085" w:type="dxa"/>
            <w:vAlign w:val="center"/>
          </w:tcPr>
          <w:p w14:paraId="2D386199">
            <w:pPr>
              <w:widowControl/>
              <w:spacing w:line="300" w:lineRule="exact"/>
              <w:jc w:val="center"/>
              <w:rPr>
                <w:rFonts w:hint="eastAsia" w:ascii="黑体" w:hAnsi="黑体" w:eastAsia="黑体" w:cs="黑体"/>
                <w:b/>
                <w:bCs/>
                <w:color w:val="000000"/>
                <w:kern w:val="0"/>
                <w:sz w:val="20"/>
                <w:highlight w:val="none"/>
                <w:lang w:bidi="ar"/>
              </w:rPr>
            </w:pPr>
            <w:r>
              <w:rPr>
                <w:rFonts w:hint="eastAsia" w:ascii="黑体" w:hAnsi="黑体" w:eastAsia="黑体" w:cs="黑体"/>
                <w:b/>
                <w:bCs/>
                <w:color w:val="000000"/>
                <w:kern w:val="0"/>
                <w:sz w:val="20"/>
                <w:highlight w:val="none"/>
                <w:lang w:bidi="ar"/>
              </w:rPr>
              <w:t>项目</w:t>
            </w:r>
          </w:p>
        </w:tc>
        <w:tc>
          <w:tcPr>
            <w:tcW w:w="1104" w:type="dxa"/>
            <w:shd w:val="clear" w:color="auto" w:fill="auto"/>
            <w:vAlign w:val="center"/>
          </w:tcPr>
          <w:p w14:paraId="2D4285A4">
            <w:pPr>
              <w:widowControl/>
              <w:spacing w:line="300" w:lineRule="exact"/>
              <w:jc w:val="center"/>
              <w:rPr>
                <w:rFonts w:hint="eastAsia" w:ascii="黑体" w:hAnsi="黑体" w:eastAsia="黑体" w:cs="黑体"/>
                <w:b/>
                <w:bCs/>
                <w:color w:val="000000"/>
                <w:kern w:val="0"/>
                <w:sz w:val="20"/>
                <w:highlight w:val="none"/>
                <w:lang w:bidi="ar"/>
              </w:rPr>
            </w:pPr>
            <w:r>
              <w:rPr>
                <w:rFonts w:hint="eastAsia" w:ascii="黑体" w:hAnsi="黑体" w:eastAsia="黑体" w:cs="黑体"/>
                <w:b/>
                <w:bCs/>
                <w:color w:val="000000"/>
                <w:kern w:val="0"/>
                <w:sz w:val="20"/>
                <w:highlight w:val="none"/>
                <w:lang w:bidi="ar"/>
              </w:rPr>
              <w:t>细则</w:t>
            </w:r>
          </w:p>
        </w:tc>
        <w:tc>
          <w:tcPr>
            <w:tcW w:w="6815" w:type="dxa"/>
            <w:shd w:val="clear" w:color="auto" w:fill="auto"/>
            <w:vAlign w:val="center"/>
          </w:tcPr>
          <w:p w14:paraId="37A30089">
            <w:pPr>
              <w:widowControl/>
              <w:spacing w:line="300" w:lineRule="exact"/>
              <w:jc w:val="center"/>
              <w:rPr>
                <w:rFonts w:hint="eastAsia" w:ascii="黑体" w:hAnsi="黑体" w:eastAsia="黑体" w:cs="黑体"/>
                <w:b/>
                <w:bCs/>
                <w:color w:val="000000"/>
                <w:kern w:val="0"/>
                <w:sz w:val="20"/>
                <w:highlight w:val="none"/>
                <w:lang w:bidi="ar"/>
              </w:rPr>
            </w:pPr>
            <w:r>
              <w:rPr>
                <w:rFonts w:hint="eastAsia" w:ascii="黑体" w:hAnsi="黑体" w:eastAsia="黑体" w:cs="黑体"/>
                <w:b/>
                <w:bCs/>
                <w:color w:val="000000"/>
                <w:kern w:val="0"/>
                <w:sz w:val="20"/>
                <w:highlight w:val="none"/>
                <w:lang w:bidi="ar"/>
              </w:rPr>
              <w:t>商务标评分标准</w:t>
            </w:r>
          </w:p>
        </w:tc>
        <w:tc>
          <w:tcPr>
            <w:tcW w:w="695" w:type="dxa"/>
            <w:shd w:val="clear" w:color="auto" w:fill="auto"/>
            <w:vAlign w:val="center"/>
          </w:tcPr>
          <w:p w14:paraId="7E1D6870">
            <w:pPr>
              <w:widowControl/>
              <w:spacing w:line="300" w:lineRule="exact"/>
              <w:jc w:val="center"/>
              <w:rPr>
                <w:rFonts w:hint="eastAsia" w:ascii="黑体" w:hAnsi="黑体" w:eastAsia="黑体" w:cs="黑体"/>
                <w:b/>
                <w:bCs/>
                <w:color w:val="000000"/>
                <w:kern w:val="0"/>
                <w:sz w:val="20"/>
                <w:highlight w:val="none"/>
                <w:lang w:bidi="ar"/>
              </w:rPr>
            </w:pPr>
            <w:r>
              <w:rPr>
                <w:rFonts w:hint="eastAsia" w:ascii="黑体" w:hAnsi="黑体" w:eastAsia="黑体" w:cs="黑体"/>
                <w:b/>
                <w:bCs/>
                <w:color w:val="000000"/>
                <w:kern w:val="0"/>
                <w:sz w:val="20"/>
                <w:highlight w:val="none"/>
                <w:lang w:bidi="ar"/>
              </w:rPr>
              <w:t>得分</w:t>
            </w:r>
          </w:p>
        </w:tc>
      </w:tr>
      <w:tr w14:paraId="47B27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jc w:val="center"/>
        </w:trPr>
        <w:tc>
          <w:tcPr>
            <w:tcW w:w="1085" w:type="dxa"/>
            <w:vAlign w:val="center"/>
          </w:tcPr>
          <w:p w14:paraId="5EF50F00">
            <w:pPr>
              <w:widowControl/>
              <w:spacing w:line="300" w:lineRule="exac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商务标</w:t>
            </w:r>
          </w:p>
          <w:p w14:paraId="52679951">
            <w:pPr>
              <w:widowControl/>
              <w:spacing w:line="300" w:lineRule="exac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（100分）</w:t>
            </w:r>
          </w:p>
        </w:tc>
        <w:tc>
          <w:tcPr>
            <w:tcW w:w="1104" w:type="dxa"/>
            <w:shd w:val="clear" w:color="auto" w:fill="auto"/>
            <w:vAlign w:val="center"/>
          </w:tcPr>
          <w:p w14:paraId="413E1A42">
            <w:pPr>
              <w:widowControl/>
              <w:spacing w:line="300" w:lineRule="exac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商务标</w:t>
            </w:r>
          </w:p>
          <w:p w14:paraId="74E1BF87">
            <w:pPr>
              <w:widowControl/>
              <w:spacing w:line="300" w:lineRule="exact"/>
              <w:jc w:val="center"/>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lang w:val="en-US" w:eastAsia="zh-CN"/>
              </w:rPr>
              <w:t>报价</w:t>
            </w:r>
          </w:p>
        </w:tc>
        <w:tc>
          <w:tcPr>
            <w:tcW w:w="6815" w:type="dxa"/>
            <w:shd w:val="clear" w:color="auto" w:fill="auto"/>
            <w:vAlign w:val="center"/>
          </w:tcPr>
          <w:p w14:paraId="614A65F6">
            <w:pPr>
              <w:widowControl/>
              <w:spacing w:line="300" w:lineRule="exact"/>
              <w:jc w:val="left"/>
              <w:rPr>
                <w:rFonts w:hint="eastAsia" w:ascii="仿宋_GB2312" w:hAnsi="仿宋_GB2312" w:eastAsia="仿宋_GB2312" w:cs="仿宋_GB2312"/>
                <w:szCs w:val="21"/>
                <w:highlight w:val="none"/>
              </w:rPr>
            </w:pPr>
            <w:r>
              <w:rPr>
                <w:rFonts w:hint="eastAsia" w:ascii="仿宋_GB2312" w:hAnsi="仿宋_GB2312" w:eastAsia="仿宋_GB2312" w:cs="仿宋_GB2312"/>
                <w:szCs w:val="21"/>
                <w:highlight w:val="none"/>
              </w:rPr>
              <w:t xml:space="preserve">各报价采用低价优先法计算，各方案以满足招标文件要求且报价最低的投标报价为评标基准价，其价格分为满分100分，其他供应商的价格分按照下列公式计算：投标报价得分=（评标基准价/投标报价）×100分。 </w:t>
            </w:r>
          </w:p>
        </w:tc>
        <w:tc>
          <w:tcPr>
            <w:tcW w:w="695" w:type="dxa"/>
            <w:shd w:val="clear" w:color="auto" w:fill="auto"/>
            <w:vAlign w:val="center"/>
          </w:tcPr>
          <w:p w14:paraId="35581E98">
            <w:pPr>
              <w:widowControl/>
              <w:spacing w:line="300" w:lineRule="exact"/>
              <w:jc w:val="left"/>
              <w:rPr>
                <w:rFonts w:hint="eastAsia" w:ascii="仿宋_GB2312" w:hAnsi="仿宋_GB2312" w:eastAsia="仿宋_GB2312" w:cs="仿宋_GB2312"/>
                <w:szCs w:val="21"/>
                <w:highlight w:val="none"/>
              </w:rPr>
            </w:pPr>
          </w:p>
        </w:tc>
      </w:tr>
    </w:tbl>
    <w:p w14:paraId="1014C045">
      <w:pPr>
        <w:pStyle w:val="13"/>
        <w:rPr>
          <w:highlight w:val="none"/>
        </w:rPr>
      </w:pPr>
    </w:p>
    <w:p w14:paraId="4DB27520">
      <w:pPr>
        <w:spacing w:line="500" w:lineRule="exact"/>
        <w:ind w:firstLine="600" w:firstLineChars="200"/>
        <w:rPr>
          <w:rFonts w:ascii="仿宋_GB2312" w:hAnsi="仿宋" w:eastAsia="仿宋_GB2312"/>
          <w:color w:val="000000" w:themeColor="text1"/>
          <w:sz w:val="30"/>
          <w:szCs w:val="30"/>
          <w:highlight w:val="none"/>
          <w14:textFill>
            <w14:solidFill>
              <w14:schemeClr w14:val="tx1"/>
            </w14:solidFill>
          </w14:textFill>
        </w:rPr>
      </w:pPr>
      <w:r>
        <w:rPr>
          <w:rFonts w:hint="eastAsia" w:ascii="仿宋_GB2312" w:hAnsi="仿宋" w:eastAsia="仿宋_GB2312"/>
          <w:sz w:val="30"/>
          <w:szCs w:val="30"/>
          <w:highlight w:val="none"/>
          <w:lang w:val="en-US" w:eastAsia="zh-CN"/>
        </w:rPr>
        <w:t>7</w:t>
      </w:r>
      <w:r>
        <w:rPr>
          <w:rFonts w:hint="eastAsia" w:ascii="仿宋_GB2312" w:hAnsi="仿宋" w:eastAsia="仿宋_GB2312"/>
          <w:sz w:val="30"/>
          <w:szCs w:val="30"/>
          <w:highlight w:val="none"/>
        </w:rPr>
        <w:t>.2对于未能提供承诺书证明材料的，一票否决。</w:t>
      </w:r>
      <w:r>
        <w:rPr>
          <w:rFonts w:hint="eastAsia" w:ascii="仿宋_GB2312" w:hAnsi="仿宋" w:eastAsia="仿宋_GB2312"/>
          <w:color w:val="000000" w:themeColor="text1"/>
          <w:sz w:val="30"/>
          <w:szCs w:val="30"/>
          <w:highlight w:val="none"/>
          <w14:textFill>
            <w14:solidFill>
              <w14:schemeClr w14:val="tx1"/>
            </w14:solidFill>
          </w14:textFill>
        </w:rPr>
        <w:t>投标文件资料不完整、投标人对招标文件的实质性要求未做出全面响应、有迹象表明投标人串通投标、中标后无正当理由在规定的时间不签订合同的、投标人提供的投标文件弄虚作假及其它违反法律、法规规定情形的，视为无效投标。</w:t>
      </w:r>
    </w:p>
    <w:p w14:paraId="5DC72D28">
      <w:pPr>
        <w:spacing w:line="500" w:lineRule="exact"/>
        <w:ind w:firstLine="602" w:firstLineChars="200"/>
        <w:jc w:val="left"/>
        <w:outlineLvl w:val="0"/>
        <w:rPr>
          <w:rFonts w:ascii="黑体" w:hAnsi="黑体" w:eastAsia="黑体" w:cs="黑体"/>
          <w:b/>
          <w:bCs/>
          <w:sz w:val="30"/>
          <w:szCs w:val="30"/>
          <w:highlight w:val="none"/>
        </w:rPr>
      </w:pPr>
      <w:bookmarkStart w:id="6" w:name="_Toc29804"/>
      <w:bookmarkStart w:id="7" w:name="_Toc30928"/>
      <w:r>
        <w:rPr>
          <w:rFonts w:hint="eastAsia" w:ascii="黑体" w:hAnsi="黑体" w:eastAsia="黑体" w:cs="黑体"/>
          <w:b/>
          <w:bCs/>
          <w:sz w:val="30"/>
          <w:szCs w:val="30"/>
          <w:highlight w:val="none"/>
        </w:rPr>
        <w:t>四、投标文件</w:t>
      </w:r>
      <w:bookmarkEnd w:id="6"/>
      <w:bookmarkEnd w:id="7"/>
    </w:p>
    <w:p w14:paraId="6A9ECDE1">
      <w:pPr>
        <w:spacing w:line="500" w:lineRule="exact"/>
        <w:ind w:firstLine="600" w:firstLineChars="200"/>
        <w:jc w:val="left"/>
        <w:outlineLvl w:val="1"/>
        <w:rPr>
          <w:rFonts w:ascii="仿宋_GB2312" w:hAnsi="仿宋" w:eastAsia="仿宋_GB2312"/>
          <w:sz w:val="30"/>
          <w:szCs w:val="30"/>
          <w:highlight w:val="none"/>
        </w:rPr>
      </w:pPr>
      <w:r>
        <w:rPr>
          <w:rFonts w:hint="eastAsia" w:ascii="仿宋_GB2312" w:hAnsi="仿宋" w:eastAsia="仿宋_GB2312"/>
          <w:sz w:val="30"/>
          <w:szCs w:val="30"/>
          <w:highlight w:val="none"/>
        </w:rPr>
        <w:t>1.投标文件组成</w:t>
      </w:r>
    </w:p>
    <w:p w14:paraId="06001AAD">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投标人的投标文件由资格证明文件、投标文件技术部分、投标文件商务部分共三部分构成。</w:t>
      </w:r>
    </w:p>
    <w:p w14:paraId="635C0AF1">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注1：招标文件给定格式的按给定的格式填写，未给定格式的，由投标人自行编制，但需包含以下内容。</w:t>
      </w:r>
    </w:p>
    <w:p w14:paraId="67CB1B85">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注2：以下需（可）提供的招标文件均需加盖公章。</w:t>
      </w:r>
    </w:p>
    <w:p w14:paraId="3174CF1F">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注3：为提高评标效率，请投标人按照所列的资料清单内容及顺序编制投标文件，如投标人未按照以下内容及顺序编制投标文件，可能会影响得分，请各投标单位务必注意。</w:t>
      </w:r>
    </w:p>
    <w:p w14:paraId="501250DA">
      <w:pPr>
        <w:spacing w:line="500" w:lineRule="exact"/>
        <w:ind w:firstLine="602" w:firstLineChars="200"/>
        <w:jc w:val="left"/>
        <w:outlineLvl w:val="2"/>
        <w:rPr>
          <w:rFonts w:ascii="仿宋_GB2312" w:hAnsi="仿宋" w:eastAsia="仿宋_GB2312"/>
          <w:b/>
          <w:bCs/>
          <w:sz w:val="30"/>
          <w:szCs w:val="30"/>
          <w:highlight w:val="none"/>
        </w:rPr>
      </w:pPr>
      <w:r>
        <w:rPr>
          <w:rFonts w:hint="eastAsia" w:ascii="仿宋_GB2312" w:hAnsi="仿宋" w:eastAsia="仿宋_GB2312"/>
          <w:b/>
          <w:bCs/>
          <w:sz w:val="30"/>
          <w:szCs w:val="30"/>
          <w:highlight w:val="none"/>
        </w:rPr>
        <w:t>1.1资格证明文件包括：</w:t>
      </w:r>
    </w:p>
    <w:p w14:paraId="15216BAE">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（1）营业执照等相关经营资质复印件；</w:t>
      </w:r>
    </w:p>
    <w:p w14:paraId="0A1A700C">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（2）法定代表人或授权代理人身份证复印件和法定代表人授权委托书；</w:t>
      </w:r>
    </w:p>
    <w:p w14:paraId="27F2A9EA">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（3）投标人基本情况表；</w:t>
      </w:r>
    </w:p>
    <w:p w14:paraId="7A102466">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（4）服务承诺函；</w:t>
      </w:r>
    </w:p>
    <w:p w14:paraId="60C59277">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5）投标人信誉良好，无招标违法违规、谎报年度报告信息、提供虚假资质资料等行为或其他与本投标项目有关的行政处罚的证明材料；（“国家企业信用信息公示系统”、“中国执行信息公开网”、“信用中国”、“天眼查”、“判决文书网”等信息平台信用中国截图</w:t>
      </w:r>
      <w:r>
        <w:rPr>
          <w:rFonts w:hint="eastAsia" w:ascii="仿宋_GB2312" w:hAnsi="仿宋" w:eastAsia="仿宋_GB2312"/>
          <w:sz w:val="30"/>
          <w:szCs w:val="30"/>
          <w:highlight w:val="none"/>
          <w:lang w:eastAsia="zh-CN"/>
        </w:rPr>
        <w:t>，</w:t>
      </w:r>
      <w:r>
        <w:rPr>
          <w:rFonts w:hint="eastAsia" w:ascii="仿宋_GB2312" w:hAnsi="仿宋" w:eastAsia="仿宋_GB2312"/>
          <w:sz w:val="30"/>
          <w:szCs w:val="30"/>
          <w:highlight w:val="none"/>
        </w:rPr>
        <w:t>至少一项）；</w:t>
      </w:r>
    </w:p>
    <w:p w14:paraId="13943AEB">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（6）投标人的直接或间接股东、法定代表人、董事、监事、高管非重汽员工及亲属的证明；</w:t>
      </w:r>
    </w:p>
    <w:p w14:paraId="3FF63065">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（7）企业最近半年完税证明、信用证明材料（中国人民银行信用代码证+征信报告）；</w:t>
      </w:r>
    </w:p>
    <w:p w14:paraId="275F5109">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 xml:space="preserve">（8）年度纳税信用评价信息（可从电子税务局查询截图，需加盖公章）； </w:t>
      </w:r>
    </w:p>
    <w:p w14:paraId="71749BE4">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（9）企业对外担保说明（写明贵单位对外有无对外担保和质押业务，需加盖公章）;</w:t>
      </w:r>
    </w:p>
    <w:p w14:paraId="6E11093A">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（10</w:t>
      </w:r>
      <w:r>
        <w:rPr>
          <w:rFonts w:ascii="仿宋_GB2312" w:hAnsi="仿宋" w:eastAsia="仿宋_GB2312"/>
          <w:sz w:val="30"/>
          <w:szCs w:val="30"/>
          <w:highlight w:val="none"/>
        </w:rPr>
        <w:t>）</w:t>
      </w:r>
      <w:r>
        <w:rPr>
          <w:rFonts w:hint="eastAsia" w:ascii="仿宋_GB2312" w:hAnsi="仿宋" w:eastAsia="仿宋_GB2312"/>
          <w:sz w:val="30"/>
          <w:szCs w:val="30"/>
          <w:highlight w:val="none"/>
        </w:rPr>
        <w:t>经会计师事务所审计且出具无保留意见的</w:t>
      </w:r>
      <w:r>
        <w:rPr>
          <w:rFonts w:hint="eastAsia" w:ascii="黑体" w:hAnsi="黑体" w:eastAsia="黑体" w:cs="黑体"/>
          <w:b/>
          <w:bCs/>
          <w:sz w:val="30"/>
          <w:szCs w:val="30"/>
          <w:highlight w:val="none"/>
        </w:rPr>
        <w:t>近三年的财务审计报告，并加盖公章</w:t>
      </w:r>
      <w:r>
        <w:rPr>
          <w:rFonts w:hint="eastAsia" w:ascii="仿宋_GB2312" w:hAnsi="仿宋" w:eastAsia="仿宋_GB2312"/>
          <w:sz w:val="30"/>
          <w:szCs w:val="30"/>
          <w:highlight w:val="none"/>
        </w:rPr>
        <w:t>，包括但不限于报告页、经审计的资产负债表、利润表、现金流量表及报表附注;</w:t>
      </w:r>
    </w:p>
    <w:p w14:paraId="6C1C019E">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如投标人公司没有经审计的财务报告，</w:t>
      </w:r>
      <w:r>
        <w:rPr>
          <w:rFonts w:hint="eastAsia" w:ascii="黑体" w:hAnsi="黑体" w:eastAsia="黑体" w:cs="黑体"/>
          <w:b/>
          <w:bCs/>
          <w:sz w:val="30"/>
          <w:szCs w:val="30"/>
          <w:highlight w:val="none"/>
        </w:rPr>
        <w:t>可提供加盖公章的近三年财务报表</w:t>
      </w:r>
      <w:r>
        <w:rPr>
          <w:rFonts w:hint="eastAsia" w:ascii="仿宋_GB2312" w:hAnsi="仿宋" w:eastAsia="仿宋_GB2312"/>
          <w:sz w:val="30"/>
          <w:szCs w:val="30"/>
          <w:highlight w:val="none"/>
        </w:rPr>
        <w:t>，包括但不限于资产负债表、利润表、现金流量表。应提供中文版本的审计报告或财务报表；</w:t>
      </w:r>
    </w:p>
    <w:p w14:paraId="5D43DCAD">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（11）投标人认为对其投标有利的其他资料；</w:t>
      </w:r>
    </w:p>
    <w:p w14:paraId="0117EB24">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（12）法律法规对合格投标人的其他要求、规定。</w:t>
      </w:r>
    </w:p>
    <w:p w14:paraId="078DC8AD">
      <w:pPr>
        <w:spacing w:line="500" w:lineRule="exact"/>
        <w:ind w:firstLine="602" w:firstLineChars="200"/>
        <w:jc w:val="left"/>
        <w:outlineLvl w:val="2"/>
        <w:rPr>
          <w:rFonts w:ascii="仿宋_GB2312" w:hAnsi="仿宋" w:eastAsia="仿宋_GB2312"/>
          <w:b/>
          <w:bCs/>
          <w:sz w:val="30"/>
          <w:szCs w:val="30"/>
          <w:highlight w:val="none"/>
        </w:rPr>
      </w:pPr>
      <w:r>
        <w:rPr>
          <w:rFonts w:hint="eastAsia" w:ascii="仿宋_GB2312" w:hAnsi="仿宋" w:eastAsia="仿宋_GB2312"/>
          <w:b/>
          <w:bCs/>
          <w:sz w:val="30"/>
          <w:szCs w:val="30"/>
          <w:highlight w:val="none"/>
        </w:rPr>
        <w:t>1.2技术部分文件包括：</w:t>
      </w:r>
    </w:p>
    <w:p w14:paraId="5D29A329">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（1）培训项目实施方案；（需承诺项目需求人员到位时间）</w:t>
      </w:r>
    </w:p>
    <w:p w14:paraId="1143C0A6">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（2）相关培训项目案例；</w:t>
      </w:r>
    </w:p>
    <w:p w14:paraId="2D450C1D">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（3）投标人认为对其投标有利的其他资料。</w:t>
      </w:r>
    </w:p>
    <w:p w14:paraId="1BADEFD3">
      <w:pPr>
        <w:spacing w:line="500" w:lineRule="exact"/>
        <w:ind w:firstLine="602" w:firstLineChars="200"/>
        <w:jc w:val="left"/>
        <w:outlineLvl w:val="2"/>
        <w:rPr>
          <w:rFonts w:ascii="仿宋_GB2312" w:hAnsi="仿宋" w:eastAsia="仿宋_GB2312"/>
          <w:b/>
          <w:bCs/>
          <w:sz w:val="30"/>
          <w:szCs w:val="30"/>
          <w:highlight w:val="none"/>
        </w:rPr>
      </w:pPr>
      <w:r>
        <w:rPr>
          <w:rFonts w:hint="eastAsia" w:ascii="仿宋_GB2312" w:hAnsi="仿宋" w:eastAsia="仿宋_GB2312"/>
          <w:b/>
          <w:bCs/>
          <w:sz w:val="30"/>
          <w:szCs w:val="30"/>
          <w:highlight w:val="none"/>
        </w:rPr>
        <w:t>1.3商务部分文件包括：</w:t>
      </w:r>
    </w:p>
    <w:p w14:paraId="63133CEC">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（1）投标函；</w:t>
      </w:r>
    </w:p>
    <w:p w14:paraId="6D307B59">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（2）投标报价明细表；</w:t>
      </w:r>
    </w:p>
    <w:p w14:paraId="51EE55CB">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（3）经营业绩一览表；</w:t>
      </w:r>
    </w:p>
    <w:p w14:paraId="1D6DA9D2">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（4）对本项目招标文件及“合同条款”的认同说明。</w:t>
      </w:r>
    </w:p>
    <w:p w14:paraId="062C203C">
      <w:pPr>
        <w:spacing w:line="500" w:lineRule="exact"/>
        <w:ind w:firstLine="600" w:firstLineChars="200"/>
        <w:jc w:val="left"/>
        <w:outlineLvl w:val="1"/>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2.投标文件的装订</w:t>
      </w:r>
    </w:p>
    <w:p w14:paraId="3E69F669">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投标人必须将投标文件按照投标文件组成的顺序装订</w:t>
      </w:r>
      <w:r>
        <w:rPr>
          <w:rFonts w:hint="eastAsia" w:ascii="仿宋_GB2312" w:hAnsi="仿宋_GB2312" w:eastAsia="仿宋_GB2312" w:cs="仿宋_GB2312"/>
          <w:sz w:val="30"/>
          <w:szCs w:val="30"/>
          <w:highlight w:val="none"/>
          <w:lang w:val="en-US" w:eastAsia="zh-CN"/>
        </w:rPr>
        <w:t>成</w:t>
      </w:r>
      <w:r>
        <w:rPr>
          <w:rFonts w:hint="eastAsia" w:ascii="仿宋_GB2312" w:hAnsi="仿宋_GB2312" w:eastAsia="仿宋_GB2312" w:cs="仿宋_GB2312"/>
          <w:sz w:val="30"/>
          <w:szCs w:val="30"/>
          <w:highlight w:val="none"/>
        </w:rPr>
        <w:t>册，</w:t>
      </w:r>
      <w:r>
        <w:rPr>
          <w:rFonts w:hint="eastAsia" w:ascii="仿宋_GB2312" w:hAnsi="仿宋_GB2312" w:eastAsia="仿宋_GB2312" w:cs="仿宋_GB2312"/>
          <w:sz w:val="30"/>
          <w:szCs w:val="30"/>
          <w:highlight w:val="none"/>
          <w:lang w:val="en-US" w:eastAsia="zh-CN"/>
        </w:rPr>
        <w:t>技术标和商务标文件分开封装，</w:t>
      </w:r>
      <w:r>
        <w:rPr>
          <w:rFonts w:hint="eastAsia" w:ascii="仿宋_GB2312" w:hAnsi="仿宋_GB2312" w:eastAsia="仿宋_GB2312" w:cs="仿宋_GB2312"/>
          <w:sz w:val="30"/>
          <w:szCs w:val="30"/>
          <w:highlight w:val="none"/>
        </w:rPr>
        <w:t>提供扫描或电子版上传e采通系统。</w:t>
      </w:r>
    </w:p>
    <w:p w14:paraId="07E7ADA7">
      <w:pPr>
        <w:spacing w:line="500" w:lineRule="exact"/>
        <w:ind w:firstLine="600" w:firstLineChars="200"/>
        <w:jc w:val="left"/>
        <w:outlineLvl w:val="1"/>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3.报价注意事项</w:t>
      </w:r>
    </w:p>
    <w:p w14:paraId="249882A4">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3.1投标人要按投标规格名称、投标报价明细表（统一格式）的内容填写报价及其他事项，并由法人代表或授权代表签署。</w:t>
      </w:r>
    </w:p>
    <w:p w14:paraId="457CDB98">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3.2大写金额和小写金额不一致时，以大写金额为准。</w:t>
      </w:r>
    </w:p>
    <w:p w14:paraId="7A7A67E5">
      <w:pPr>
        <w:spacing w:line="500" w:lineRule="exact"/>
        <w:ind w:firstLine="600" w:firstLineChars="200"/>
        <w:jc w:val="left"/>
        <w:outlineLvl w:val="1"/>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4.投标文件签署</w:t>
      </w:r>
    </w:p>
    <w:p w14:paraId="75D02779">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4.1投标文件应加盖投标人单位公章（不得使用其他形式如带有“专用章”等字样的印章）并经法定代表人或其委托代理人签字。</w:t>
      </w:r>
    </w:p>
    <w:p w14:paraId="07C13F1A">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4.2本招标文件提供的投标文件式样中，标注有盖公章、签字之处，应有投标人的盖章、委托代理人的签字或法定代表人的签字。由委托代理人签字的投标资格证明文件中须附授权委托书。</w:t>
      </w:r>
    </w:p>
    <w:p w14:paraId="68F584C0">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4.3签字须使用黑色或蓝色不可褪色签字笔。</w:t>
      </w:r>
    </w:p>
    <w:p w14:paraId="484E8658">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注：投标人代表必须按招标文件的规定签署投标文件，否则，其投标文件按无效投标处理。</w:t>
      </w:r>
    </w:p>
    <w:p w14:paraId="5685DD02">
      <w:pPr>
        <w:spacing w:line="500" w:lineRule="exact"/>
        <w:ind w:firstLine="602" w:firstLineChars="200"/>
        <w:jc w:val="left"/>
        <w:outlineLvl w:val="0"/>
        <w:rPr>
          <w:rFonts w:ascii="黑体" w:hAnsi="黑体" w:eastAsia="黑体" w:cs="黑体"/>
          <w:b/>
          <w:bCs/>
          <w:sz w:val="30"/>
          <w:szCs w:val="30"/>
          <w:highlight w:val="none"/>
        </w:rPr>
      </w:pPr>
      <w:bookmarkStart w:id="8" w:name="_Toc13247"/>
      <w:bookmarkStart w:id="9" w:name="_Toc22774"/>
      <w:r>
        <w:rPr>
          <w:rFonts w:hint="eastAsia" w:ascii="黑体" w:hAnsi="黑体" w:eastAsia="黑体" w:cs="黑体"/>
          <w:b/>
          <w:bCs/>
          <w:sz w:val="30"/>
          <w:szCs w:val="30"/>
          <w:highlight w:val="none"/>
        </w:rPr>
        <w:t>五、合同签订</w:t>
      </w:r>
      <w:bookmarkEnd w:id="8"/>
      <w:bookmarkEnd w:id="9"/>
    </w:p>
    <w:p w14:paraId="64D01F9C">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1.招标人根据评标工作小组的评标结果确定中标人，并书面通知中标人。</w:t>
      </w:r>
    </w:p>
    <w:p w14:paraId="2E73D028">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2.中标结果将在重汽e采通平台公布。</w:t>
      </w:r>
    </w:p>
    <w:p w14:paraId="1A733161">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3.中标人收到中标结果后，应及时与招标人联系，在规定的时间内完成合同签订，如果中标人接到《中标通知书》后，无不正当理由拒签合同、在签订合同时向招标人提出无理附加条件的，取消该投标人的中标资格，该投标人2年内不得参与招标人关于该类服务和培训的招投标项目。</w:t>
      </w:r>
    </w:p>
    <w:p w14:paraId="2F8D207A">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4.中标人应当按照合同约定的履约责任，在保证质量的前提下完成中标项目，不得将中标项目转包或分包给他人，否则视为违约，招标人有权解除合同。</w:t>
      </w:r>
    </w:p>
    <w:p w14:paraId="1D57BBC1">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5.中标人由于履行义务的能力或信用有严重缺陷，招标人有权解除合同</w:t>
      </w:r>
      <w:r>
        <w:rPr>
          <w:rFonts w:hint="eastAsia" w:ascii="仿宋_GB2312" w:hAnsi="仿宋_GB2312" w:eastAsia="仿宋_GB2312" w:cs="仿宋_GB2312"/>
          <w:sz w:val="30"/>
          <w:szCs w:val="30"/>
          <w:highlight w:val="none"/>
          <w:lang w:val="en-US" w:eastAsia="zh-CN"/>
        </w:rPr>
        <w:t>及</w:t>
      </w:r>
      <w:r>
        <w:rPr>
          <w:rFonts w:hint="eastAsia" w:ascii="仿宋_GB2312" w:hAnsi="仿宋_GB2312" w:eastAsia="仿宋_GB2312" w:cs="仿宋_GB2312"/>
          <w:sz w:val="30"/>
          <w:szCs w:val="30"/>
          <w:highlight w:val="none"/>
        </w:rPr>
        <w:t>取消其中标资格，招标人将从中标候选单位中依序重新确定中标人，或重新组织招标。</w:t>
      </w:r>
    </w:p>
    <w:p w14:paraId="75B2FE82">
      <w:pPr>
        <w:spacing w:line="500" w:lineRule="exact"/>
        <w:ind w:firstLine="600" w:firstLineChars="2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rPr>
        <w:t>6.双方的权利义务以最终签署的合同为准</w:t>
      </w:r>
      <w:r>
        <w:rPr>
          <w:rFonts w:hint="eastAsia" w:ascii="仿宋_GB2312" w:hAnsi="仿宋_GB2312" w:eastAsia="仿宋_GB2312" w:cs="仿宋_GB2312"/>
          <w:sz w:val="30"/>
          <w:szCs w:val="30"/>
          <w:highlight w:val="none"/>
          <w:lang w:eastAsia="zh-CN"/>
        </w:rPr>
        <w:t>。</w:t>
      </w:r>
    </w:p>
    <w:p w14:paraId="199677CE">
      <w:pPr>
        <w:pStyle w:val="10"/>
        <w:spacing w:line="500" w:lineRule="exact"/>
        <w:ind w:firstLine="602" w:firstLineChars="200"/>
        <w:outlineLvl w:val="0"/>
        <w:rPr>
          <w:rFonts w:ascii="黑体" w:hAnsi="黑体" w:eastAsia="黑体" w:cs="黑体"/>
          <w:b/>
          <w:bCs/>
          <w:sz w:val="30"/>
          <w:szCs w:val="30"/>
          <w:highlight w:val="none"/>
        </w:rPr>
      </w:pPr>
      <w:bookmarkStart w:id="10" w:name="_Toc23973"/>
      <w:bookmarkStart w:id="11" w:name="_Toc28350"/>
      <w:r>
        <w:rPr>
          <w:rFonts w:hint="eastAsia" w:ascii="黑体" w:hAnsi="黑体" w:eastAsia="黑体" w:cs="黑体"/>
          <w:b/>
          <w:bCs/>
          <w:sz w:val="30"/>
          <w:szCs w:val="30"/>
          <w:highlight w:val="none"/>
        </w:rPr>
        <w:t>六、废标及终止招标</w:t>
      </w:r>
      <w:bookmarkEnd w:id="10"/>
      <w:bookmarkEnd w:id="11"/>
    </w:p>
    <w:p w14:paraId="5E7E1A79">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1.投标人有下列情形之一的，将被视为废标，招标人将按照有关法律法规行使权</w:t>
      </w:r>
      <w:r>
        <w:rPr>
          <w:rFonts w:hint="eastAsia" w:ascii="仿宋_GB2312" w:hAnsi="仿宋_GB2312" w:eastAsia="仿宋_GB2312" w:cs="仿宋_GB2312"/>
          <w:sz w:val="30"/>
          <w:szCs w:val="30"/>
          <w:highlight w:val="none"/>
          <w:lang w:val="en-US" w:eastAsia="zh-CN"/>
        </w:rPr>
        <w:t>利</w:t>
      </w:r>
      <w:r>
        <w:rPr>
          <w:rFonts w:hint="eastAsia" w:ascii="仿宋_GB2312" w:hAnsi="仿宋_GB2312" w:eastAsia="仿宋_GB2312" w:cs="仿宋_GB2312"/>
          <w:sz w:val="30"/>
          <w:szCs w:val="30"/>
          <w:highlight w:val="none"/>
        </w:rPr>
        <w:t>。投标人给招标人造成损失的，招标人有索赔的权力，投标人应给予赔偿。</w:t>
      </w:r>
    </w:p>
    <w:p w14:paraId="39C298BF">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（1）投标人提供的有关资格、资质证明文件不全、不真实</w:t>
      </w:r>
      <w:r>
        <w:rPr>
          <w:rFonts w:hint="eastAsia" w:ascii="仿宋_GB2312" w:hAnsi="仿宋_GB2312" w:eastAsia="仿宋_GB2312" w:cs="仿宋_GB2312"/>
          <w:color w:val="auto"/>
          <w:sz w:val="30"/>
          <w:szCs w:val="30"/>
          <w:highlight w:val="none"/>
        </w:rPr>
        <w:t>或提供虚假投标材料</w:t>
      </w:r>
      <w:r>
        <w:rPr>
          <w:rFonts w:hint="eastAsia" w:ascii="仿宋_GB2312" w:hAnsi="仿宋_GB2312" w:eastAsia="仿宋_GB2312" w:cs="仿宋_GB2312"/>
          <w:sz w:val="30"/>
          <w:szCs w:val="30"/>
          <w:highlight w:val="none"/>
        </w:rPr>
        <w:t>；</w:t>
      </w:r>
    </w:p>
    <w:p w14:paraId="62F71D82">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（2）投标人在报价有效期内撤回投标；</w:t>
      </w:r>
    </w:p>
    <w:p w14:paraId="58795100">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（3）在评标过程中，投标人有企图影响评标结果公正性的任何项目；</w:t>
      </w:r>
    </w:p>
    <w:p w14:paraId="48DACF03">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（4）投标人以任何形式诋毁</w:t>
      </w:r>
      <w:r>
        <w:rPr>
          <w:rFonts w:hint="eastAsia" w:ascii="仿宋_GB2312" w:hAnsi="仿宋_GB2312" w:eastAsia="仿宋_GB2312" w:cs="仿宋_GB2312"/>
          <w:sz w:val="30"/>
          <w:szCs w:val="30"/>
          <w:highlight w:val="none"/>
          <w:lang w:val="en-US" w:eastAsia="zh-CN"/>
        </w:rPr>
        <w:t>其</w:t>
      </w:r>
      <w:r>
        <w:rPr>
          <w:rFonts w:hint="eastAsia" w:ascii="仿宋_GB2312" w:hAnsi="仿宋_GB2312" w:eastAsia="仿宋_GB2312" w:cs="仿宋_GB2312"/>
          <w:sz w:val="30"/>
          <w:szCs w:val="30"/>
          <w:highlight w:val="none"/>
        </w:rPr>
        <w:t>他</w:t>
      </w:r>
      <w:r>
        <w:rPr>
          <w:rFonts w:hint="eastAsia" w:ascii="仿宋_GB2312" w:hAnsi="仿宋_GB2312" w:eastAsia="仿宋_GB2312" w:cs="仿宋_GB2312"/>
          <w:sz w:val="30"/>
          <w:szCs w:val="30"/>
          <w:highlight w:val="none"/>
          <w:lang w:val="en-US" w:eastAsia="zh-CN"/>
        </w:rPr>
        <w:t>投标</w:t>
      </w:r>
      <w:r>
        <w:rPr>
          <w:rFonts w:hint="eastAsia" w:ascii="仿宋_GB2312" w:hAnsi="仿宋_GB2312" w:eastAsia="仿宋_GB2312" w:cs="仿宋_GB2312"/>
          <w:sz w:val="30"/>
          <w:szCs w:val="30"/>
          <w:highlight w:val="none"/>
        </w:rPr>
        <w:t>人；</w:t>
      </w:r>
    </w:p>
    <w:p w14:paraId="717DFD83">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（5）以他人名义投标或以任何方式骗取中标；</w:t>
      </w:r>
    </w:p>
    <w:p w14:paraId="475E673C">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（6）投标人对招标文件做出实质性变更</w:t>
      </w:r>
      <w:bookmarkStart w:id="12" w:name="_Hlk105656847"/>
      <w:r>
        <w:rPr>
          <w:rFonts w:hint="eastAsia" w:ascii="仿宋_GB2312" w:hAnsi="仿宋_GB2312" w:eastAsia="仿宋_GB2312" w:cs="仿宋_GB2312"/>
          <w:sz w:val="30"/>
          <w:szCs w:val="30"/>
          <w:highlight w:val="none"/>
        </w:rPr>
        <w:t>；</w:t>
      </w:r>
      <w:bookmarkEnd w:id="12"/>
    </w:p>
    <w:p w14:paraId="57AF43EA">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（7）投标人被举报、检举，并经招标方查实无误的；</w:t>
      </w:r>
    </w:p>
    <w:p w14:paraId="055F4700">
      <w:pPr>
        <w:spacing w:line="500" w:lineRule="exact"/>
        <w:ind w:firstLine="600" w:firstLineChars="200"/>
        <w:jc w:val="left"/>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t>（8）投标单位负责人为同一人或存在管理关系的</w:t>
      </w:r>
      <w:r>
        <w:rPr>
          <w:rFonts w:hint="eastAsia" w:ascii="仿宋_GB2312" w:hAnsi="仿宋_GB2312" w:eastAsia="仿宋_GB2312" w:cs="仿宋_GB2312"/>
          <w:sz w:val="30"/>
          <w:szCs w:val="30"/>
          <w:highlight w:val="none"/>
          <w:lang w:eastAsia="zh-CN"/>
        </w:rPr>
        <w:t>；</w:t>
      </w:r>
    </w:p>
    <w:p w14:paraId="140F2833">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（9）</w:t>
      </w:r>
      <w:r>
        <w:rPr>
          <w:rFonts w:hint="eastAsia" w:ascii="仿宋_GB2312" w:hAnsi="仿宋_GB2312" w:eastAsia="仿宋_GB2312" w:cs="仿宋_GB2312"/>
          <w:color w:val="auto"/>
          <w:sz w:val="30"/>
          <w:szCs w:val="30"/>
          <w:highlight w:val="none"/>
        </w:rPr>
        <w:t>投标人串通投标；</w:t>
      </w:r>
    </w:p>
    <w:p w14:paraId="7644FDF0">
      <w:pPr>
        <w:spacing w:line="500" w:lineRule="exact"/>
        <w:ind w:left="0" w:right="0" w:firstLine="600" w:firstLineChars="200"/>
        <w:jc w:val="left"/>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10</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color w:val="auto"/>
          <w:sz w:val="30"/>
          <w:szCs w:val="30"/>
          <w:highlight w:val="none"/>
        </w:rPr>
        <w:t>未按要求填报商务报价资料，对招标开展造成较大影响；</w:t>
      </w:r>
    </w:p>
    <w:p w14:paraId="01D5B0CE">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11</w:t>
      </w:r>
      <w:r>
        <w:rPr>
          <w:rFonts w:hint="eastAsia" w:ascii="仿宋_GB2312" w:hAnsi="仿宋_GB2312" w:eastAsia="仿宋_GB2312" w:cs="仿宋_GB2312"/>
          <w:sz w:val="30"/>
          <w:szCs w:val="30"/>
          <w:highlight w:val="none"/>
        </w:rPr>
        <w:t>）未按照招标人规定的时间内在中国重汽e采通完成投标的</w:t>
      </w:r>
      <w:r>
        <w:rPr>
          <w:rFonts w:hint="eastAsia" w:ascii="仿宋_GB2312" w:hAnsi="仿宋_GB2312" w:eastAsia="仿宋_GB2312" w:cs="仿宋_GB2312"/>
          <w:sz w:val="30"/>
          <w:szCs w:val="30"/>
          <w:highlight w:val="none"/>
          <w:lang w:eastAsia="zh-CN"/>
        </w:rPr>
        <w:t>；</w:t>
      </w:r>
    </w:p>
    <w:p w14:paraId="08464D9E">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12</w:t>
      </w:r>
      <w:r>
        <w:rPr>
          <w:rFonts w:hint="eastAsia" w:ascii="仿宋_GB2312" w:hAnsi="仿宋_GB2312" w:eastAsia="仿宋_GB2312" w:cs="仿宋_GB2312"/>
          <w:sz w:val="30"/>
          <w:szCs w:val="30"/>
          <w:highlight w:val="none"/>
        </w:rPr>
        <w:t>）法律、法规规定的其他情况。</w:t>
      </w:r>
    </w:p>
    <w:p w14:paraId="10C8DAA3">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2.出现下列情形，招标人有权否决投标人的投标，并终止招标。</w:t>
      </w:r>
    </w:p>
    <w:p w14:paraId="430A6239">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（1）出现影响评审公正性的违法、违规行为；</w:t>
      </w:r>
    </w:p>
    <w:p w14:paraId="02669D02">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（2）因重大变故，本项目取消；</w:t>
      </w:r>
    </w:p>
    <w:p w14:paraId="780BF980">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（3）符合投标条件的投标方或者对招标文件做实质响应的投标方不足3家的；</w:t>
      </w:r>
    </w:p>
    <w:p w14:paraId="1AEDCDAD">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（4）不同投标人的投标文件异常一致或者投标报价呈规律性差异的；</w:t>
      </w:r>
    </w:p>
    <w:p w14:paraId="4F218B72">
      <w:pPr>
        <w:spacing w:line="500" w:lineRule="exact"/>
        <w:ind w:firstLine="600" w:firstLineChars="200"/>
        <w:jc w:val="left"/>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（5）投标人报价均超过投标限价的；</w:t>
      </w:r>
    </w:p>
    <w:p w14:paraId="31713CE4">
      <w:pPr>
        <w:spacing w:line="500" w:lineRule="exact"/>
        <w:ind w:firstLine="600" w:firstLineChars="200"/>
        <w:jc w:val="left"/>
        <w:rPr>
          <w:rFonts w:hint="eastAsia" w:ascii="仿宋_GB2312" w:hAnsi="仿宋_GB2312" w:eastAsia="仿宋_GB2312" w:cs="仿宋_GB2312"/>
          <w:sz w:val="30"/>
          <w:szCs w:val="30"/>
          <w:highlight w:val="none"/>
        </w:rPr>
      </w:pPr>
      <w:bookmarkStart w:id="13" w:name="_Toc8621"/>
      <w:bookmarkStart w:id="14" w:name="_Toc24329"/>
      <w:r>
        <w:rPr>
          <w:rFonts w:hint="eastAsia" w:ascii="仿宋_GB2312" w:hAnsi="仿宋_GB2312" w:eastAsia="仿宋_GB2312" w:cs="仿宋_GB2312"/>
          <w:sz w:val="30"/>
          <w:szCs w:val="30"/>
          <w:highlight w:val="none"/>
        </w:rPr>
        <w:t>（6）评标委员会经评审，认为所有投标都不符合招标文件要求的；</w:t>
      </w:r>
    </w:p>
    <w:p w14:paraId="474C45CF">
      <w:pPr>
        <w:pStyle w:val="10"/>
        <w:spacing w:line="500" w:lineRule="exact"/>
        <w:ind w:firstLine="600" w:firstLineChars="200"/>
        <w:outlineLvl w:val="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7</w:t>
      </w:r>
      <w:r>
        <w:rPr>
          <w:rFonts w:hint="eastAsia" w:ascii="仿宋_GB2312" w:hAnsi="仿宋_GB2312" w:eastAsia="仿宋_GB2312" w:cs="仿宋_GB2312"/>
          <w:sz w:val="30"/>
          <w:szCs w:val="30"/>
          <w:highlight w:val="none"/>
        </w:rPr>
        <w:t>）招标人认为其他应终止招标的情形。</w:t>
      </w:r>
    </w:p>
    <w:p w14:paraId="048E5974">
      <w:pPr>
        <w:pStyle w:val="10"/>
        <w:spacing w:line="500" w:lineRule="exact"/>
        <w:ind w:firstLine="602" w:firstLineChars="200"/>
        <w:outlineLvl w:val="0"/>
        <w:rPr>
          <w:rFonts w:ascii="黑体" w:hAnsi="黑体" w:eastAsia="黑体" w:cs="黑体"/>
          <w:b/>
          <w:bCs/>
          <w:sz w:val="30"/>
          <w:szCs w:val="30"/>
          <w:highlight w:val="none"/>
        </w:rPr>
      </w:pPr>
      <w:r>
        <w:rPr>
          <w:rFonts w:hint="eastAsia" w:ascii="黑体" w:hAnsi="黑体" w:eastAsia="黑体" w:cs="黑体"/>
          <w:b/>
          <w:bCs/>
          <w:sz w:val="30"/>
          <w:szCs w:val="30"/>
          <w:highlight w:val="none"/>
        </w:rPr>
        <w:t>七、中标人瑕疵滞后发现的处理原则</w:t>
      </w:r>
      <w:bookmarkEnd w:id="13"/>
      <w:bookmarkEnd w:id="14"/>
    </w:p>
    <w:p w14:paraId="186939FF">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2417EE6E">
      <w:pPr>
        <w:pStyle w:val="10"/>
        <w:spacing w:line="500" w:lineRule="exact"/>
        <w:ind w:firstLine="602" w:firstLineChars="200"/>
        <w:outlineLvl w:val="0"/>
        <w:rPr>
          <w:rFonts w:ascii="黑体" w:hAnsi="黑体" w:eastAsia="黑体" w:cs="黑体"/>
          <w:b/>
          <w:bCs/>
          <w:sz w:val="30"/>
          <w:szCs w:val="30"/>
          <w:highlight w:val="none"/>
        </w:rPr>
      </w:pPr>
      <w:bookmarkStart w:id="15" w:name="_Toc10048"/>
      <w:bookmarkStart w:id="16" w:name="_Toc31113"/>
      <w:r>
        <w:rPr>
          <w:rFonts w:hint="eastAsia" w:ascii="黑体" w:hAnsi="黑体" w:eastAsia="黑体" w:cs="黑体"/>
          <w:b/>
          <w:bCs/>
          <w:sz w:val="30"/>
          <w:szCs w:val="30"/>
          <w:highlight w:val="none"/>
        </w:rPr>
        <w:t>八、投标文件格式</w:t>
      </w:r>
      <w:bookmarkEnd w:id="15"/>
      <w:bookmarkEnd w:id="16"/>
    </w:p>
    <w:p w14:paraId="7A75CC35">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详见附件。</w:t>
      </w:r>
    </w:p>
    <w:p w14:paraId="4F466A99">
      <w:pPr>
        <w:pStyle w:val="10"/>
        <w:spacing w:line="500" w:lineRule="exact"/>
        <w:ind w:firstLine="602" w:firstLineChars="200"/>
        <w:outlineLvl w:val="0"/>
        <w:rPr>
          <w:rFonts w:ascii="黑体" w:hAnsi="黑体" w:eastAsia="黑体" w:cs="黑体"/>
          <w:b/>
          <w:bCs/>
          <w:sz w:val="30"/>
          <w:szCs w:val="30"/>
          <w:highlight w:val="none"/>
        </w:rPr>
      </w:pPr>
      <w:bookmarkStart w:id="17" w:name="_Toc14896"/>
      <w:bookmarkStart w:id="18" w:name="_Toc2515"/>
      <w:r>
        <w:rPr>
          <w:rFonts w:hint="eastAsia" w:ascii="黑体" w:hAnsi="黑体" w:eastAsia="黑体" w:cs="黑体"/>
          <w:b/>
          <w:bCs/>
          <w:sz w:val="30"/>
          <w:szCs w:val="30"/>
          <w:highlight w:val="none"/>
        </w:rPr>
        <w:t>九、技术协议书</w:t>
      </w:r>
      <w:bookmarkEnd w:id="17"/>
      <w:bookmarkEnd w:id="18"/>
    </w:p>
    <w:p w14:paraId="400AEEE0">
      <w:pPr>
        <w:spacing w:line="500" w:lineRule="exact"/>
        <w:ind w:firstLine="600" w:firstLineChars="200"/>
        <w:jc w:val="left"/>
        <w:rPr>
          <w:rFonts w:ascii="仿宋_GB2312" w:hAnsi="仿宋" w:eastAsia="仿宋_GB2312"/>
          <w:sz w:val="30"/>
          <w:szCs w:val="30"/>
          <w:highlight w:val="none"/>
        </w:rPr>
      </w:pPr>
      <w:r>
        <w:rPr>
          <w:rFonts w:hint="eastAsia" w:ascii="仿宋_GB2312" w:hAnsi="仿宋" w:eastAsia="仿宋_GB2312"/>
          <w:sz w:val="30"/>
          <w:szCs w:val="30"/>
          <w:highlight w:val="none"/>
        </w:rPr>
        <w:t>附后，以最后签订版本为准。</w:t>
      </w:r>
    </w:p>
    <w:p w14:paraId="3FC766D0">
      <w:pPr>
        <w:pStyle w:val="10"/>
        <w:spacing w:line="500" w:lineRule="exact"/>
        <w:ind w:firstLine="602" w:firstLineChars="200"/>
        <w:outlineLvl w:val="0"/>
        <w:rPr>
          <w:rFonts w:hint="eastAsia" w:ascii="黑体" w:hAnsi="黑体" w:eastAsia="黑体" w:cs="黑体"/>
          <w:b/>
          <w:bCs/>
          <w:sz w:val="30"/>
          <w:szCs w:val="30"/>
          <w:highlight w:val="none"/>
          <w:lang w:val="en-US" w:eastAsia="zh-CN"/>
        </w:rPr>
      </w:pPr>
      <w:bookmarkStart w:id="19" w:name="_Toc23780"/>
      <w:bookmarkStart w:id="20" w:name="_Toc17203"/>
      <w:r>
        <w:rPr>
          <w:rFonts w:hint="eastAsia" w:ascii="黑体" w:hAnsi="黑体" w:eastAsia="黑体" w:cs="黑体"/>
          <w:b/>
          <w:bCs/>
          <w:sz w:val="30"/>
          <w:szCs w:val="30"/>
          <w:highlight w:val="none"/>
        </w:rPr>
        <w:t>十、</w:t>
      </w:r>
      <w:r>
        <w:rPr>
          <w:rFonts w:hint="eastAsia" w:ascii="黑体" w:hAnsi="黑体" w:eastAsia="黑体" w:cs="黑体"/>
          <w:b/>
          <w:bCs/>
          <w:sz w:val="30"/>
          <w:szCs w:val="30"/>
          <w:highlight w:val="none"/>
          <w:lang w:val="en-US" w:eastAsia="zh-CN"/>
        </w:rPr>
        <w:t>解释权</w:t>
      </w:r>
    </w:p>
    <w:p w14:paraId="6DC9F63A">
      <w:pPr>
        <w:pStyle w:val="10"/>
        <w:spacing w:line="500" w:lineRule="exact"/>
        <w:ind w:firstLine="600" w:firstLineChars="200"/>
        <w:outlineLvl w:val="0"/>
        <w:rPr>
          <w:rFonts w:ascii="黑体" w:hAnsi="黑体" w:eastAsia="黑体" w:cs="黑体"/>
          <w:b/>
          <w:bCs/>
          <w:sz w:val="30"/>
          <w:szCs w:val="30"/>
          <w:highlight w:val="none"/>
        </w:rPr>
      </w:pPr>
      <w:r>
        <w:rPr>
          <w:rFonts w:hint="eastAsia" w:ascii="仿宋_GB2312" w:hAnsi="仿宋" w:eastAsia="仿宋_GB2312" w:cs="Times New Roman"/>
          <w:kern w:val="2"/>
          <w:sz w:val="30"/>
          <w:szCs w:val="30"/>
          <w:highlight w:val="none"/>
          <w:lang w:val="en-US" w:eastAsia="zh-CN" w:bidi="ar-SA"/>
        </w:rPr>
        <w:t>本次招标最终解释权归中国重汽集团济南动力有限公司。</w:t>
      </w:r>
      <w:bookmarkEnd w:id="19"/>
      <w:bookmarkEnd w:id="20"/>
    </w:p>
    <w:p w14:paraId="5C659340">
      <w:pPr>
        <w:pStyle w:val="13"/>
        <w:spacing w:line="500" w:lineRule="exact"/>
        <w:rPr>
          <w:sz w:val="30"/>
          <w:szCs w:val="30"/>
          <w:highlight w:val="none"/>
        </w:rPr>
      </w:pPr>
    </w:p>
    <w:p w14:paraId="303FBF0E">
      <w:pPr>
        <w:pStyle w:val="13"/>
        <w:spacing w:line="500" w:lineRule="exact"/>
        <w:rPr>
          <w:sz w:val="30"/>
          <w:szCs w:val="30"/>
          <w:highlight w:val="none"/>
        </w:rPr>
      </w:pPr>
    </w:p>
    <w:p w14:paraId="5CB5BEE6">
      <w:pPr>
        <w:pStyle w:val="13"/>
        <w:spacing w:line="500" w:lineRule="exact"/>
        <w:rPr>
          <w:sz w:val="30"/>
          <w:szCs w:val="30"/>
          <w:highlight w:val="none"/>
        </w:rPr>
      </w:pPr>
    </w:p>
    <w:p w14:paraId="4C1A40A2">
      <w:pPr>
        <w:spacing w:line="500" w:lineRule="exact"/>
        <w:ind w:firstLine="600" w:firstLineChars="200"/>
        <w:jc w:val="right"/>
        <w:rPr>
          <w:rFonts w:ascii="仿宋_GB2312" w:hAnsi="仿宋" w:eastAsia="仿宋_GB2312"/>
          <w:sz w:val="30"/>
          <w:szCs w:val="30"/>
          <w:highlight w:val="none"/>
        </w:rPr>
      </w:pPr>
      <w:r>
        <w:rPr>
          <w:rFonts w:hint="eastAsia" w:ascii="仿宋_GB2312" w:hAnsi="仿宋" w:eastAsia="仿宋_GB2312"/>
          <w:sz w:val="30"/>
          <w:szCs w:val="30"/>
          <w:highlight w:val="none"/>
        </w:rPr>
        <w:t>中国重汽集团济南动力有限公司</w:t>
      </w:r>
    </w:p>
    <w:p w14:paraId="2393ADB1">
      <w:pPr>
        <w:wordWrap w:val="0"/>
        <w:spacing w:line="500" w:lineRule="exact"/>
        <w:ind w:firstLine="600" w:firstLineChars="200"/>
        <w:jc w:val="right"/>
        <w:rPr>
          <w:rFonts w:hint="default" w:ascii="仿宋_GB2312" w:hAnsi="Calibri" w:eastAsia="仿宋_GB2312"/>
          <w:sz w:val="30"/>
          <w:szCs w:val="30"/>
          <w:highlight w:val="none"/>
          <w:lang w:val="en-US" w:eastAsia="zh-CN"/>
        </w:rPr>
      </w:pPr>
      <w:r>
        <w:rPr>
          <w:rFonts w:hint="eastAsia" w:ascii="仿宋_GB2312" w:hAnsi="仿宋" w:eastAsia="仿宋_GB2312"/>
          <w:sz w:val="30"/>
          <w:szCs w:val="30"/>
          <w:highlight w:val="none"/>
        </w:rPr>
        <w:t>2026年9月</w:t>
      </w:r>
      <w:r>
        <w:rPr>
          <w:rFonts w:hint="eastAsia" w:ascii="仿宋_GB2312" w:hAnsi="仿宋" w:eastAsia="仿宋_GB2312"/>
          <w:sz w:val="30"/>
          <w:szCs w:val="30"/>
          <w:highlight w:val="none"/>
          <w:lang w:val="en-US" w:eastAsia="zh-CN"/>
        </w:rPr>
        <w:t xml:space="preserve">       </w:t>
      </w:r>
    </w:p>
    <w:p w14:paraId="6F99CFAC">
      <w:pPr>
        <w:rPr>
          <w:rFonts w:ascii="宋体" w:hAnsi="宋体" w:cs="宋体"/>
          <w:sz w:val="24"/>
          <w:szCs w:val="24"/>
          <w:highlight w:val="none"/>
        </w:rPr>
      </w:pPr>
      <w:bookmarkStart w:id="21" w:name="_Toc13641"/>
      <w:r>
        <w:rPr>
          <w:rFonts w:hint="eastAsia" w:ascii="宋体" w:hAnsi="宋体" w:cs="宋体"/>
          <w:sz w:val="24"/>
          <w:szCs w:val="24"/>
          <w:highlight w:val="none"/>
        </w:rPr>
        <w:br w:type="page"/>
      </w:r>
    </w:p>
    <w:p w14:paraId="4868C998">
      <w:pPr>
        <w:rPr>
          <w:rFonts w:ascii="宋体" w:hAnsi="宋体" w:cs="宋体"/>
          <w:sz w:val="24"/>
          <w:szCs w:val="24"/>
          <w:highlight w:val="none"/>
        </w:rPr>
      </w:pPr>
      <w:r>
        <w:rPr>
          <w:rFonts w:hint="eastAsia" w:ascii="宋体" w:hAnsi="宋体" w:cs="宋体"/>
          <w:sz w:val="24"/>
          <w:szCs w:val="24"/>
          <w:highlight w:val="none"/>
        </w:rPr>
        <w:t>附件1：</w:t>
      </w:r>
      <w:bookmarkEnd w:id="21"/>
    </w:p>
    <w:p w14:paraId="0FA2612E">
      <w:pPr>
        <w:pStyle w:val="7"/>
        <w:spacing w:line="460" w:lineRule="exact"/>
        <w:jc w:val="center"/>
        <w:rPr>
          <w:rFonts w:ascii="宋体" w:hAnsi="宋体" w:eastAsia="宋体"/>
          <w:b/>
          <w:bCs/>
          <w:sz w:val="36"/>
          <w:szCs w:val="36"/>
          <w:highlight w:val="none"/>
        </w:rPr>
      </w:pPr>
      <w:r>
        <w:rPr>
          <w:rFonts w:hint="eastAsia" w:ascii="宋体" w:hAnsi="宋体" w:eastAsia="宋体" w:cs="宋体"/>
          <w:b/>
          <w:bCs/>
          <w:sz w:val="36"/>
          <w:szCs w:val="36"/>
          <w:highlight w:val="none"/>
        </w:rPr>
        <w:t>法定代表人授权委托书</w:t>
      </w:r>
    </w:p>
    <w:p w14:paraId="1D4A2C9B">
      <w:pPr>
        <w:pStyle w:val="7"/>
        <w:spacing w:line="460" w:lineRule="exact"/>
        <w:jc w:val="center"/>
        <w:rPr>
          <w:rFonts w:ascii="宋体" w:hAnsi="宋体" w:eastAsia="宋体"/>
          <w:b/>
          <w:bCs/>
          <w:szCs w:val="32"/>
          <w:highlight w:val="none"/>
        </w:rPr>
      </w:pPr>
    </w:p>
    <w:p w14:paraId="4029DCEC">
      <w:pPr>
        <w:pStyle w:val="7"/>
        <w:spacing w:line="560" w:lineRule="exact"/>
        <w:rPr>
          <w:rFonts w:ascii="宋体" w:hAnsi="宋体" w:eastAsia="宋体"/>
          <w:sz w:val="24"/>
          <w:szCs w:val="24"/>
          <w:highlight w:val="none"/>
          <w:u w:val="single"/>
        </w:rPr>
      </w:pPr>
      <w:r>
        <w:rPr>
          <w:rFonts w:hint="eastAsia" w:ascii="宋体" w:hAnsi="宋体" w:eastAsia="宋体" w:cs="宋体"/>
          <w:sz w:val="24"/>
          <w:szCs w:val="24"/>
          <w:highlight w:val="none"/>
          <w:u w:val="single"/>
        </w:rPr>
        <w:t xml:space="preserve">  中国重汽集团济南动力有限公司 ：</w:t>
      </w:r>
    </w:p>
    <w:p w14:paraId="11A53350">
      <w:pPr>
        <w:pStyle w:val="7"/>
        <w:spacing w:line="560" w:lineRule="exact"/>
        <w:ind w:firstLine="480"/>
        <w:rPr>
          <w:rFonts w:ascii="宋体" w:hAnsi="宋体" w:eastAsia="宋体"/>
          <w:sz w:val="24"/>
          <w:szCs w:val="24"/>
          <w:highlight w:val="none"/>
        </w:rPr>
      </w:pPr>
      <w:r>
        <w:rPr>
          <w:rFonts w:ascii="宋体" w:hAnsi="宋体" w:eastAsia="宋体" w:cs="宋体"/>
          <w:sz w:val="24"/>
          <w:szCs w:val="24"/>
          <w:highlight w:val="none"/>
          <w:u w:val="single"/>
        </w:rPr>
        <w:t xml:space="preserve">                   </w:t>
      </w:r>
      <w:r>
        <w:rPr>
          <w:rFonts w:hint="eastAsia" w:ascii="宋体" w:hAnsi="宋体" w:eastAsia="宋体" w:cs="宋体"/>
          <w:sz w:val="24"/>
          <w:szCs w:val="24"/>
          <w:highlight w:val="none"/>
        </w:rPr>
        <w:t>（投标人名称）法定代表人</w:t>
      </w:r>
      <w:r>
        <w:rPr>
          <w:rFonts w:ascii="宋体" w:hAnsi="宋体" w:eastAsia="宋体" w:cs="宋体"/>
          <w:sz w:val="24"/>
          <w:szCs w:val="24"/>
          <w:highlight w:val="none"/>
          <w:u w:val="single"/>
        </w:rPr>
        <w:t xml:space="preserve">           </w:t>
      </w:r>
      <w:r>
        <w:rPr>
          <w:rFonts w:hint="eastAsia" w:ascii="宋体" w:hAnsi="宋体" w:eastAsia="宋体" w:cs="宋体"/>
          <w:sz w:val="24"/>
          <w:szCs w:val="24"/>
          <w:highlight w:val="none"/>
        </w:rPr>
        <w:t>授权我公司</w:t>
      </w:r>
      <w:r>
        <w:rPr>
          <w:rFonts w:ascii="宋体" w:hAnsi="宋体" w:eastAsia="宋体" w:cs="宋体"/>
          <w:sz w:val="24"/>
          <w:szCs w:val="24"/>
          <w:highlight w:val="none"/>
          <w:u w:val="single"/>
        </w:rPr>
        <w:t xml:space="preserve">               </w:t>
      </w:r>
      <w:r>
        <w:rPr>
          <w:rFonts w:hint="eastAsia" w:ascii="宋体" w:hAnsi="宋体" w:eastAsia="宋体" w:cs="宋体"/>
          <w:sz w:val="24"/>
          <w:szCs w:val="24"/>
          <w:highlight w:val="none"/>
        </w:rPr>
        <w:t>（职务或职称）</w:t>
      </w:r>
      <w:r>
        <w:rPr>
          <w:rFonts w:ascii="宋体" w:hAnsi="宋体" w:eastAsia="宋体" w:cs="宋体"/>
          <w:sz w:val="24"/>
          <w:szCs w:val="24"/>
          <w:highlight w:val="none"/>
          <w:u w:val="single"/>
        </w:rPr>
        <w:t xml:space="preserve">            </w:t>
      </w:r>
      <w:r>
        <w:rPr>
          <w:rFonts w:hint="eastAsia" w:ascii="宋体" w:hAnsi="宋体" w:eastAsia="宋体" w:cs="宋体"/>
          <w:sz w:val="24"/>
          <w:szCs w:val="24"/>
          <w:highlight w:val="none"/>
        </w:rPr>
        <w:t>（姓名）为我单位本次投标授权代理人，全权处理此次招标项目（项目编号：</w:t>
      </w:r>
      <w:r>
        <w:rPr>
          <w:rFonts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ascii="宋体" w:hAnsi="宋体" w:eastAsia="宋体" w:cs="宋体"/>
          <w:sz w:val="24"/>
          <w:szCs w:val="24"/>
          <w:highlight w:val="none"/>
          <w:u w:val="single"/>
        </w:rPr>
        <w:t xml:space="preserve"> </w:t>
      </w:r>
      <w:r>
        <w:rPr>
          <w:rFonts w:hint="eastAsia" w:ascii="宋体" w:hAnsi="宋体" w:eastAsia="宋体" w:cs="宋体"/>
          <w:sz w:val="24"/>
          <w:szCs w:val="24"/>
          <w:highlight w:val="none"/>
        </w:rPr>
        <w:t>）投标活动的一切事宜。</w:t>
      </w:r>
    </w:p>
    <w:p w14:paraId="4A81A2CE">
      <w:pPr>
        <w:adjustRightInd w:val="0"/>
        <w:snapToGrid w:val="0"/>
        <w:spacing w:before="93" w:beforeLines="30" w:line="360" w:lineRule="auto"/>
        <w:ind w:firstLine="480" w:firstLineChars="200"/>
        <w:rPr>
          <w:rFonts w:ascii="宋体" w:hAnsi="宋体"/>
          <w:sz w:val="24"/>
          <w:highlight w:val="none"/>
        </w:rPr>
      </w:pPr>
      <w:r>
        <w:rPr>
          <w:rFonts w:hint="eastAsia" w:ascii="宋体" w:hAnsi="宋体"/>
          <w:sz w:val="24"/>
          <w:highlight w:val="none"/>
        </w:rPr>
        <w:t>委托期限：</w:t>
      </w:r>
      <w:r>
        <w:rPr>
          <w:rFonts w:hint="eastAsia" w:ascii="宋体" w:hAnsi="宋体"/>
          <w:sz w:val="24"/>
          <w:highlight w:val="none"/>
          <w:u w:val="single"/>
        </w:rPr>
        <w:t xml:space="preserve">                       </w:t>
      </w:r>
      <w:r>
        <w:rPr>
          <w:rFonts w:hint="eastAsia" w:ascii="宋体" w:hAnsi="宋体"/>
          <w:sz w:val="24"/>
          <w:highlight w:val="none"/>
        </w:rPr>
        <w:t xml:space="preserve">    </w:t>
      </w:r>
    </w:p>
    <w:p w14:paraId="09C1B6B9">
      <w:pPr>
        <w:adjustRightInd w:val="0"/>
        <w:snapToGrid w:val="0"/>
        <w:spacing w:before="93" w:beforeLines="30" w:line="312" w:lineRule="auto"/>
        <w:ind w:firstLine="480" w:firstLineChars="200"/>
        <w:rPr>
          <w:rFonts w:ascii="宋体" w:hAnsi="宋体"/>
          <w:sz w:val="24"/>
          <w:highlight w:val="none"/>
        </w:rPr>
      </w:pPr>
      <w:r>
        <w:rPr>
          <w:rFonts w:hint="eastAsia" w:ascii="宋体" w:hAnsi="宋体"/>
          <w:sz w:val="24"/>
          <w:highlight w:val="none"/>
        </w:rPr>
        <w:t>全权代表无转委权。特此委托。</w:t>
      </w:r>
      <w:r>
        <w:rPr>
          <w:rFonts w:hint="eastAsia" w:ascii="宋体" w:hAnsi="宋体"/>
          <w:highlight w:val="none"/>
        </w:rPr>
        <mc:AlternateContent>
          <mc:Choice Requires="wps">
            <w:drawing>
              <wp:anchor distT="0" distB="0" distL="114300" distR="114300" simplePos="0" relativeHeight="251659264"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2657475" cy="1552575"/>
                        </a:xfrm>
                        <a:prstGeom prst="rect">
                          <a:avLst/>
                        </a:prstGeom>
                        <a:solidFill>
                          <a:srgbClr val="FFFFFF"/>
                        </a:solidFill>
                        <a:ln w="9525">
                          <a:solidFill>
                            <a:srgbClr val="000000"/>
                          </a:solidFill>
                          <a:miter lim="800000"/>
                        </a:ln>
                      </wps:spPr>
                      <wps:txbx>
                        <w:txbxContent>
                          <w:p w14:paraId="603346BC">
                            <w:pPr>
                              <w:jc w:val="center"/>
                            </w:pPr>
                          </w:p>
                          <w:p w14:paraId="1EA0D21D">
                            <w:pPr>
                              <w:jc w:val="center"/>
                            </w:pPr>
                          </w:p>
                          <w:p w14:paraId="44D36275">
                            <w:pPr>
                              <w:jc w:val="center"/>
                            </w:pPr>
                          </w:p>
                          <w:p w14:paraId="6C60D16B">
                            <w:pPr>
                              <w:jc w:val="center"/>
                            </w:pPr>
                            <w:r>
                              <w:rPr>
                                <w:rFonts w:hint="eastAsia"/>
                              </w:rPr>
                              <w:t>法定代表人身份证复印件（正面）</w:t>
                            </w:r>
                          </w:p>
                          <w:p w14:paraId="2D9550C2">
                            <w:pPr>
                              <w:jc w:val="center"/>
                            </w:pPr>
                          </w:p>
                          <w:p w14:paraId="5E737F5F">
                            <w:pPr>
                              <w:jc w:val="cente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5.45pt;margin-top:19.35pt;height:122.25pt;width:209.25pt;z-index:251659264;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L6VH8tgAAAAJAQAADwAAAAAAAAABACAAAAAiAAAAZHJzL2Rvd25y&#10;ZXYueG1sUEsBAhQAFAAAAAgAh07iQAPUsD83AgAAewQAAA4AAAAAAAAAAQAgAAAAJwEAAGRycy9l&#10;Mm9Eb2MueG1sUEsFBgAAAAAGAAYAWQEAANAFAAAAAA==&#10;">
                <v:fill on="t" focussize="0,0"/>
                <v:stroke color="#000000" miterlimit="8" joinstyle="miter"/>
                <v:imagedata o:title=""/>
                <o:lock v:ext="edit" aspectratio="f"/>
                <v:textbox>
                  <w:txbxContent>
                    <w:p w14:paraId="603346BC">
                      <w:pPr>
                        <w:jc w:val="center"/>
                      </w:pPr>
                    </w:p>
                    <w:p w14:paraId="1EA0D21D">
                      <w:pPr>
                        <w:jc w:val="center"/>
                      </w:pPr>
                    </w:p>
                    <w:p w14:paraId="44D36275">
                      <w:pPr>
                        <w:jc w:val="center"/>
                      </w:pPr>
                    </w:p>
                    <w:p w14:paraId="6C60D16B">
                      <w:pPr>
                        <w:jc w:val="center"/>
                      </w:pPr>
                      <w:r>
                        <w:rPr>
                          <w:rFonts w:hint="eastAsia"/>
                        </w:rPr>
                        <w:t>法定代表人身份证复印件（正面）</w:t>
                      </w:r>
                    </w:p>
                    <w:p w14:paraId="2D9550C2">
                      <w:pPr>
                        <w:jc w:val="center"/>
                      </w:pPr>
                    </w:p>
                    <w:p w14:paraId="5E737F5F">
                      <w:pPr>
                        <w:jc w:val="center"/>
                      </w:pPr>
                    </w:p>
                  </w:txbxContent>
                </v:textbox>
              </v:rect>
            </w:pict>
          </mc:Fallback>
        </mc:AlternateContent>
      </w:r>
      <w:r>
        <w:rPr>
          <w:rFonts w:hint="eastAsia" w:ascii="宋体" w:hAnsi="宋体"/>
          <w:highlight w:val="none"/>
        </w:rPr>
        <mc:AlternateContent>
          <mc:Choice Requires="wps">
            <w:drawing>
              <wp:anchor distT="0" distB="0" distL="114300" distR="114300" simplePos="0" relativeHeight="251661312"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a:spLocks noChangeArrowheads="1"/>
                      </wps:cNvSpPr>
                      <wps:spPr bwMode="auto">
                        <a:xfrm>
                          <a:off x="0" y="0"/>
                          <a:ext cx="2657475" cy="1552575"/>
                        </a:xfrm>
                        <a:prstGeom prst="rect">
                          <a:avLst/>
                        </a:prstGeom>
                        <a:solidFill>
                          <a:srgbClr val="FFFFFF"/>
                        </a:solidFill>
                        <a:ln w="9525">
                          <a:solidFill>
                            <a:srgbClr val="000000"/>
                          </a:solidFill>
                          <a:miter lim="800000"/>
                        </a:ln>
                      </wps:spPr>
                      <wps:txbx>
                        <w:txbxContent>
                          <w:p w14:paraId="2927C19F">
                            <w:pPr>
                              <w:jc w:val="center"/>
                            </w:pPr>
                            <w:r>
                              <w:rPr>
                                <w:rFonts w:hint="eastAsia"/>
                              </w:rPr>
                              <w:t>授权代理人身份证复印件（正面）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5.45pt;margin-top:145.35pt;height:122.25pt;width:209.25pt;z-index:251661312;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qP4KwtgAAAAKAQAADwAAAAAAAAABACAAAAAiAAAAZHJzL2Rvd25y&#10;ZXYueG1sUEsBAhQAFAAAAAgAh07iQKCcKZw3AgAAewQAAA4AAAAAAAAAAQAgAAAAJwEAAGRycy9l&#10;Mm9Eb2MueG1sUEsFBgAAAAAGAAYAWQEAANAFAAAAAA==&#10;">
                <v:fill on="t" focussize="0,0"/>
                <v:stroke color="#000000" miterlimit="8" joinstyle="miter"/>
                <v:imagedata o:title=""/>
                <o:lock v:ext="edit" aspectratio="f"/>
                <v:textbox>
                  <w:txbxContent>
                    <w:p w14:paraId="2927C19F">
                      <w:pPr>
                        <w:jc w:val="center"/>
                      </w:pPr>
                      <w:r>
                        <w:rPr>
                          <w:rFonts w:hint="eastAsia"/>
                        </w:rPr>
                        <w:t>授权代理人身份证复印件（正面）</w:t>
                      </w:r>
                    </w:p>
                  </w:txbxContent>
                </v:textbox>
              </v:rect>
            </w:pict>
          </mc:Fallback>
        </mc:AlternateContent>
      </w:r>
      <w:r>
        <w:rPr>
          <w:rFonts w:hint="eastAsia" w:ascii="宋体" w:hAnsi="宋体"/>
          <w:highlight w:val="none"/>
        </w:rPr>
        <mc:AlternateContent>
          <mc:Choice Requires="wps">
            <w:drawing>
              <wp:anchor distT="0" distB="0" distL="114300" distR="114300" simplePos="0" relativeHeight="251660288" behindDoc="0" locked="0" layoutInCell="1" allowOverlap="1">
                <wp:simplePos x="0" y="0"/>
                <wp:positionH relativeFrom="column">
                  <wp:posOffset>3123565</wp:posOffset>
                </wp:positionH>
                <wp:positionV relativeFrom="paragraph">
                  <wp:posOffset>245745</wp:posOffset>
                </wp:positionV>
                <wp:extent cx="2514600" cy="1552575"/>
                <wp:effectExtent l="4445" t="4445" r="8255" b="5080"/>
                <wp:wrapNone/>
                <wp:docPr id="2" name="矩形 2"/>
                <wp:cNvGraphicFramePr/>
                <a:graphic xmlns:a="http://schemas.openxmlformats.org/drawingml/2006/main">
                  <a:graphicData uri="http://schemas.microsoft.com/office/word/2010/wordprocessingShape">
                    <wps:wsp>
                      <wps:cNvSpPr>
                        <a:spLocks noChangeArrowheads="1"/>
                      </wps:cNvSpPr>
                      <wps:spPr bwMode="auto">
                        <a:xfrm>
                          <a:off x="0" y="0"/>
                          <a:ext cx="2514600" cy="1552575"/>
                        </a:xfrm>
                        <a:prstGeom prst="rect">
                          <a:avLst/>
                        </a:prstGeom>
                        <a:solidFill>
                          <a:srgbClr val="FFFFFF"/>
                        </a:solidFill>
                        <a:ln w="9525">
                          <a:solidFill>
                            <a:srgbClr val="000000"/>
                          </a:solidFill>
                          <a:miter lim="800000"/>
                        </a:ln>
                      </wps:spPr>
                      <wps:txbx>
                        <w:txbxContent>
                          <w:p w14:paraId="3C4FDE31">
                            <w:pPr>
                              <w:jc w:val="center"/>
                            </w:pPr>
                          </w:p>
                          <w:p w14:paraId="6E346174">
                            <w:pPr>
                              <w:jc w:val="center"/>
                            </w:pPr>
                          </w:p>
                          <w:p w14:paraId="242A6CC8">
                            <w:pPr>
                              <w:jc w:val="center"/>
                            </w:pPr>
                          </w:p>
                          <w:p w14:paraId="78714C69">
                            <w:pPr>
                              <w:jc w:val="center"/>
                            </w:pPr>
                            <w:r>
                              <w:rPr>
                                <w:rFonts w:hint="eastAsia"/>
                              </w:rPr>
                              <w:t>法定代表人身份证复印件（反面）</w:t>
                            </w:r>
                          </w:p>
                          <w:p w14:paraId="6869324F">
                            <w:pPr>
                              <w:jc w:val="cente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5.95pt;margin-top:19.35pt;height:122.25pt;width:198pt;z-index:251660288;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D67nBPYAAAACgEAAA8AAAAAAAAAAQAgAAAAIgAAAGRycy9kb3du&#10;cmV2LnhtbFBLAQIUABQAAAAIAIdO4kAryhzXOAIAAHsEAAAOAAAAAAAAAAEAIAAAACcBAABkcnMv&#10;ZTJvRG9jLnhtbFBLBQYAAAAABgAGAFkBAADRBQAAAAA=&#10;">
                <v:fill on="t" focussize="0,0"/>
                <v:stroke color="#000000" miterlimit="8" joinstyle="miter"/>
                <v:imagedata o:title=""/>
                <o:lock v:ext="edit" aspectratio="f"/>
                <v:textbox>
                  <w:txbxContent>
                    <w:p w14:paraId="3C4FDE31">
                      <w:pPr>
                        <w:jc w:val="center"/>
                      </w:pPr>
                    </w:p>
                    <w:p w14:paraId="6E346174">
                      <w:pPr>
                        <w:jc w:val="center"/>
                      </w:pPr>
                    </w:p>
                    <w:p w14:paraId="242A6CC8">
                      <w:pPr>
                        <w:jc w:val="center"/>
                      </w:pPr>
                    </w:p>
                    <w:p w14:paraId="78714C69">
                      <w:pPr>
                        <w:jc w:val="center"/>
                      </w:pPr>
                      <w:r>
                        <w:rPr>
                          <w:rFonts w:hint="eastAsia"/>
                        </w:rPr>
                        <w:t>法定代表人身份证复印件（反面）</w:t>
                      </w:r>
                    </w:p>
                    <w:p w14:paraId="6869324F">
                      <w:pPr>
                        <w:jc w:val="center"/>
                      </w:pPr>
                    </w:p>
                  </w:txbxContent>
                </v:textbox>
              </v:rect>
            </w:pict>
          </mc:Fallback>
        </mc:AlternateContent>
      </w:r>
      <w:r>
        <w:rPr>
          <w:rFonts w:hint="eastAsia" w:ascii="宋体" w:hAnsi="宋体"/>
          <w:highlight w:val="none"/>
        </w:rPr>
        <mc:AlternateContent>
          <mc:Choice Requires="wps">
            <w:drawing>
              <wp:anchor distT="0" distB="0" distL="114300" distR="114300" simplePos="0" relativeHeight="251662336" behindDoc="0" locked="0" layoutInCell="1" allowOverlap="1">
                <wp:simplePos x="0" y="0"/>
                <wp:positionH relativeFrom="column">
                  <wp:posOffset>3123565</wp:posOffset>
                </wp:positionH>
                <wp:positionV relativeFrom="paragraph">
                  <wp:posOffset>1836420</wp:posOffset>
                </wp:positionV>
                <wp:extent cx="2514600" cy="1552575"/>
                <wp:effectExtent l="4445" t="4445" r="8255" b="5080"/>
                <wp:wrapNone/>
                <wp:docPr id="1" name="矩形 1"/>
                <wp:cNvGraphicFramePr/>
                <a:graphic xmlns:a="http://schemas.openxmlformats.org/drawingml/2006/main">
                  <a:graphicData uri="http://schemas.microsoft.com/office/word/2010/wordprocessingShape">
                    <wps:wsp>
                      <wps:cNvSpPr>
                        <a:spLocks noChangeArrowheads="1"/>
                      </wps:cNvSpPr>
                      <wps:spPr bwMode="auto">
                        <a:xfrm>
                          <a:off x="0" y="0"/>
                          <a:ext cx="2514600" cy="1552575"/>
                        </a:xfrm>
                        <a:prstGeom prst="rect">
                          <a:avLst/>
                        </a:prstGeom>
                        <a:solidFill>
                          <a:srgbClr val="FFFFFF"/>
                        </a:solidFill>
                        <a:ln w="9525">
                          <a:solidFill>
                            <a:srgbClr val="000000"/>
                          </a:solidFill>
                          <a:miter lim="800000"/>
                        </a:ln>
                      </wps:spPr>
                      <wps:txbx>
                        <w:txbxContent>
                          <w:p w14:paraId="06310711">
                            <w:pPr>
                              <w:jc w:val="center"/>
                            </w:pPr>
                            <w:r>
                              <w:rPr>
                                <w:rFonts w:hint="eastAsia"/>
                              </w:rPr>
                              <w:t>授权代理人身份证复印件（反面）</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5.95pt;margin-top:144.6pt;height:122.25pt;width:198pt;z-index:251662336;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GctpajaAAAACwEAAA8AAAAAAAAAAQAgAAAAIgAAAGRycy9kb3du&#10;cmV2LnhtbFBLAQIUABQAAAAIAIdO4kC8VCSbNgIAAHsEAAAOAAAAAAAAAAEAIAAAACkBAABkcnMv&#10;ZTJvRG9jLnhtbFBLBQYAAAAABgAGAFkBAADRBQAAAAA=&#10;">
                <v:fill on="t" focussize="0,0"/>
                <v:stroke color="#000000" miterlimit="8" joinstyle="miter"/>
                <v:imagedata o:title=""/>
                <o:lock v:ext="edit" aspectratio="f"/>
                <v:textbox>
                  <w:txbxContent>
                    <w:p w14:paraId="06310711">
                      <w:pPr>
                        <w:jc w:val="center"/>
                      </w:pPr>
                      <w:r>
                        <w:rPr>
                          <w:rFonts w:hint="eastAsia"/>
                        </w:rPr>
                        <w:t>授权代理人身份证复印件（反面）</w:t>
                      </w:r>
                    </w:p>
                  </w:txbxContent>
                </v:textbox>
              </v:rect>
            </w:pict>
          </mc:Fallback>
        </mc:AlternateContent>
      </w:r>
    </w:p>
    <w:p w14:paraId="09302EC9">
      <w:pPr>
        <w:spacing w:line="480" w:lineRule="exact"/>
        <w:ind w:firstLine="480" w:firstLineChars="200"/>
        <w:rPr>
          <w:rFonts w:ascii="宋体" w:hAnsi="宋体"/>
          <w:sz w:val="24"/>
          <w:highlight w:val="none"/>
        </w:rPr>
      </w:pPr>
    </w:p>
    <w:p w14:paraId="1EA5ACB6">
      <w:pPr>
        <w:spacing w:line="480" w:lineRule="exact"/>
        <w:ind w:firstLine="480" w:firstLineChars="200"/>
        <w:rPr>
          <w:rFonts w:ascii="宋体" w:hAnsi="宋体"/>
          <w:sz w:val="24"/>
          <w:highlight w:val="none"/>
        </w:rPr>
      </w:pPr>
    </w:p>
    <w:p w14:paraId="199AD8FF">
      <w:pPr>
        <w:spacing w:line="480" w:lineRule="exact"/>
        <w:ind w:firstLine="480" w:firstLineChars="200"/>
        <w:rPr>
          <w:rFonts w:ascii="宋体" w:hAnsi="宋体"/>
          <w:sz w:val="24"/>
          <w:highlight w:val="none"/>
        </w:rPr>
      </w:pPr>
    </w:p>
    <w:p w14:paraId="104556B2">
      <w:pPr>
        <w:spacing w:line="480" w:lineRule="exact"/>
        <w:ind w:firstLine="480" w:firstLineChars="200"/>
        <w:rPr>
          <w:rFonts w:ascii="宋体" w:hAnsi="宋体"/>
          <w:sz w:val="24"/>
          <w:highlight w:val="none"/>
        </w:rPr>
      </w:pPr>
    </w:p>
    <w:p w14:paraId="26036A77">
      <w:pPr>
        <w:spacing w:line="480" w:lineRule="exact"/>
        <w:ind w:firstLine="480" w:firstLineChars="200"/>
        <w:rPr>
          <w:rFonts w:ascii="宋体" w:hAnsi="宋体"/>
          <w:sz w:val="24"/>
          <w:highlight w:val="none"/>
        </w:rPr>
      </w:pPr>
    </w:p>
    <w:p w14:paraId="5DC8974C">
      <w:pPr>
        <w:spacing w:line="480" w:lineRule="exact"/>
        <w:ind w:firstLine="480" w:firstLineChars="200"/>
        <w:rPr>
          <w:rFonts w:ascii="宋体" w:hAnsi="宋体"/>
          <w:sz w:val="24"/>
          <w:highlight w:val="none"/>
        </w:rPr>
      </w:pPr>
    </w:p>
    <w:p w14:paraId="213BD27F">
      <w:pPr>
        <w:spacing w:line="480" w:lineRule="exact"/>
        <w:ind w:firstLine="480" w:firstLineChars="200"/>
        <w:rPr>
          <w:rFonts w:ascii="宋体" w:hAnsi="宋体"/>
          <w:sz w:val="24"/>
          <w:highlight w:val="none"/>
        </w:rPr>
      </w:pPr>
    </w:p>
    <w:p w14:paraId="67EC6D6B">
      <w:pPr>
        <w:spacing w:line="480" w:lineRule="exact"/>
        <w:ind w:firstLine="480" w:firstLineChars="200"/>
        <w:rPr>
          <w:rFonts w:ascii="宋体" w:hAnsi="宋体"/>
          <w:sz w:val="24"/>
          <w:highlight w:val="none"/>
        </w:rPr>
      </w:pPr>
    </w:p>
    <w:p w14:paraId="48152F70">
      <w:pPr>
        <w:spacing w:line="480" w:lineRule="exact"/>
        <w:ind w:firstLine="480" w:firstLineChars="200"/>
        <w:rPr>
          <w:rFonts w:ascii="宋体" w:hAnsi="宋体"/>
          <w:sz w:val="24"/>
          <w:highlight w:val="none"/>
        </w:rPr>
      </w:pPr>
    </w:p>
    <w:p w14:paraId="24F9AC05">
      <w:pPr>
        <w:spacing w:line="480" w:lineRule="exact"/>
        <w:rPr>
          <w:rFonts w:ascii="宋体" w:hAnsi="宋体"/>
          <w:sz w:val="24"/>
          <w:highlight w:val="none"/>
        </w:rPr>
      </w:pPr>
    </w:p>
    <w:p w14:paraId="328BF81A">
      <w:pPr>
        <w:pStyle w:val="7"/>
        <w:spacing w:line="560" w:lineRule="exact"/>
        <w:rPr>
          <w:rFonts w:ascii="宋体" w:hAnsi="宋体" w:eastAsia="宋体"/>
          <w:sz w:val="24"/>
          <w:szCs w:val="24"/>
          <w:highlight w:val="none"/>
        </w:rPr>
      </w:pPr>
      <w:r>
        <w:rPr>
          <w:rFonts w:hint="eastAsia" w:ascii="宋体" w:hAnsi="宋体" w:eastAsia="宋体" w:cs="宋体"/>
          <w:sz w:val="24"/>
          <w:szCs w:val="24"/>
          <w:highlight w:val="none"/>
        </w:rPr>
        <w:t>单位名称（公章）：</w:t>
      </w:r>
      <w:r>
        <w:rPr>
          <w:rFonts w:ascii="宋体" w:hAnsi="宋体" w:eastAsia="宋体" w:cs="宋体"/>
          <w:sz w:val="24"/>
          <w:szCs w:val="24"/>
          <w:highlight w:val="none"/>
          <w:u w:val="single"/>
        </w:rPr>
        <w:t xml:space="preserve">                 </w:t>
      </w:r>
    </w:p>
    <w:p w14:paraId="1FB358D9">
      <w:pPr>
        <w:pStyle w:val="7"/>
        <w:spacing w:line="560" w:lineRule="exact"/>
        <w:rPr>
          <w:rFonts w:ascii="宋体" w:hAnsi="宋体" w:eastAsia="宋体"/>
          <w:sz w:val="24"/>
          <w:szCs w:val="24"/>
          <w:highlight w:val="none"/>
        </w:rPr>
      </w:pPr>
      <w:r>
        <w:rPr>
          <w:rFonts w:hint="eastAsia" w:ascii="宋体" w:hAnsi="宋体" w:eastAsia="宋体" w:cs="宋体"/>
          <w:sz w:val="24"/>
          <w:szCs w:val="24"/>
          <w:highlight w:val="none"/>
        </w:rPr>
        <w:t>法定代表人签字：</w:t>
      </w:r>
      <w:r>
        <w:rPr>
          <w:rFonts w:ascii="宋体" w:hAnsi="宋体" w:eastAsia="宋体" w:cs="宋体"/>
          <w:sz w:val="24"/>
          <w:szCs w:val="24"/>
          <w:highlight w:val="none"/>
          <w:u w:val="single"/>
        </w:rPr>
        <w:t xml:space="preserve">                  </w:t>
      </w:r>
    </w:p>
    <w:p w14:paraId="689C5FB9">
      <w:pPr>
        <w:pStyle w:val="7"/>
        <w:spacing w:line="560" w:lineRule="exact"/>
        <w:rPr>
          <w:rFonts w:ascii="宋体" w:hAnsi="宋体" w:eastAsia="宋体"/>
          <w:sz w:val="24"/>
          <w:szCs w:val="24"/>
          <w:highlight w:val="none"/>
        </w:rPr>
      </w:pPr>
      <w:r>
        <w:rPr>
          <w:rFonts w:hint="eastAsia" w:ascii="宋体" w:hAnsi="宋体" w:eastAsia="宋体" w:cs="宋体"/>
          <w:sz w:val="24"/>
          <w:szCs w:val="24"/>
          <w:highlight w:val="none"/>
        </w:rPr>
        <w:t>授权代理人签字：</w:t>
      </w:r>
      <w:r>
        <w:rPr>
          <w:rFonts w:ascii="宋体" w:hAnsi="宋体" w:eastAsia="宋体" w:cs="宋体"/>
          <w:sz w:val="24"/>
          <w:szCs w:val="24"/>
          <w:highlight w:val="none"/>
          <w:u w:val="single"/>
        </w:rPr>
        <w:t xml:space="preserve">                  </w:t>
      </w:r>
    </w:p>
    <w:p w14:paraId="0C21EEBB">
      <w:pPr>
        <w:pStyle w:val="7"/>
        <w:spacing w:line="560" w:lineRule="exact"/>
        <w:ind w:left="5880" w:right="283" w:rightChars="135" w:firstLine="420"/>
        <w:jc w:val="right"/>
        <w:rPr>
          <w:rFonts w:ascii="宋体" w:hAnsi="宋体" w:eastAsia="宋体"/>
          <w:sz w:val="24"/>
          <w:highlight w:val="none"/>
        </w:rPr>
      </w:pPr>
      <w:r>
        <w:rPr>
          <w:rFonts w:ascii="宋体" w:hAnsi="宋体" w:eastAsia="宋体"/>
          <w:sz w:val="24"/>
          <w:highlight w:val="none"/>
        </w:rPr>
        <w:t xml:space="preserve">    </w:t>
      </w:r>
      <w:r>
        <w:rPr>
          <w:rFonts w:hint="eastAsia" w:ascii="宋体" w:hAnsi="宋体" w:eastAsia="宋体"/>
          <w:sz w:val="24"/>
          <w:highlight w:val="none"/>
        </w:rPr>
        <w:t>年</w:t>
      </w:r>
      <w:r>
        <w:rPr>
          <w:rFonts w:ascii="宋体" w:hAnsi="宋体" w:eastAsia="宋体"/>
          <w:sz w:val="24"/>
          <w:highlight w:val="none"/>
        </w:rPr>
        <w:t xml:space="preserve">  </w:t>
      </w:r>
      <w:r>
        <w:rPr>
          <w:rFonts w:hint="eastAsia" w:ascii="宋体" w:hAnsi="宋体" w:eastAsia="宋体"/>
          <w:sz w:val="24"/>
          <w:highlight w:val="none"/>
        </w:rPr>
        <w:t>月</w:t>
      </w:r>
      <w:r>
        <w:rPr>
          <w:rFonts w:ascii="宋体" w:hAnsi="宋体" w:eastAsia="宋体"/>
          <w:sz w:val="24"/>
          <w:highlight w:val="none"/>
        </w:rPr>
        <w:t xml:space="preserve">  </w:t>
      </w:r>
      <w:r>
        <w:rPr>
          <w:rFonts w:hint="eastAsia" w:ascii="宋体" w:hAnsi="宋体" w:eastAsia="宋体"/>
          <w:sz w:val="24"/>
          <w:highlight w:val="none"/>
        </w:rPr>
        <w:t>日</w:t>
      </w:r>
    </w:p>
    <w:p w14:paraId="5E5EBD8D">
      <w:pPr>
        <w:spacing w:after="156" w:afterLines="50"/>
        <w:jc w:val="left"/>
        <w:rPr>
          <w:rFonts w:ascii="仿宋_GB2312" w:hAnsi="Calibri" w:eastAsia="仿宋_GB2312"/>
          <w:sz w:val="32"/>
          <w:szCs w:val="32"/>
          <w:highlight w:val="none"/>
        </w:rPr>
      </w:pPr>
      <w:bookmarkStart w:id="22" w:name="_Toc16307"/>
    </w:p>
    <w:p w14:paraId="5C5C315D">
      <w:pPr>
        <w:spacing w:after="156" w:afterLines="50"/>
        <w:jc w:val="left"/>
        <w:rPr>
          <w:rFonts w:ascii="仿宋_GB2312" w:hAnsi="Calibri" w:eastAsia="仿宋_GB2312"/>
          <w:sz w:val="32"/>
          <w:szCs w:val="32"/>
          <w:highlight w:val="none"/>
        </w:rPr>
      </w:pPr>
    </w:p>
    <w:p w14:paraId="338BCC7B">
      <w:pPr>
        <w:pStyle w:val="13"/>
        <w:rPr>
          <w:highlight w:val="none"/>
        </w:rPr>
      </w:pPr>
    </w:p>
    <w:p w14:paraId="39D63223">
      <w:pPr>
        <w:rPr>
          <w:rFonts w:ascii="宋体" w:hAnsi="宋体" w:cs="宋体"/>
          <w:sz w:val="24"/>
          <w:szCs w:val="24"/>
          <w:highlight w:val="none"/>
        </w:rPr>
      </w:pPr>
      <w:bookmarkStart w:id="23" w:name="_Toc12670"/>
    </w:p>
    <w:p w14:paraId="067B1222">
      <w:pPr>
        <w:rPr>
          <w:rFonts w:ascii="宋体" w:hAnsi="宋体" w:cs="宋体"/>
          <w:sz w:val="24"/>
          <w:szCs w:val="24"/>
          <w:highlight w:val="none"/>
        </w:rPr>
      </w:pPr>
    </w:p>
    <w:p w14:paraId="276D9072">
      <w:pPr>
        <w:rPr>
          <w:rFonts w:ascii="宋体" w:hAnsi="宋体" w:cs="宋体"/>
          <w:sz w:val="24"/>
          <w:szCs w:val="24"/>
          <w:highlight w:val="none"/>
        </w:rPr>
      </w:pPr>
      <w:r>
        <w:rPr>
          <w:rFonts w:hint="eastAsia" w:ascii="宋体" w:hAnsi="宋体" w:cs="宋体"/>
          <w:sz w:val="24"/>
          <w:szCs w:val="24"/>
          <w:highlight w:val="none"/>
        </w:rPr>
        <w:t>附件2</w:t>
      </w:r>
      <w:bookmarkEnd w:id="22"/>
      <w:bookmarkEnd w:id="23"/>
    </w:p>
    <w:p w14:paraId="57FF171B">
      <w:pPr>
        <w:pStyle w:val="7"/>
        <w:spacing w:line="560" w:lineRule="exact"/>
        <w:ind w:right="283" w:rightChars="135"/>
        <w:jc w:val="center"/>
        <w:rPr>
          <w:rFonts w:ascii="宋体" w:hAnsi="宋体" w:eastAsia="宋体" w:cs="宋体"/>
          <w:sz w:val="36"/>
          <w:szCs w:val="36"/>
          <w:highlight w:val="none"/>
        </w:rPr>
      </w:pPr>
      <w:r>
        <w:rPr>
          <w:rFonts w:hint="eastAsia" w:ascii="宋体" w:hAnsi="宋体" w:eastAsia="宋体" w:cs="宋体"/>
          <w:b/>
          <w:bCs/>
          <w:sz w:val="36"/>
          <w:szCs w:val="36"/>
          <w:highlight w:val="none"/>
        </w:rPr>
        <w:t>投标人基本情况表</w:t>
      </w:r>
    </w:p>
    <w:tbl>
      <w:tblPr>
        <w:tblStyle w:val="20"/>
        <w:tblW w:w="90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1101"/>
        <w:gridCol w:w="963"/>
        <w:gridCol w:w="1102"/>
        <w:gridCol w:w="1652"/>
        <w:gridCol w:w="2031"/>
      </w:tblGrid>
      <w:tr w14:paraId="2C244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2052B0B4">
            <w:pPr>
              <w:spacing w:line="276" w:lineRule="auto"/>
              <w:jc w:val="center"/>
              <w:rPr>
                <w:rFonts w:ascii="宋体" w:hAnsi="宋体" w:cs="Calibri"/>
                <w:sz w:val="24"/>
                <w:highlight w:val="none"/>
              </w:rPr>
            </w:pPr>
            <w:r>
              <w:rPr>
                <w:rFonts w:ascii="宋体" w:hAnsi="宋体" w:cs="Calibri"/>
                <w:sz w:val="24"/>
                <w:highlight w:val="none"/>
              </w:rPr>
              <w:t>投标人名称</w:t>
            </w:r>
          </w:p>
        </w:tc>
        <w:tc>
          <w:tcPr>
            <w:tcW w:w="6849" w:type="dxa"/>
            <w:gridSpan w:val="5"/>
            <w:vAlign w:val="center"/>
          </w:tcPr>
          <w:p w14:paraId="6A937C61">
            <w:pPr>
              <w:spacing w:line="276" w:lineRule="auto"/>
              <w:jc w:val="center"/>
              <w:rPr>
                <w:rFonts w:ascii="宋体" w:hAnsi="宋体" w:cs="Calibri"/>
                <w:sz w:val="24"/>
                <w:highlight w:val="none"/>
              </w:rPr>
            </w:pPr>
          </w:p>
        </w:tc>
      </w:tr>
      <w:tr w14:paraId="585A1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68131164">
            <w:pPr>
              <w:spacing w:line="276" w:lineRule="auto"/>
              <w:jc w:val="center"/>
              <w:rPr>
                <w:rFonts w:ascii="宋体" w:hAnsi="宋体" w:cs="Calibri"/>
                <w:sz w:val="24"/>
                <w:highlight w:val="none"/>
              </w:rPr>
            </w:pPr>
            <w:r>
              <w:rPr>
                <w:rFonts w:ascii="宋体" w:hAnsi="宋体" w:cs="Calibri"/>
                <w:sz w:val="24"/>
                <w:highlight w:val="none"/>
              </w:rPr>
              <w:t>注册地址</w:t>
            </w:r>
          </w:p>
        </w:tc>
        <w:tc>
          <w:tcPr>
            <w:tcW w:w="3166" w:type="dxa"/>
            <w:gridSpan w:val="3"/>
            <w:vAlign w:val="center"/>
          </w:tcPr>
          <w:p w14:paraId="4A8521E5">
            <w:pPr>
              <w:spacing w:line="276" w:lineRule="auto"/>
              <w:jc w:val="center"/>
              <w:rPr>
                <w:rFonts w:ascii="宋体" w:hAnsi="宋体" w:cs="Calibri"/>
                <w:sz w:val="24"/>
                <w:highlight w:val="none"/>
              </w:rPr>
            </w:pPr>
          </w:p>
        </w:tc>
        <w:tc>
          <w:tcPr>
            <w:tcW w:w="1652" w:type="dxa"/>
            <w:vAlign w:val="center"/>
          </w:tcPr>
          <w:p w14:paraId="747D015D">
            <w:pPr>
              <w:spacing w:line="276" w:lineRule="auto"/>
              <w:jc w:val="center"/>
              <w:rPr>
                <w:rFonts w:ascii="宋体" w:hAnsi="宋体" w:cs="Calibri"/>
                <w:sz w:val="24"/>
                <w:highlight w:val="none"/>
              </w:rPr>
            </w:pPr>
            <w:r>
              <w:rPr>
                <w:rFonts w:ascii="宋体" w:hAnsi="宋体" w:cs="Calibri"/>
                <w:sz w:val="24"/>
                <w:highlight w:val="none"/>
              </w:rPr>
              <w:t>邮政编码</w:t>
            </w:r>
          </w:p>
        </w:tc>
        <w:tc>
          <w:tcPr>
            <w:tcW w:w="2031" w:type="dxa"/>
            <w:vAlign w:val="center"/>
          </w:tcPr>
          <w:p w14:paraId="1CFFCD96">
            <w:pPr>
              <w:spacing w:line="276" w:lineRule="auto"/>
              <w:jc w:val="center"/>
              <w:rPr>
                <w:rFonts w:ascii="宋体" w:hAnsi="宋体" w:cs="Calibri"/>
                <w:sz w:val="24"/>
                <w:highlight w:val="none"/>
              </w:rPr>
            </w:pPr>
          </w:p>
        </w:tc>
      </w:tr>
      <w:tr w14:paraId="09E72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Merge w:val="restart"/>
            <w:vAlign w:val="center"/>
          </w:tcPr>
          <w:p w14:paraId="6E45BC5A">
            <w:pPr>
              <w:spacing w:line="276" w:lineRule="auto"/>
              <w:jc w:val="center"/>
              <w:rPr>
                <w:rFonts w:ascii="宋体" w:hAnsi="宋体" w:cs="Calibri"/>
                <w:sz w:val="24"/>
                <w:highlight w:val="none"/>
              </w:rPr>
            </w:pPr>
            <w:r>
              <w:rPr>
                <w:rFonts w:ascii="宋体" w:hAnsi="宋体" w:cs="Calibri"/>
                <w:sz w:val="24"/>
                <w:highlight w:val="none"/>
              </w:rPr>
              <w:t>联系方式</w:t>
            </w:r>
          </w:p>
        </w:tc>
        <w:tc>
          <w:tcPr>
            <w:tcW w:w="1101" w:type="dxa"/>
            <w:vAlign w:val="center"/>
          </w:tcPr>
          <w:p w14:paraId="691786A6">
            <w:pPr>
              <w:spacing w:line="276" w:lineRule="auto"/>
              <w:jc w:val="center"/>
              <w:rPr>
                <w:rFonts w:ascii="宋体" w:hAnsi="宋体" w:cs="Calibri"/>
                <w:sz w:val="24"/>
                <w:highlight w:val="none"/>
              </w:rPr>
            </w:pPr>
            <w:r>
              <w:rPr>
                <w:rFonts w:ascii="宋体" w:hAnsi="宋体" w:cs="Calibri"/>
                <w:sz w:val="24"/>
                <w:highlight w:val="none"/>
              </w:rPr>
              <w:t>联系人</w:t>
            </w:r>
          </w:p>
        </w:tc>
        <w:tc>
          <w:tcPr>
            <w:tcW w:w="2065" w:type="dxa"/>
            <w:gridSpan w:val="2"/>
            <w:vAlign w:val="center"/>
          </w:tcPr>
          <w:p w14:paraId="72483FDB">
            <w:pPr>
              <w:spacing w:line="276" w:lineRule="auto"/>
              <w:jc w:val="center"/>
              <w:rPr>
                <w:rFonts w:ascii="宋体" w:hAnsi="宋体" w:cs="Calibri"/>
                <w:sz w:val="24"/>
                <w:highlight w:val="none"/>
              </w:rPr>
            </w:pPr>
          </w:p>
        </w:tc>
        <w:tc>
          <w:tcPr>
            <w:tcW w:w="1652" w:type="dxa"/>
            <w:vAlign w:val="center"/>
          </w:tcPr>
          <w:p w14:paraId="1F4B91DC">
            <w:pPr>
              <w:spacing w:line="276" w:lineRule="auto"/>
              <w:jc w:val="center"/>
              <w:rPr>
                <w:rFonts w:ascii="宋体" w:hAnsi="宋体" w:cs="Calibri"/>
                <w:sz w:val="24"/>
                <w:highlight w:val="none"/>
              </w:rPr>
            </w:pPr>
            <w:r>
              <w:rPr>
                <w:rFonts w:ascii="宋体" w:hAnsi="宋体" w:cs="Calibri"/>
                <w:sz w:val="24"/>
                <w:highlight w:val="none"/>
              </w:rPr>
              <w:t>电话</w:t>
            </w:r>
          </w:p>
        </w:tc>
        <w:tc>
          <w:tcPr>
            <w:tcW w:w="2031" w:type="dxa"/>
            <w:vAlign w:val="center"/>
          </w:tcPr>
          <w:p w14:paraId="4E94A182">
            <w:pPr>
              <w:spacing w:line="276" w:lineRule="auto"/>
              <w:jc w:val="center"/>
              <w:rPr>
                <w:rFonts w:ascii="宋体" w:hAnsi="宋体" w:cs="Calibri"/>
                <w:sz w:val="24"/>
                <w:highlight w:val="none"/>
              </w:rPr>
            </w:pPr>
          </w:p>
        </w:tc>
      </w:tr>
      <w:tr w14:paraId="79128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Merge w:val="continue"/>
            <w:vAlign w:val="center"/>
          </w:tcPr>
          <w:p w14:paraId="6E33A65B">
            <w:pPr>
              <w:spacing w:line="276" w:lineRule="auto"/>
              <w:jc w:val="center"/>
              <w:rPr>
                <w:rFonts w:ascii="宋体" w:hAnsi="宋体" w:cs="Calibri"/>
                <w:sz w:val="24"/>
                <w:highlight w:val="none"/>
              </w:rPr>
            </w:pPr>
          </w:p>
        </w:tc>
        <w:tc>
          <w:tcPr>
            <w:tcW w:w="1101" w:type="dxa"/>
            <w:vAlign w:val="center"/>
          </w:tcPr>
          <w:p w14:paraId="67243668">
            <w:pPr>
              <w:spacing w:line="276" w:lineRule="auto"/>
              <w:jc w:val="center"/>
              <w:rPr>
                <w:rFonts w:ascii="宋体" w:hAnsi="宋体" w:cs="Calibri"/>
                <w:sz w:val="24"/>
                <w:highlight w:val="none"/>
              </w:rPr>
            </w:pPr>
            <w:r>
              <w:rPr>
                <w:rFonts w:ascii="宋体" w:hAnsi="宋体" w:cs="Calibri"/>
                <w:sz w:val="24"/>
                <w:highlight w:val="none"/>
              </w:rPr>
              <w:t>传真</w:t>
            </w:r>
          </w:p>
        </w:tc>
        <w:tc>
          <w:tcPr>
            <w:tcW w:w="2065" w:type="dxa"/>
            <w:gridSpan w:val="2"/>
            <w:vAlign w:val="center"/>
          </w:tcPr>
          <w:p w14:paraId="79F728A0">
            <w:pPr>
              <w:spacing w:line="276" w:lineRule="auto"/>
              <w:jc w:val="center"/>
              <w:rPr>
                <w:rFonts w:ascii="宋体" w:hAnsi="宋体" w:cs="Calibri"/>
                <w:sz w:val="24"/>
                <w:highlight w:val="none"/>
              </w:rPr>
            </w:pPr>
          </w:p>
        </w:tc>
        <w:tc>
          <w:tcPr>
            <w:tcW w:w="1652" w:type="dxa"/>
            <w:vAlign w:val="center"/>
          </w:tcPr>
          <w:p w14:paraId="7FC34B57">
            <w:pPr>
              <w:spacing w:line="276" w:lineRule="auto"/>
              <w:jc w:val="center"/>
              <w:rPr>
                <w:rFonts w:ascii="宋体" w:hAnsi="宋体" w:cs="Calibri"/>
                <w:sz w:val="24"/>
                <w:highlight w:val="none"/>
              </w:rPr>
            </w:pPr>
            <w:r>
              <w:rPr>
                <w:rFonts w:ascii="宋体" w:hAnsi="宋体" w:cs="Calibri"/>
                <w:sz w:val="24"/>
                <w:highlight w:val="none"/>
              </w:rPr>
              <w:t>网址</w:t>
            </w:r>
          </w:p>
        </w:tc>
        <w:tc>
          <w:tcPr>
            <w:tcW w:w="2031" w:type="dxa"/>
            <w:vAlign w:val="center"/>
          </w:tcPr>
          <w:p w14:paraId="4CB94090">
            <w:pPr>
              <w:spacing w:line="276" w:lineRule="auto"/>
              <w:jc w:val="center"/>
              <w:rPr>
                <w:rFonts w:ascii="宋体" w:hAnsi="宋体" w:cs="Calibri"/>
                <w:sz w:val="24"/>
                <w:highlight w:val="none"/>
              </w:rPr>
            </w:pPr>
          </w:p>
        </w:tc>
      </w:tr>
      <w:tr w14:paraId="2B199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6F40D5DF">
            <w:pPr>
              <w:spacing w:line="276" w:lineRule="auto"/>
              <w:jc w:val="center"/>
              <w:rPr>
                <w:rFonts w:ascii="宋体" w:hAnsi="宋体" w:cs="Calibri"/>
                <w:sz w:val="24"/>
                <w:highlight w:val="none"/>
              </w:rPr>
            </w:pPr>
            <w:r>
              <w:rPr>
                <w:rFonts w:ascii="宋体" w:hAnsi="宋体" w:cs="Calibri"/>
                <w:sz w:val="24"/>
                <w:highlight w:val="none"/>
              </w:rPr>
              <w:t>法定代表人</w:t>
            </w:r>
          </w:p>
        </w:tc>
        <w:tc>
          <w:tcPr>
            <w:tcW w:w="1101" w:type="dxa"/>
            <w:vAlign w:val="center"/>
          </w:tcPr>
          <w:p w14:paraId="02288B29">
            <w:pPr>
              <w:spacing w:line="276" w:lineRule="auto"/>
              <w:jc w:val="center"/>
              <w:rPr>
                <w:rFonts w:ascii="宋体" w:hAnsi="宋体" w:cs="Calibri"/>
                <w:sz w:val="24"/>
                <w:highlight w:val="none"/>
              </w:rPr>
            </w:pPr>
            <w:r>
              <w:rPr>
                <w:rFonts w:ascii="宋体" w:hAnsi="宋体" w:cs="Calibri"/>
                <w:sz w:val="24"/>
                <w:highlight w:val="none"/>
              </w:rPr>
              <w:t>姓名</w:t>
            </w:r>
          </w:p>
        </w:tc>
        <w:tc>
          <w:tcPr>
            <w:tcW w:w="2065" w:type="dxa"/>
            <w:gridSpan w:val="2"/>
            <w:vAlign w:val="center"/>
          </w:tcPr>
          <w:p w14:paraId="43D8971C">
            <w:pPr>
              <w:spacing w:line="276" w:lineRule="auto"/>
              <w:jc w:val="center"/>
              <w:rPr>
                <w:rFonts w:ascii="宋体" w:hAnsi="宋体" w:cs="Calibri"/>
                <w:sz w:val="24"/>
                <w:highlight w:val="none"/>
              </w:rPr>
            </w:pPr>
          </w:p>
        </w:tc>
        <w:tc>
          <w:tcPr>
            <w:tcW w:w="1652" w:type="dxa"/>
            <w:vAlign w:val="center"/>
          </w:tcPr>
          <w:p w14:paraId="5EDAA8C8">
            <w:pPr>
              <w:spacing w:line="276" w:lineRule="auto"/>
              <w:jc w:val="center"/>
              <w:rPr>
                <w:rFonts w:ascii="宋体" w:hAnsi="宋体" w:cs="Calibri"/>
                <w:sz w:val="24"/>
                <w:highlight w:val="none"/>
              </w:rPr>
            </w:pPr>
            <w:r>
              <w:rPr>
                <w:rFonts w:ascii="宋体" w:hAnsi="宋体" w:cs="Calibri"/>
                <w:sz w:val="24"/>
                <w:highlight w:val="none"/>
              </w:rPr>
              <w:t>职称</w:t>
            </w:r>
          </w:p>
        </w:tc>
        <w:tc>
          <w:tcPr>
            <w:tcW w:w="2031" w:type="dxa"/>
            <w:vAlign w:val="center"/>
          </w:tcPr>
          <w:p w14:paraId="667626D6">
            <w:pPr>
              <w:spacing w:line="276" w:lineRule="auto"/>
              <w:jc w:val="center"/>
              <w:rPr>
                <w:rFonts w:ascii="宋体" w:hAnsi="宋体" w:cs="Calibri"/>
                <w:sz w:val="24"/>
                <w:highlight w:val="none"/>
              </w:rPr>
            </w:pPr>
          </w:p>
        </w:tc>
      </w:tr>
      <w:tr w14:paraId="23613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308A17E2">
            <w:pPr>
              <w:spacing w:line="276" w:lineRule="auto"/>
              <w:jc w:val="center"/>
              <w:rPr>
                <w:rFonts w:ascii="宋体" w:hAnsi="宋体" w:cs="Calibri"/>
                <w:sz w:val="24"/>
                <w:highlight w:val="none"/>
              </w:rPr>
            </w:pPr>
            <w:r>
              <w:rPr>
                <w:rFonts w:ascii="宋体" w:hAnsi="宋体" w:cs="Calibri"/>
                <w:sz w:val="24"/>
                <w:highlight w:val="none"/>
              </w:rPr>
              <w:t>负责人</w:t>
            </w:r>
          </w:p>
        </w:tc>
        <w:tc>
          <w:tcPr>
            <w:tcW w:w="1101" w:type="dxa"/>
            <w:vAlign w:val="center"/>
          </w:tcPr>
          <w:p w14:paraId="5B49542C">
            <w:pPr>
              <w:spacing w:line="276" w:lineRule="auto"/>
              <w:jc w:val="center"/>
              <w:rPr>
                <w:rFonts w:ascii="宋体" w:hAnsi="宋体" w:cs="Calibri"/>
                <w:sz w:val="24"/>
                <w:highlight w:val="none"/>
              </w:rPr>
            </w:pPr>
            <w:r>
              <w:rPr>
                <w:rFonts w:ascii="宋体" w:hAnsi="宋体" w:cs="Calibri"/>
                <w:sz w:val="24"/>
                <w:highlight w:val="none"/>
              </w:rPr>
              <w:t>姓名</w:t>
            </w:r>
          </w:p>
        </w:tc>
        <w:tc>
          <w:tcPr>
            <w:tcW w:w="2065" w:type="dxa"/>
            <w:gridSpan w:val="2"/>
            <w:vAlign w:val="center"/>
          </w:tcPr>
          <w:p w14:paraId="52BD3D24">
            <w:pPr>
              <w:spacing w:line="276" w:lineRule="auto"/>
              <w:jc w:val="center"/>
              <w:rPr>
                <w:rFonts w:ascii="宋体" w:hAnsi="宋体" w:cs="Calibri"/>
                <w:sz w:val="24"/>
                <w:highlight w:val="none"/>
              </w:rPr>
            </w:pPr>
          </w:p>
        </w:tc>
        <w:tc>
          <w:tcPr>
            <w:tcW w:w="1652" w:type="dxa"/>
            <w:vAlign w:val="center"/>
          </w:tcPr>
          <w:p w14:paraId="2C1277C9">
            <w:pPr>
              <w:spacing w:line="276" w:lineRule="auto"/>
              <w:jc w:val="center"/>
              <w:rPr>
                <w:rFonts w:ascii="宋体" w:hAnsi="宋体" w:cs="Calibri"/>
                <w:sz w:val="24"/>
                <w:highlight w:val="none"/>
              </w:rPr>
            </w:pPr>
            <w:r>
              <w:rPr>
                <w:rFonts w:ascii="宋体" w:hAnsi="宋体" w:cs="Calibri"/>
                <w:sz w:val="24"/>
                <w:highlight w:val="none"/>
              </w:rPr>
              <w:t>职称</w:t>
            </w:r>
          </w:p>
        </w:tc>
        <w:tc>
          <w:tcPr>
            <w:tcW w:w="2031" w:type="dxa"/>
            <w:vAlign w:val="center"/>
          </w:tcPr>
          <w:p w14:paraId="3A7B9933">
            <w:pPr>
              <w:spacing w:line="276" w:lineRule="auto"/>
              <w:jc w:val="center"/>
              <w:rPr>
                <w:rFonts w:ascii="宋体" w:hAnsi="宋体" w:cs="Calibri"/>
                <w:sz w:val="24"/>
                <w:highlight w:val="none"/>
              </w:rPr>
            </w:pPr>
          </w:p>
        </w:tc>
      </w:tr>
      <w:tr w14:paraId="3EC0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195D51D8">
            <w:pPr>
              <w:spacing w:line="276" w:lineRule="auto"/>
              <w:jc w:val="center"/>
              <w:rPr>
                <w:rFonts w:ascii="宋体" w:hAnsi="宋体" w:cs="Calibri"/>
                <w:sz w:val="24"/>
                <w:highlight w:val="none"/>
              </w:rPr>
            </w:pPr>
            <w:r>
              <w:rPr>
                <w:rFonts w:ascii="宋体" w:hAnsi="宋体" w:cs="Calibri"/>
                <w:sz w:val="24"/>
                <w:highlight w:val="none"/>
              </w:rPr>
              <w:t>成立时间</w:t>
            </w:r>
          </w:p>
        </w:tc>
        <w:tc>
          <w:tcPr>
            <w:tcW w:w="2064" w:type="dxa"/>
            <w:gridSpan w:val="2"/>
            <w:vAlign w:val="center"/>
          </w:tcPr>
          <w:p w14:paraId="149C5965">
            <w:pPr>
              <w:spacing w:line="276" w:lineRule="auto"/>
              <w:jc w:val="center"/>
              <w:rPr>
                <w:rFonts w:ascii="宋体" w:hAnsi="宋体" w:cs="Calibri"/>
                <w:sz w:val="24"/>
                <w:highlight w:val="none"/>
              </w:rPr>
            </w:pPr>
          </w:p>
        </w:tc>
        <w:tc>
          <w:tcPr>
            <w:tcW w:w="1102" w:type="dxa"/>
            <w:vMerge w:val="restart"/>
            <w:vAlign w:val="center"/>
          </w:tcPr>
          <w:p w14:paraId="6872CC1C">
            <w:pPr>
              <w:spacing w:line="276" w:lineRule="auto"/>
              <w:jc w:val="center"/>
              <w:rPr>
                <w:rFonts w:ascii="宋体" w:hAnsi="宋体" w:cs="Calibri"/>
                <w:sz w:val="24"/>
                <w:highlight w:val="none"/>
              </w:rPr>
            </w:pPr>
          </w:p>
          <w:p w14:paraId="41AB2646">
            <w:pPr>
              <w:spacing w:line="276" w:lineRule="auto"/>
              <w:jc w:val="center"/>
              <w:rPr>
                <w:rFonts w:ascii="宋体" w:hAnsi="宋体" w:cs="Calibri"/>
                <w:sz w:val="24"/>
                <w:highlight w:val="none"/>
              </w:rPr>
            </w:pPr>
          </w:p>
          <w:p w14:paraId="7F6E4E1E">
            <w:pPr>
              <w:spacing w:line="276" w:lineRule="auto"/>
              <w:jc w:val="center"/>
              <w:rPr>
                <w:rFonts w:ascii="宋体" w:hAnsi="宋体" w:cs="Calibri"/>
                <w:sz w:val="24"/>
                <w:highlight w:val="none"/>
              </w:rPr>
            </w:pPr>
          </w:p>
          <w:p w14:paraId="5AC09004">
            <w:pPr>
              <w:spacing w:line="276" w:lineRule="auto"/>
              <w:jc w:val="center"/>
              <w:rPr>
                <w:rFonts w:ascii="宋体" w:hAnsi="宋体" w:cs="Calibri"/>
                <w:sz w:val="24"/>
                <w:highlight w:val="none"/>
              </w:rPr>
            </w:pPr>
            <w:r>
              <w:rPr>
                <w:rFonts w:ascii="宋体" w:hAnsi="宋体" w:cs="Calibri"/>
                <w:sz w:val="24"/>
                <w:highlight w:val="none"/>
              </w:rPr>
              <w:t>其中</w:t>
            </w:r>
          </w:p>
        </w:tc>
        <w:tc>
          <w:tcPr>
            <w:tcW w:w="3683" w:type="dxa"/>
            <w:gridSpan w:val="2"/>
            <w:vAlign w:val="center"/>
          </w:tcPr>
          <w:p w14:paraId="7A5F9A70">
            <w:pPr>
              <w:tabs>
                <w:tab w:val="left" w:pos="690"/>
              </w:tabs>
              <w:spacing w:line="276" w:lineRule="auto"/>
              <w:jc w:val="center"/>
              <w:rPr>
                <w:rFonts w:ascii="宋体" w:hAnsi="宋体" w:cs="Calibri"/>
                <w:sz w:val="24"/>
                <w:highlight w:val="none"/>
              </w:rPr>
            </w:pPr>
            <w:r>
              <w:rPr>
                <w:rFonts w:hint="eastAsia" w:ascii="宋体" w:hAnsi="宋体" w:cs="Calibri"/>
                <w:sz w:val="24"/>
                <w:highlight w:val="none"/>
              </w:rPr>
              <w:t>现在岗</w:t>
            </w:r>
            <w:r>
              <w:rPr>
                <w:rFonts w:ascii="宋体" w:hAnsi="宋体" w:cs="Calibri"/>
                <w:sz w:val="24"/>
                <w:highlight w:val="none"/>
              </w:rPr>
              <w:t>员工总人数</w:t>
            </w:r>
          </w:p>
        </w:tc>
      </w:tr>
      <w:tr w14:paraId="64CDE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4EEC2DAA">
            <w:pPr>
              <w:spacing w:line="276" w:lineRule="auto"/>
              <w:jc w:val="center"/>
              <w:rPr>
                <w:rFonts w:ascii="宋体" w:hAnsi="宋体" w:cs="Calibri"/>
                <w:sz w:val="24"/>
                <w:highlight w:val="none"/>
              </w:rPr>
            </w:pPr>
            <w:r>
              <w:rPr>
                <w:rFonts w:ascii="宋体" w:hAnsi="宋体" w:cs="Calibri"/>
                <w:sz w:val="24"/>
                <w:highlight w:val="none"/>
              </w:rPr>
              <w:t>企业资质等级</w:t>
            </w:r>
          </w:p>
        </w:tc>
        <w:tc>
          <w:tcPr>
            <w:tcW w:w="2064" w:type="dxa"/>
            <w:gridSpan w:val="2"/>
            <w:vAlign w:val="center"/>
          </w:tcPr>
          <w:p w14:paraId="7A20D64D">
            <w:pPr>
              <w:spacing w:line="276" w:lineRule="auto"/>
              <w:jc w:val="center"/>
              <w:rPr>
                <w:rFonts w:ascii="宋体" w:hAnsi="宋体" w:cs="Calibri"/>
                <w:sz w:val="24"/>
                <w:highlight w:val="none"/>
              </w:rPr>
            </w:pPr>
          </w:p>
        </w:tc>
        <w:tc>
          <w:tcPr>
            <w:tcW w:w="1102" w:type="dxa"/>
            <w:vMerge w:val="continue"/>
            <w:vAlign w:val="center"/>
          </w:tcPr>
          <w:p w14:paraId="5B2A9B2F">
            <w:pPr>
              <w:spacing w:line="276" w:lineRule="auto"/>
              <w:jc w:val="center"/>
              <w:rPr>
                <w:rFonts w:ascii="宋体" w:hAnsi="宋体" w:cs="Calibri"/>
                <w:sz w:val="24"/>
                <w:highlight w:val="none"/>
              </w:rPr>
            </w:pPr>
          </w:p>
        </w:tc>
        <w:tc>
          <w:tcPr>
            <w:tcW w:w="1652" w:type="dxa"/>
            <w:vMerge w:val="restart"/>
            <w:vAlign w:val="center"/>
          </w:tcPr>
          <w:p w14:paraId="44B53578">
            <w:pPr>
              <w:tabs>
                <w:tab w:val="left" w:pos="690"/>
              </w:tabs>
              <w:spacing w:line="276" w:lineRule="auto"/>
              <w:jc w:val="center"/>
              <w:rPr>
                <w:rFonts w:ascii="宋体" w:hAnsi="宋体" w:cs="Calibri"/>
                <w:sz w:val="24"/>
                <w:highlight w:val="none"/>
              </w:rPr>
            </w:pPr>
            <w:r>
              <w:rPr>
                <w:rFonts w:hint="eastAsia" w:ascii="宋体" w:hAnsi="宋体" w:cs="Calibri"/>
                <w:sz w:val="24"/>
                <w:highlight w:val="none"/>
              </w:rPr>
              <w:t>自有讲师</w:t>
            </w:r>
          </w:p>
        </w:tc>
        <w:tc>
          <w:tcPr>
            <w:tcW w:w="2031" w:type="dxa"/>
            <w:vMerge w:val="restart"/>
            <w:vAlign w:val="center"/>
          </w:tcPr>
          <w:p w14:paraId="3EFAA3E9">
            <w:pPr>
              <w:tabs>
                <w:tab w:val="left" w:pos="690"/>
              </w:tabs>
              <w:spacing w:line="276" w:lineRule="auto"/>
              <w:jc w:val="center"/>
              <w:rPr>
                <w:rFonts w:ascii="宋体" w:hAnsi="宋体" w:cs="Calibri"/>
                <w:sz w:val="24"/>
                <w:highlight w:val="none"/>
              </w:rPr>
            </w:pPr>
          </w:p>
        </w:tc>
      </w:tr>
      <w:tr w14:paraId="7C535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527A5C21">
            <w:pPr>
              <w:spacing w:line="276" w:lineRule="auto"/>
              <w:jc w:val="center"/>
              <w:rPr>
                <w:rFonts w:ascii="宋体" w:hAnsi="宋体" w:cs="Calibri"/>
                <w:sz w:val="24"/>
                <w:highlight w:val="none"/>
              </w:rPr>
            </w:pPr>
            <w:r>
              <w:rPr>
                <w:rFonts w:ascii="宋体" w:hAnsi="宋体" w:cs="Calibri"/>
                <w:sz w:val="24"/>
                <w:highlight w:val="none"/>
              </w:rPr>
              <w:t>营业执照号</w:t>
            </w:r>
          </w:p>
        </w:tc>
        <w:tc>
          <w:tcPr>
            <w:tcW w:w="2064" w:type="dxa"/>
            <w:gridSpan w:val="2"/>
            <w:vAlign w:val="center"/>
          </w:tcPr>
          <w:p w14:paraId="1E6A6B7F">
            <w:pPr>
              <w:spacing w:line="276" w:lineRule="auto"/>
              <w:jc w:val="center"/>
              <w:rPr>
                <w:rFonts w:ascii="宋体" w:hAnsi="宋体" w:cs="Calibri"/>
                <w:sz w:val="24"/>
                <w:highlight w:val="none"/>
              </w:rPr>
            </w:pPr>
          </w:p>
        </w:tc>
        <w:tc>
          <w:tcPr>
            <w:tcW w:w="1102" w:type="dxa"/>
            <w:vMerge w:val="continue"/>
            <w:vAlign w:val="center"/>
          </w:tcPr>
          <w:p w14:paraId="49782A75">
            <w:pPr>
              <w:spacing w:line="276" w:lineRule="auto"/>
              <w:jc w:val="center"/>
              <w:rPr>
                <w:rFonts w:ascii="宋体" w:hAnsi="宋体" w:cs="Calibri"/>
                <w:sz w:val="24"/>
                <w:highlight w:val="none"/>
              </w:rPr>
            </w:pPr>
          </w:p>
        </w:tc>
        <w:tc>
          <w:tcPr>
            <w:tcW w:w="1652" w:type="dxa"/>
            <w:vMerge w:val="continue"/>
            <w:vAlign w:val="center"/>
          </w:tcPr>
          <w:p w14:paraId="0E14CC59">
            <w:pPr>
              <w:tabs>
                <w:tab w:val="left" w:pos="690"/>
              </w:tabs>
              <w:spacing w:line="276" w:lineRule="auto"/>
              <w:jc w:val="center"/>
              <w:rPr>
                <w:rFonts w:ascii="宋体" w:hAnsi="宋体" w:cs="Calibri"/>
                <w:sz w:val="24"/>
                <w:highlight w:val="none"/>
              </w:rPr>
            </w:pPr>
          </w:p>
        </w:tc>
        <w:tc>
          <w:tcPr>
            <w:tcW w:w="2031" w:type="dxa"/>
            <w:vMerge w:val="continue"/>
            <w:vAlign w:val="center"/>
          </w:tcPr>
          <w:p w14:paraId="09FA1321">
            <w:pPr>
              <w:tabs>
                <w:tab w:val="left" w:pos="690"/>
              </w:tabs>
              <w:spacing w:line="276" w:lineRule="auto"/>
              <w:jc w:val="center"/>
              <w:rPr>
                <w:rFonts w:ascii="宋体" w:hAnsi="宋体" w:cs="Calibri"/>
                <w:sz w:val="24"/>
                <w:highlight w:val="none"/>
              </w:rPr>
            </w:pPr>
          </w:p>
        </w:tc>
      </w:tr>
      <w:tr w14:paraId="43897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448684F2">
            <w:pPr>
              <w:spacing w:line="276" w:lineRule="auto"/>
              <w:jc w:val="center"/>
              <w:rPr>
                <w:rFonts w:ascii="宋体" w:hAnsi="宋体" w:cs="Calibri"/>
                <w:sz w:val="24"/>
                <w:highlight w:val="none"/>
              </w:rPr>
            </w:pPr>
            <w:r>
              <w:rPr>
                <w:rFonts w:ascii="宋体" w:hAnsi="宋体" w:cs="Calibri"/>
                <w:sz w:val="24"/>
                <w:highlight w:val="none"/>
              </w:rPr>
              <w:t>注册资金</w:t>
            </w:r>
          </w:p>
        </w:tc>
        <w:tc>
          <w:tcPr>
            <w:tcW w:w="2064" w:type="dxa"/>
            <w:gridSpan w:val="2"/>
            <w:vAlign w:val="center"/>
          </w:tcPr>
          <w:p w14:paraId="58986176">
            <w:pPr>
              <w:spacing w:line="276" w:lineRule="auto"/>
              <w:jc w:val="center"/>
              <w:rPr>
                <w:rFonts w:ascii="宋体" w:hAnsi="宋体" w:cs="Calibri"/>
                <w:sz w:val="24"/>
                <w:highlight w:val="none"/>
              </w:rPr>
            </w:pPr>
          </w:p>
        </w:tc>
        <w:tc>
          <w:tcPr>
            <w:tcW w:w="1102" w:type="dxa"/>
            <w:vMerge w:val="continue"/>
            <w:vAlign w:val="center"/>
          </w:tcPr>
          <w:p w14:paraId="4B4694D5">
            <w:pPr>
              <w:spacing w:line="276" w:lineRule="auto"/>
              <w:jc w:val="center"/>
              <w:rPr>
                <w:rFonts w:ascii="宋体" w:hAnsi="宋体" w:cs="Calibri"/>
                <w:sz w:val="24"/>
                <w:highlight w:val="none"/>
              </w:rPr>
            </w:pPr>
          </w:p>
        </w:tc>
        <w:tc>
          <w:tcPr>
            <w:tcW w:w="1652" w:type="dxa"/>
            <w:vMerge w:val="restart"/>
            <w:vAlign w:val="center"/>
          </w:tcPr>
          <w:p w14:paraId="021389BF">
            <w:pPr>
              <w:tabs>
                <w:tab w:val="left" w:pos="690"/>
              </w:tabs>
              <w:spacing w:line="276" w:lineRule="auto"/>
              <w:jc w:val="center"/>
              <w:rPr>
                <w:rFonts w:ascii="宋体" w:hAnsi="宋体" w:cs="Calibri"/>
                <w:sz w:val="24"/>
                <w:highlight w:val="none"/>
              </w:rPr>
            </w:pPr>
            <w:r>
              <w:rPr>
                <w:rFonts w:hint="eastAsia" w:ascii="宋体" w:hAnsi="宋体" w:cs="Calibri"/>
                <w:sz w:val="24"/>
                <w:highlight w:val="none"/>
              </w:rPr>
              <w:t>兼职教师</w:t>
            </w:r>
          </w:p>
        </w:tc>
        <w:tc>
          <w:tcPr>
            <w:tcW w:w="2031" w:type="dxa"/>
            <w:vMerge w:val="restart"/>
            <w:vAlign w:val="center"/>
          </w:tcPr>
          <w:p w14:paraId="41005BCE">
            <w:pPr>
              <w:tabs>
                <w:tab w:val="left" w:pos="690"/>
              </w:tabs>
              <w:spacing w:line="276" w:lineRule="auto"/>
              <w:jc w:val="center"/>
              <w:rPr>
                <w:rFonts w:ascii="宋体" w:hAnsi="宋体" w:cs="Calibri"/>
                <w:sz w:val="24"/>
                <w:highlight w:val="none"/>
              </w:rPr>
            </w:pPr>
          </w:p>
        </w:tc>
      </w:tr>
      <w:tr w14:paraId="51BAA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6421A9A5">
            <w:pPr>
              <w:spacing w:line="276" w:lineRule="auto"/>
              <w:jc w:val="center"/>
              <w:rPr>
                <w:rFonts w:ascii="宋体" w:hAnsi="宋体" w:cs="Calibri"/>
                <w:sz w:val="24"/>
                <w:highlight w:val="none"/>
              </w:rPr>
            </w:pPr>
            <w:r>
              <w:rPr>
                <w:rFonts w:ascii="宋体" w:hAnsi="宋体" w:cs="Calibri"/>
                <w:sz w:val="24"/>
                <w:highlight w:val="none"/>
              </w:rPr>
              <w:t>开户银行</w:t>
            </w:r>
          </w:p>
        </w:tc>
        <w:tc>
          <w:tcPr>
            <w:tcW w:w="2064" w:type="dxa"/>
            <w:gridSpan w:val="2"/>
            <w:vAlign w:val="center"/>
          </w:tcPr>
          <w:p w14:paraId="2A6B2F2B">
            <w:pPr>
              <w:spacing w:line="276" w:lineRule="auto"/>
              <w:jc w:val="center"/>
              <w:rPr>
                <w:rFonts w:ascii="宋体" w:hAnsi="宋体" w:cs="Calibri"/>
                <w:sz w:val="24"/>
                <w:highlight w:val="none"/>
              </w:rPr>
            </w:pPr>
          </w:p>
        </w:tc>
        <w:tc>
          <w:tcPr>
            <w:tcW w:w="1102" w:type="dxa"/>
            <w:vMerge w:val="continue"/>
            <w:vAlign w:val="center"/>
          </w:tcPr>
          <w:p w14:paraId="6475CC4E">
            <w:pPr>
              <w:spacing w:line="276" w:lineRule="auto"/>
              <w:jc w:val="center"/>
              <w:rPr>
                <w:rFonts w:ascii="宋体" w:hAnsi="宋体" w:cs="Calibri"/>
                <w:sz w:val="24"/>
                <w:highlight w:val="none"/>
              </w:rPr>
            </w:pPr>
          </w:p>
        </w:tc>
        <w:tc>
          <w:tcPr>
            <w:tcW w:w="1652" w:type="dxa"/>
            <w:vMerge w:val="continue"/>
            <w:vAlign w:val="center"/>
          </w:tcPr>
          <w:p w14:paraId="3C6E152D">
            <w:pPr>
              <w:tabs>
                <w:tab w:val="left" w:pos="690"/>
              </w:tabs>
              <w:spacing w:line="276" w:lineRule="auto"/>
              <w:jc w:val="center"/>
              <w:rPr>
                <w:rFonts w:ascii="宋体" w:hAnsi="宋体" w:cs="Calibri"/>
                <w:sz w:val="24"/>
                <w:highlight w:val="none"/>
              </w:rPr>
            </w:pPr>
          </w:p>
        </w:tc>
        <w:tc>
          <w:tcPr>
            <w:tcW w:w="2031" w:type="dxa"/>
            <w:vMerge w:val="continue"/>
            <w:vAlign w:val="center"/>
          </w:tcPr>
          <w:p w14:paraId="01781D34">
            <w:pPr>
              <w:tabs>
                <w:tab w:val="left" w:pos="690"/>
              </w:tabs>
              <w:spacing w:line="276" w:lineRule="auto"/>
              <w:jc w:val="center"/>
              <w:rPr>
                <w:rFonts w:ascii="宋体" w:hAnsi="宋体" w:cs="Calibri"/>
                <w:sz w:val="24"/>
                <w:highlight w:val="none"/>
              </w:rPr>
            </w:pPr>
          </w:p>
        </w:tc>
      </w:tr>
      <w:tr w14:paraId="666B5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170" w:type="dxa"/>
            <w:vAlign w:val="center"/>
          </w:tcPr>
          <w:p w14:paraId="027C25EE">
            <w:pPr>
              <w:spacing w:line="276" w:lineRule="auto"/>
              <w:jc w:val="center"/>
              <w:rPr>
                <w:rFonts w:ascii="宋体" w:hAnsi="宋体" w:cs="Calibri"/>
                <w:sz w:val="24"/>
                <w:highlight w:val="none"/>
              </w:rPr>
            </w:pPr>
            <w:r>
              <w:rPr>
                <w:rFonts w:ascii="宋体" w:hAnsi="宋体" w:cs="Calibri"/>
                <w:sz w:val="24"/>
                <w:highlight w:val="none"/>
              </w:rPr>
              <w:t>银行账号</w:t>
            </w:r>
          </w:p>
        </w:tc>
        <w:tc>
          <w:tcPr>
            <w:tcW w:w="2064" w:type="dxa"/>
            <w:gridSpan w:val="2"/>
            <w:vAlign w:val="center"/>
          </w:tcPr>
          <w:p w14:paraId="57AA8625">
            <w:pPr>
              <w:spacing w:line="276" w:lineRule="auto"/>
              <w:jc w:val="center"/>
              <w:rPr>
                <w:rFonts w:ascii="宋体" w:hAnsi="宋体" w:cs="Calibri"/>
                <w:sz w:val="24"/>
                <w:highlight w:val="none"/>
              </w:rPr>
            </w:pPr>
          </w:p>
        </w:tc>
        <w:tc>
          <w:tcPr>
            <w:tcW w:w="1102" w:type="dxa"/>
            <w:vMerge w:val="continue"/>
            <w:vAlign w:val="center"/>
          </w:tcPr>
          <w:p w14:paraId="631C1862">
            <w:pPr>
              <w:spacing w:line="276" w:lineRule="auto"/>
              <w:jc w:val="center"/>
              <w:rPr>
                <w:rFonts w:ascii="宋体" w:hAnsi="宋体" w:cs="Calibri"/>
                <w:sz w:val="24"/>
                <w:highlight w:val="none"/>
              </w:rPr>
            </w:pPr>
          </w:p>
        </w:tc>
        <w:tc>
          <w:tcPr>
            <w:tcW w:w="1652" w:type="dxa"/>
            <w:vMerge w:val="continue"/>
            <w:vAlign w:val="center"/>
          </w:tcPr>
          <w:p w14:paraId="4D9F8074">
            <w:pPr>
              <w:tabs>
                <w:tab w:val="left" w:pos="690"/>
              </w:tabs>
              <w:spacing w:line="276" w:lineRule="auto"/>
              <w:jc w:val="center"/>
              <w:rPr>
                <w:rFonts w:ascii="宋体" w:hAnsi="宋体" w:cs="Calibri"/>
                <w:sz w:val="24"/>
                <w:highlight w:val="none"/>
              </w:rPr>
            </w:pPr>
          </w:p>
        </w:tc>
        <w:tc>
          <w:tcPr>
            <w:tcW w:w="2031" w:type="dxa"/>
            <w:vMerge w:val="continue"/>
            <w:vAlign w:val="center"/>
          </w:tcPr>
          <w:p w14:paraId="5F678EF9">
            <w:pPr>
              <w:tabs>
                <w:tab w:val="left" w:pos="690"/>
              </w:tabs>
              <w:spacing w:line="276" w:lineRule="auto"/>
              <w:jc w:val="center"/>
              <w:rPr>
                <w:rFonts w:ascii="宋体" w:hAnsi="宋体" w:cs="Calibri"/>
                <w:sz w:val="24"/>
                <w:highlight w:val="none"/>
              </w:rPr>
            </w:pPr>
          </w:p>
        </w:tc>
      </w:tr>
      <w:tr w14:paraId="5A11A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3" w:hRule="atLeast"/>
        </w:trPr>
        <w:tc>
          <w:tcPr>
            <w:tcW w:w="9019" w:type="dxa"/>
            <w:gridSpan w:val="6"/>
            <w:vAlign w:val="center"/>
          </w:tcPr>
          <w:p w14:paraId="2447DEF7">
            <w:pPr>
              <w:tabs>
                <w:tab w:val="left" w:pos="690"/>
              </w:tabs>
              <w:spacing w:line="276" w:lineRule="auto"/>
              <w:jc w:val="left"/>
              <w:rPr>
                <w:sz w:val="24"/>
                <w:szCs w:val="22"/>
                <w:highlight w:val="none"/>
              </w:rPr>
            </w:pPr>
            <w:r>
              <w:rPr>
                <w:sz w:val="24"/>
                <w:szCs w:val="22"/>
                <w:highlight w:val="none"/>
              </w:rPr>
              <w:t>经营范围</w:t>
            </w:r>
            <w:r>
              <w:rPr>
                <w:rFonts w:hint="eastAsia"/>
                <w:sz w:val="24"/>
                <w:szCs w:val="22"/>
                <w:highlight w:val="none"/>
              </w:rPr>
              <w:t>：</w:t>
            </w:r>
          </w:p>
          <w:p w14:paraId="1206C20D">
            <w:pPr>
              <w:pStyle w:val="2"/>
              <w:rPr>
                <w:highlight w:val="none"/>
              </w:rPr>
            </w:pPr>
          </w:p>
          <w:p w14:paraId="03F6F2F9">
            <w:pPr>
              <w:rPr>
                <w:highlight w:val="none"/>
              </w:rPr>
            </w:pPr>
          </w:p>
          <w:p w14:paraId="40507765">
            <w:pPr>
              <w:pStyle w:val="2"/>
              <w:rPr>
                <w:highlight w:val="none"/>
              </w:rPr>
            </w:pPr>
          </w:p>
        </w:tc>
      </w:tr>
    </w:tbl>
    <w:p w14:paraId="627F1A0C">
      <w:pPr>
        <w:pStyle w:val="7"/>
        <w:spacing w:line="560" w:lineRule="exact"/>
        <w:ind w:right="283" w:rightChars="135"/>
        <w:rPr>
          <w:rFonts w:ascii="宋体" w:hAnsi="宋体" w:eastAsia="宋体" w:cs="宋体"/>
          <w:sz w:val="24"/>
          <w:szCs w:val="24"/>
          <w:highlight w:val="none"/>
        </w:rPr>
      </w:pPr>
      <w:r>
        <w:rPr>
          <w:rFonts w:hint="eastAsia" w:ascii="宋体" w:hAnsi="宋体" w:eastAsia="宋体" w:cs="宋体"/>
          <w:sz w:val="24"/>
          <w:szCs w:val="24"/>
          <w:highlight w:val="none"/>
        </w:rPr>
        <w:t>投标人：（盖章）</w:t>
      </w:r>
    </w:p>
    <w:p w14:paraId="3CB6900D">
      <w:pPr>
        <w:spacing w:line="660" w:lineRule="exact"/>
        <w:rPr>
          <w:rFonts w:ascii="宋体" w:hAnsi="宋体" w:cs="宋体"/>
          <w:sz w:val="24"/>
          <w:szCs w:val="24"/>
          <w:highlight w:val="none"/>
        </w:rPr>
      </w:pPr>
      <w:r>
        <w:rPr>
          <w:rFonts w:hint="eastAsia" w:ascii="宋体" w:hAnsi="宋体" w:cs="宋体"/>
          <w:sz w:val="24"/>
          <w:szCs w:val="24"/>
          <w:highlight w:val="none"/>
        </w:rPr>
        <w:t>法定代表人（委托代理人）：（签字）</w:t>
      </w:r>
    </w:p>
    <w:p w14:paraId="3558D571">
      <w:pPr>
        <w:pStyle w:val="7"/>
        <w:spacing w:line="560" w:lineRule="exact"/>
        <w:ind w:right="283" w:rightChars="135"/>
        <w:rPr>
          <w:rFonts w:ascii="宋体" w:hAnsi="宋体" w:eastAsia="宋体" w:cs="宋体"/>
          <w:sz w:val="24"/>
          <w:szCs w:val="24"/>
          <w:highlight w:val="none"/>
        </w:rPr>
      </w:pPr>
      <w:r>
        <w:rPr>
          <w:rFonts w:hint="eastAsia" w:ascii="宋体" w:hAnsi="宋体" w:eastAsia="宋体" w:cs="宋体"/>
          <w:sz w:val="24"/>
          <w:szCs w:val="24"/>
          <w:highlight w:val="none"/>
        </w:rPr>
        <w:t>日期：    年    月   日</w:t>
      </w:r>
    </w:p>
    <w:p w14:paraId="341E9D2A">
      <w:pPr>
        <w:rPr>
          <w:rFonts w:ascii="宋体" w:hAnsi="宋体" w:cs="宋体"/>
          <w:sz w:val="24"/>
          <w:szCs w:val="24"/>
          <w:highlight w:val="none"/>
        </w:rPr>
      </w:pPr>
    </w:p>
    <w:p w14:paraId="291B5DEF">
      <w:pPr>
        <w:pStyle w:val="13"/>
        <w:rPr>
          <w:rFonts w:ascii="宋体" w:hAnsi="宋体" w:cs="宋体"/>
          <w:sz w:val="24"/>
          <w:szCs w:val="24"/>
          <w:highlight w:val="none"/>
        </w:rPr>
      </w:pPr>
    </w:p>
    <w:p w14:paraId="50B782F3">
      <w:pPr>
        <w:pStyle w:val="13"/>
        <w:rPr>
          <w:rFonts w:ascii="宋体" w:hAnsi="宋体" w:cs="宋体"/>
          <w:sz w:val="24"/>
          <w:szCs w:val="24"/>
          <w:highlight w:val="none"/>
        </w:rPr>
        <w:sectPr>
          <w:footerReference r:id="rId6" w:type="first"/>
          <w:footerReference r:id="rId5" w:type="default"/>
          <w:pgSz w:w="11906" w:h="16838"/>
          <w:pgMar w:top="1588" w:right="1418" w:bottom="1134" w:left="1418" w:header="851" w:footer="992" w:gutter="0"/>
          <w:pgNumType w:fmt="decimal" w:start="1"/>
          <w:cols w:space="720" w:num="1"/>
          <w:titlePg/>
          <w:docGrid w:type="lines" w:linePitch="312" w:charSpace="0"/>
        </w:sectPr>
      </w:pPr>
    </w:p>
    <w:p w14:paraId="648C3E0E">
      <w:pPr>
        <w:rPr>
          <w:rFonts w:ascii="宋体" w:hAnsi="宋体" w:cs="宋体"/>
          <w:sz w:val="24"/>
          <w:szCs w:val="24"/>
          <w:highlight w:val="none"/>
        </w:rPr>
      </w:pPr>
      <w:bookmarkStart w:id="24" w:name="_Toc32286"/>
      <w:r>
        <w:rPr>
          <w:rFonts w:hint="eastAsia" w:ascii="宋体" w:hAnsi="宋体" w:cs="宋体"/>
          <w:sz w:val="24"/>
          <w:szCs w:val="24"/>
          <w:highlight w:val="none"/>
        </w:rPr>
        <w:t>附件3</w:t>
      </w:r>
      <w:bookmarkEnd w:id="24"/>
    </w:p>
    <w:p w14:paraId="654FEEC9">
      <w:pPr>
        <w:rPr>
          <w:rFonts w:eastAsia="黑体"/>
          <w:b/>
          <w:bCs/>
          <w:sz w:val="28"/>
          <w:highlight w:val="none"/>
        </w:rPr>
      </w:pPr>
      <w:r>
        <w:rPr>
          <w:rFonts w:hint="eastAsia" w:eastAsia="黑体"/>
          <w:b/>
          <w:bCs/>
          <w:sz w:val="28"/>
          <w:highlight w:val="none"/>
        </w:rPr>
        <w:t>《开标一览表》单独</w:t>
      </w:r>
      <w:r>
        <w:rPr>
          <w:rFonts w:hint="eastAsia" w:eastAsia="黑体"/>
          <w:b/>
          <w:bCs/>
          <w:sz w:val="28"/>
          <w:highlight w:val="none"/>
          <w:lang w:val="en-US" w:eastAsia="zh-CN"/>
        </w:rPr>
        <w:t>准备</w:t>
      </w:r>
      <w:r>
        <w:rPr>
          <w:rFonts w:hint="eastAsia" w:eastAsia="黑体"/>
          <w:b/>
          <w:bCs/>
          <w:sz w:val="28"/>
          <w:highlight w:val="none"/>
        </w:rPr>
        <w:t>，以备唱标使用</w:t>
      </w:r>
    </w:p>
    <w:p w14:paraId="0CD97C10">
      <w:pPr>
        <w:jc w:val="center"/>
        <w:rPr>
          <w:rFonts w:ascii="黑体" w:eastAsia="黑体"/>
          <w:sz w:val="30"/>
          <w:highlight w:val="none"/>
        </w:rPr>
      </w:pPr>
      <w:r>
        <w:rPr>
          <w:rFonts w:hint="eastAsia" w:ascii="黑体" w:eastAsia="黑体"/>
          <w:sz w:val="30"/>
          <w:highlight w:val="none"/>
        </w:rPr>
        <w:t>开标一览表</w:t>
      </w:r>
    </w:p>
    <w:tbl>
      <w:tblPr>
        <w:tblStyle w:val="20"/>
        <w:tblpPr w:leftFromText="180" w:rightFromText="180" w:vertAnchor="text" w:horzAnchor="page" w:tblpX="1439" w:tblpY="99"/>
        <w:tblOverlap w:val="never"/>
        <w:tblW w:w="138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0"/>
        <w:gridCol w:w="3365"/>
        <w:gridCol w:w="2009"/>
        <w:gridCol w:w="2251"/>
        <w:gridCol w:w="1677"/>
        <w:gridCol w:w="17"/>
        <w:gridCol w:w="2187"/>
        <w:gridCol w:w="1191"/>
      </w:tblGrid>
      <w:tr w14:paraId="73391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130" w:type="dxa"/>
            <w:vAlign w:val="center"/>
          </w:tcPr>
          <w:p w14:paraId="011D09F3">
            <w:pPr>
              <w:jc w:val="center"/>
              <w:rPr>
                <w:rFonts w:ascii="宋体" w:hAnsi="宋体"/>
                <w:sz w:val="24"/>
                <w:highlight w:val="none"/>
              </w:rPr>
            </w:pPr>
            <w:r>
              <w:rPr>
                <w:rFonts w:hint="eastAsia" w:ascii="黑体" w:hAnsi="黑体" w:eastAsia="黑体" w:cs="宋体"/>
                <w:color w:val="000000"/>
                <w:kern w:val="0"/>
                <w:sz w:val="24"/>
                <w:highlight w:val="none"/>
              </w:rPr>
              <w:t>序号</w:t>
            </w:r>
          </w:p>
        </w:tc>
        <w:tc>
          <w:tcPr>
            <w:tcW w:w="3365" w:type="dxa"/>
            <w:vAlign w:val="center"/>
          </w:tcPr>
          <w:p w14:paraId="1613A0E1">
            <w:pPr>
              <w:jc w:val="center"/>
              <w:rPr>
                <w:rFonts w:hint="default" w:ascii="黑体" w:hAnsi="黑体" w:eastAsia="黑体" w:cs="宋体"/>
                <w:color w:val="000000"/>
                <w:kern w:val="0"/>
                <w:sz w:val="24"/>
                <w:highlight w:val="none"/>
                <w:lang w:val="en-US" w:eastAsia="zh-CN"/>
              </w:rPr>
            </w:pPr>
            <w:r>
              <w:rPr>
                <w:rFonts w:hint="eastAsia" w:ascii="黑体" w:hAnsi="黑体" w:eastAsia="黑体" w:cs="宋体"/>
                <w:color w:val="000000"/>
                <w:kern w:val="0"/>
                <w:sz w:val="24"/>
                <w:highlight w:val="none"/>
                <w:lang w:val="en-US" w:eastAsia="zh-CN"/>
              </w:rPr>
              <w:t>物资/服务/...名称</w:t>
            </w:r>
          </w:p>
        </w:tc>
        <w:tc>
          <w:tcPr>
            <w:tcW w:w="2009" w:type="dxa"/>
            <w:vAlign w:val="center"/>
          </w:tcPr>
          <w:p w14:paraId="11A7015F">
            <w:pPr>
              <w:jc w:val="center"/>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未税</w:t>
            </w:r>
            <w:r>
              <w:rPr>
                <w:rFonts w:hint="eastAsia" w:ascii="黑体" w:hAnsi="黑体" w:eastAsia="黑体" w:cs="黑体"/>
                <w:sz w:val="24"/>
                <w:szCs w:val="24"/>
                <w:highlight w:val="none"/>
              </w:rPr>
              <w:t>单价</w:t>
            </w:r>
            <w:r>
              <w:rPr>
                <w:rFonts w:hint="eastAsia" w:ascii="黑体" w:hAnsi="黑体" w:eastAsia="黑体" w:cs="黑体"/>
                <w:sz w:val="24"/>
                <w:szCs w:val="24"/>
                <w:highlight w:val="none"/>
                <w:lang w:eastAsia="zh-CN"/>
              </w:rPr>
              <w:t>（</w:t>
            </w:r>
            <w:r>
              <w:rPr>
                <w:rFonts w:hint="eastAsia" w:ascii="黑体" w:hAnsi="黑体" w:eastAsia="黑体" w:cs="黑体"/>
                <w:sz w:val="24"/>
                <w:szCs w:val="24"/>
                <w:highlight w:val="none"/>
                <w:lang w:val="en-US" w:eastAsia="zh-CN"/>
              </w:rPr>
              <w:t>元</w:t>
            </w:r>
            <w:r>
              <w:rPr>
                <w:rFonts w:hint="eastAsia" w:ascii="黑体" w:hAnsi="黑体" w:eastAsia="黑体" w:cs="黑体"/>
                <w:sz w:val="24"/>
                <w:szCs w:val="24"/>
                <w:highlight w:val="none"/>
                <w:lang w:eastAsia="zh-CN"/>
              </w:rPr>
              <w:t>）</w:t>
            </w:r>
          </w:p>
        </w:tc>
        <w:tc>
          <w:tcPr>
            <w:tcW w:w="2251" w:type="dxa"/>
            <w:vAlign w:val="center"/>
          </w:tcPr>
          <w:p w14:paraId="53CE2427">
            <w:pPr>
              <w:jc w:val="center"/>
              <w:rPr>
                <w:rFonts w:hint="eastAsia" w:ascii="黑体" w:hAnsi="黑体" w:eastAsia="黑体" w:cs="黑体"/>
                <w:kern w:val="2"/>
                <w:sz w:val="24"/>
                <w:szCs w:val="24"/>
                <w:highlight w:val="none"/>
                <w:lang w:val="en-US" w:eastAsia="zh-CN"/>
              </w:rPr>
            </w:pPr>
            <w:r>
              <w:rPr>
                <w:rFonts w:hint="eastAsia" w:ascii="黑体" w:hAnsi="黑体" w:eastAsia="黑体" w:cs="黑体"/>
                <w:kern w:val="2"/>
                <w:sz w:val="24"/>
                <w:szCs w:val="24"/>
                <w:highlight w:val="none"/>
                <w:lang w:val="en-US" w:eastAsia="zh-CN"/>
              </w:rPr>
              <w:t>计量单位</w:t>
            </w:r>
          </w:p>
        </w:tc>
        <w:tc>
          <w:tcPr>
            <w:tcW w:w="1677" w:type="dxa"/>
            <w:vAlign w:val="center"/>
          </w:tcPr>
          <w:p w14:paraId="03586446">
            <w:pPr>
              <w:jc w:val="center"/>
              <w:rPr>
                <w:rFonts w:hint="eastAsia" w:ascii="Times New Roman" w:hAnsi="Times New Roman" w:eastAsia="黑体" w:cs="Times New Roman"/>
                <w:color w:val="000000"/>
                <w:kern w:val="2"/>
                <w:sz w:val="21"/>
                <w:highlight w:val="none"/>
              </w:rPr>
            </w:pPr>
            <w:r>
              <w:rPr>
                <w:rFonts w:hint="default" w:ascii="黑体" w:hAnsi="黑体" w:eastAsia="黑体" w:cs="黑体"/>
                <w:color w:val="000000"/>
                <w:kern w:val="2"/>
                <w:sz w:val="24"/>
                <w:szCs w:val="24"/>
                <w:highlight w:val="none"/>
              </w:rPr>
              <w:t>数量</w:t>
            </w:r>
          </w:p>
        </w:tc>
        <w:tc>
          <w:tcPr>
            <w:tcW w:w="2204" w:type="dxa"/>
            <w:gridSpan w:val="2"/>
            <w:vAlign w:val="center"/>
          </w:tcPr>
          <w:p w14:paraId="7378F7E3">
            <w:pPr>
              <w:jc w:val="center"/>
              <w:rPr>
                <w:rFonts w:hint="eastAsia" w:ascii="黑体" w:hAnsi="黑体" w:eastAsia="黑体" w:cs="黑体"/>
                <w:sz w:val="24"/>
                <w:szCs w:val="24"/>
                <w:highlight w:val="none"/>
              </w:rPr>
            </w:pPr>
            <w:r>
              <w:rPr>
                <w:rFonts w:hint="eastAsia" w:ascii="黑体" w:hAnsi="黑体" w:eastAsia="黑体" w:cs="黑体"/>
                <w:sz w:val="24"/>
                <w:szCs w:val="24"/>
                <w:highlight w:val="none"/>
                <w:lang w:val="en-US" w:eastAsia="zh-CN"/>
              </w:rPr>
              <w:t>未税</w:t>
            </w:r>
            <w:r>
              <w:rPr>
                <w:rFonts w:hint="eastAsia" w:ascii="黑体" w:hAnsi="黑体" w:eastAsia="黑体" w:cs="黑体"/>
                <w:sz w:val="24"/>
                <w:szCs w:val="24"/>
                <w:highlight w:val="none"/>
              </w:rPr>
              <w:t>总价</w:t>
            </w:r>
            <w:r>
              <w:rPr>
                <w:rFonts w:hint="eastAsia" w:ascii="黑体" w:hAnsi="黑体" w:eastAsia="黑体" w:cs="黑体"/>
                <w:sz w:val="24"/>
                <w:szCs w:val="24"/>
                <w:highlight w:val="none"/>
                <w:lang w:eastAsia="zh-CN"/>
              </w:rPr>
              <w:t>（</w:t>
            </w:r>
            <w:r>
              <w:rPr>
                <w:rFonts w:hint="eastAsia" w:ascii="黑体" w:hAnsi="黑体" w:eastAsia="黑体" w:cs="黑体"/>
                <w:sz w:val="24"/>
                <w:szCs w:val="24"/>
                <w:highlight w:val="none"/>
                <w:lang w:val="en-US" w:eastAsia="zh-CN"/>
              </w:rPr>
              <w:t>元</w:t>
            </w:r>
            <w:r>
              <w:rPr>
                <w:rFonts w:hint="eastAsia" w:ascii="黑体" w:hAnsi="黑体" w:eastAsia="黑体" w:cs="黑体"/>
                <w:sz w:val="24"/>
                <w:szCs w:val="24"/>
                <w:highlight w:val="none"/>
                <w:lang w:eastAsia="zh-CN"/>
              </w:rPr>
              <w:t>）</w:t>
            </w:r>
          </w:p>
        </w:tc>
        <w:tc>
          <w:tcPr>
            <w:tcW w:w="1191" w:type="dxa"/>
            <w:vAlign w:val="center"/>
          </w:tcPr>
          <w:p w14:paraId="40612EC6">
            <w:pPr>
              <w:jc w:val="center"/>
              <w:rPr>
                <w:rFonts w:ascii="黑体" w:hAnsi="黑体" w:eastAsia="黑体" w:cs="宋体"/>
                <w:color w:val="000000"/>
                <w:kern w:val="0"/>
                <w:sz w:val="24"/>
                <w:highlight w:val="none"/>
              </w:rPr>
            </w:pPr>
            <w:r>
              <w:rPr>
                <w:rFonts w:hint="eastAsia" w:ascii="黑体" w:hAnsi="黑体" w:eastAsia="黑体" w:cs="宋体"/>
                <w:color w:val="000000"/>
                <w:kern w:val="0"/>
                <w:sz w:val="24"/>
                <w:highlight w:val="none"/>
                <w:lang w:val="en-US" w:eastAsia="zh-CN"/>
              </w:rPr>
              <w:t>备注</w:t>
            </w:r>
          </w:p>
        </w:tc>
      </w:tr>
      <w:tr w14:paraId="4FD47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130" w:type="dxa"/>
            <w:vAlign w:val="center"/>
          </w:tcPr>
          <w:p w14:paraId="1A47B67E">
            <w:pPr>
              <w:jc w:val="center"/>
              <w:rPr>
                <w:rFonts w:hint="eastAsia" w:ascii="宋体" w:hAnsi="宋体" w:eastAsia="宋体" w:cs="Times New Roman"/>
                <w:color w:val="FF0000"/>
                <w:kern w:val="2"/>
                <w:sz w:val="24"/>
                <w:highlight w:val="none"/>
                <w:lang w:val="en-US" w:eastAsia="zh-CN"/>
              </w:rPr>
            </w:pPr>
            <w:r>
              <w:rPr>
                <w:rFonts w:hint="eastAsia" w:ascii="宋体" w:hAnsi="宋体" w:eastAsia="宋体" w:cs="Times New Roman"/>
                <w:color w:val="FF0000"/>
                <w:kern w:val="2"/>
                <w:sz w:val="24"/>
                <w:highlight w:val="none"/>
                <w:lang w:val="en-US" w:eastAsia="zh-CN"/>
              </w:rPr>
              <w:t>填写</w:t>
            </w:r>
          </w:p>
          <w:p w14:paraId="5A511EE1">
            <w:pPr>
              <w:jc w:val="center"/>
              <w:rPr>
                <w:rFonts w:hint="default" w:ascii="宋体" w:hAnsi="宋体" w:eastAsia="宋体" w:cs="Times New Roman"/>
                <w:color w:val="FF0000"/>
                <w:kern w:val="2"/>
                <w:sz w:val="24"/>
                <w:highlight w:val="none"/>
                <w:lang w:val="en-US" w:eastAsia="zh-CN"/>
              </w:rPr>
            </w:pPr>
            <w:r>
              <w:rPr>
                <w:rFonts w:hint="eastAsia" w:ascii="宋体" w:hAnsi="宋体" w:eastAsia="宋体" w:cs="Times New Roman"/>
                <w:color w:val="FF0000"/>
                <w:kern w:val="2"/>
                <w:sz w:val="24"/>
                <w:highlight w:val="none"/>
                <w:lang w:val="en-US" w:eastAsia="zh-CN"/>
              </w:rPr>
              <w:t>示例</w:t>
            </w:r>
          </w:p>
        </w:tc>
        <w:tc>
          <w:tcPr>
            <w:tcW w:w="3365" w:type="dxa"/>
            <w:vAlign w:val="center"/>
          </w:tcPr>
          <w:p w14:paraId="0E7F2A17">
            <w:pPr>
              <w:jc w:val="center"/>
              <w:rPr>
                <w:rFonts w:hint="eastAsia" w:ascii="宋体" w:hAnsi="宋体" w:eastAsia="宋体"/>
                <w:color w:val="FF0000"/>
                <w:sz w:val="24"/>
                <w:highlight w:val="none"/>
                <w:lang w:val="en-US" w:eastAsia="zh-CN"/>
              </w:rPr>
            </w:pPr>
            <w:r>
              <w:rPr>
                <w:rFonts w:hint="eastAsia" w:ascii="宋体" w:hAnsi="宋体"/>
                <w:color w:val="FF0000"/>
                <w:sz w:val="24"/>
                <w:highlight w:val="none"/>
                <w:lang w:val="en-US" w:eastAsia="zh-CN"/>
              </w:rPr>
              <w:t>XXX课程</w:t>
            </w:r>
          </w:p>
        </w:tc>
        <w:tc>
          <w:tcPr>
            <w:tcW w:w="2009" w:type="dxa"/>
            <w:vAlign w:val="center"/>
          </w:tcPr>
          <w:p w14:paraId="106375E9">
            <w:pPr>
              <w:jc w:val="center"/>
              <w:rPr>
                <w:rFonts w:hint="default" w:ascii="宋体" w:hAnsi="宋体" w:eastAsia="宋体"/>
                <w:color w:val="FF0000"/>
                <w:sz w:val="24"/>
                <w:highlight w:val="none"/>
                <w:lang w:val="en-US" w:eastAsia="zh-CN"/>
              </w:rPr>
            </w:pPr>
            <w:r>
              <w:rPr>
                <w:rFonts w:hint="eastAsia" w:ascii="宋体" w:hAnsi="宋体"/>
                <w:color w:val="FF0000"/>
                <w:sz w:val="24"/>
                <w:highlight w:val="none"/>
                <w:lang w:val="en-US" w:eastAsia="zh-CN"/>
              </w:rPr>
              <w:t>XX</w:t>
            </w:r>
          </w:p>
        </w:tc>
        <w:tc>
          <w:tcPr>
            <w:tcW w:w="2251" w:type="dxa"/>
            <w:vAlign w:val="center"/>
          </w:tcPr>
          <w:p w14:paraId="2FF0DCBA">
            <w:pPr>
              <w:jc w:val="center"/>
              <w:rPr>
                <w:rFonts w:hint="default" w:ascii="宋体" w:hAnsi="宋体"/>
                <w:color w:val="FF0000"/>
                <w:sz w:val="24"/>
                <w:highlight w:val="none"/>
                <w:lang w:val="en-US" w:eastAsia="zh-CN"/>
              </w:rPr>
            </w:pPr>
            <w:r>
              <w:rPr>
                <w:rFonts w:hint="eastAsia" w:ascii="宋体" w:hAnsi="宋体"/>
                <w:color w:val="FF0000"/>
                <w:sz w:val="24"/>
                <w:highlight w:val="none"/>
                <w:lang w:val="en-US" w:eastAsia="zh-CN"/>
              </w:rPr>
              <w:t>元/课时</w:t>
            </w:r>
          </w:p>
        </w:tc>
        <w:tc>
          <w:tcPr>
            <w:tcW w:w="1677" w:type="dxa"/>
            <w:vAlign w:val="center"/>
          </w:tcPr>
          <w:p w14:paraId="5E898DD6">
            <w:pPr>
              <w:jc w:val="center"/>
              <w:rPr>
                <w:rFonts w:hint="default" w:ascii="宋体" w:hAnsi="宋体" w:eastAsia="宋体"/>
                <w:color w:val="FF0000"/>
                <w:sz w:val="24"/>
                <w:highlight w:val="none"/>
                <w:lang w:val="en-US" w:eastAsia="zh-CN"/>
              </w:rPr>
            </w:pPr>
            <w:r>
              <w:rPr>
                <w:rFonts w:hint="eastAsia" w:ascii="宋体" w:hAnsi="宋体"/>
                <w:color w:val="FF0000"/>
                <w:sz w:val="24"/>
                <w:highlight w:val="none"/>
                <w:lang w:val="en-US" w:eastAsia="zh-CN"/>
              </w:rPr>
              <w:t>XX</w:t>
            </w:r>
          </w:p>
        </w:tc>
        <w:tc>
          <w:tcPr>
            <w:tcW w:w="2204" w:type="dxa"/>
            <w:gridSpan w:val="2"/>
            <w:vAlign w:val="center"/>
          </w:tcPr>
          <w:p w14:paraId="25E936A7">
            <w:pPr>
              <w:jc w:val="center"/>
              <w:rPr>
                <w:rFonts w:hint="default" w:ascii="宋体" w:hAnsi="宋体" w:eastAsia="宋体"/>
                <w:color w:val="FF0000"/>
                <w:sz w:val="24"/>
                <w:highlight w:val="none"/>
                <w:lang w:val="en-US" w:eastAsia="zh-CN"/>
              </w:rPr>
            </w:pPr>
            <w:r>
              <w:rPr>
                <w:rFonts w:hint="eastAsia" w:ascii="宋体" w:hAnsi="宋体"/>
                <w:color w:val="FF0000"/>
                <w:sz w:val="24"/>
                <w:highlight w:val="none"/>
                <w:lang w:val="en-US" w:eastAsia="zh-CN"/>
              </w:rPr>
              <w:t>XXXXX元</w:t>
            </w:r>
          </w:p>
        </w:tc>
        <w:tc>
          <w:tcPr>
            <w:tcW w:w="1191" w:type="dxa"/>
            <w:vAlign w:val="center"/>
          </w:tcPr>
          <w:p w14:paraId="2290354D">
            <w:pPr>
              <w:jc w:val="center"/>
              <w:rPr>
                <w:rFonts w:hint="default" w:ascii="宋体" w:hAnsi="宋体" w:eastAsia="宋体"/>
                <w:color w:val="FF0000"/>
                <w:sz w:val="24"/>
                <w:highlight w:val="none"/>
                <w:lang w:val="en-US" w:eastAsia="zh-CN"/>
              </w:rPr>
            </w:pPr>
            <w:r>
              <w:rPr>
                <w:rFonts w:hint="eastAsia" w:ascii="宋体" w:hAnsi="宋体"/>
                <w:color w:val="FF0000"/>
                <w:sz w:val="24"/>
                <w:highlight w:val="none"/>
                <w:lang w:val="en-US" w:eastAsia="zh-CN"/>
              </w:rPr>
              <w:t>税率6%</w:t>
            </w:r>
          </w:p>
        </w:tc>
      </w:tr>
      <w:tr w14:paraId="2CEB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130" w:type="dxa"/>
            <w:vAlign w:val="center"/>
          </w:tcPr>
          <w:p w14:paraId="608CED20">
            <w:pPr>
              <w:jc w:val="center"/>
              <w:rPr>
                <w:rFonts w:ascii="黑体" w:hAnsi="黑体" w:eastAsia="黑体" w:cs="宋体"/>
                <w:color w:val="000000"/>
                <w:kern w:val="0"/>
                <w:sz w:val="24"/>
                <w:highlight w:val="none"/>
              </w:rPr>
            </w:pPr>
          </w:p>
        </w:tc>
        <w:tc>
          <w:tcPr>
            <w:tcW w:w="3365" w:type="dxa"/>
            <w:vAlign w:val="center"/>
          </w:tcPr>
          <w:p w14:paraId="60E3888E">
            <w:pPr>
              <w:rPr>
                <w:rFonts w:ascii="宋体" w:hAnsi="宋体"/>
                <w:sz w:val="24"/>
                <w:highlight w:val="none"/>
              </w:rPr>
            </w:pPr>
          </w:p>
        </w:tc>
        <w:tc>
          <w:tcPr>
            <w:tcW w:w="2009" w:type="dxa"/>
            <w:vAlign w:val="center"/>
          </w:tcPr>
          <w:p w14:paraId="0B36D064">
            <w:pPr>
              <w:rPr>
                <w:rFonts w:ascii="宋体" w:hAnsi="宋体"/>
                <w:sz w:val="24"/>
                <w:highlight w:val="none"/>
              </w:rPr>
            </w:pPr>
          </w:p>
        </w:tc>
        <w:tc>
          <w:tcPr>
            <w:tcW w:w="2251" w:type="dxa"/>
            <w:vAlign w:val="center"/>
          </w:tcPr>
          <w:p w14:paraId="1DBF349D">
            <w:pPr>
              <w:rPr>
                <w:rFonts w:ascii="宋体" w:hAnsi="宋体"/>
                <w:sz w:val="24"/>
                <w:highlight w:val="none"/>
              </w:rPr>
            </w:pPr>
          </w:p>
        </w:tc>
        <w:tc>
          <w:tcPr>
            <w:tcW w:w="1677" w:type="dxa"/>
            <w:vAlign w:val="center"/>
          </w:tcPr>
          <w:p w14:paraId="4CFE1546">
            <w:pPr>
              <w:rPr>
                <w:rFonts w:ascii="宋体" w:hAnsi="宋体"/>
                <w:sz w:val="24"/>
                <w:highlight w:val="none"/>
              </w:rPr>
            </w:pPr>
          </w:p>
        </w:tc>
        <w:tc>
          <w:tcPr>
            <w:tcW w:w="2204" w:type="dxa"/>
            <w:gridSpan w:val="2"/>
            <w:vAlign w:val="center"/>
          </w:tcPr>
          <w:p w14:paraId="4490CE76">
            <w:pPr>
              <w:rPr>
                <w:rFonts w:ascii="宋体" w:hAnsi="宋体"/>
                <w:sz w:val="24"/>
                <w:highlight w:val="none"/>
              </w:rPr>
            </w:pPr>
          </w:p>
        </w:tc>
        <w:tc>
          <w:tcPr>
            <w:tcW w:w="1191" w:type="dxa"/>
            <w:vAlign w:val="center"/>
          </w:tcPr>
          <w:p w14:paraId="748A4E37">
            <w:pPr>
              <w:rPr>
                <w:rFonts w:ascii="宋体" w:hAnsi="宋体"/>
                <w:sz w:val="24"/>
                <w:highlight w:val="none"/>
              </w:rPr>
            </w:pPr>
          </w:p>
        </w:tc>
      </w:tr>
      <w:tr w14:paraId="752E2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130" w:type="dxa"/>
            <w:vAlign w:val="center"/>
          </w:tcPr>
          <w:p w14:paraId="34DEE990">
            <w:pPr>
              <w:rPr>
                <w:rFonts w:ascii="宋体" w:hAnsi="宋体"/>
                <w:sz w:val="24"/>
                <w:highlight w:val="none"/>
              </w:rPr>
            </w:pPr>
          </w:p>
        </w:tc>
        <w:tc>
          <w:tcPr>
            <w:tcW w:w="3365" w:type="dxa"/>
            <w:vAlign w:val="center"/>
          </w:tcPr>
          <w:p w14:paraId="4D3499B1">
            <w:pPr>
              <w:rPr>
                <w:rFonts w:ascii="宋体" w:hAnsi="宋体"/>
                <w:sz w:val="24"/>
                <w:highlight w:val="none"/>
              </w:rPr>
            </w:pPr>
          </w:p>
        </w:tc>
        <w:tc>
          <w:tcPr>
            <w:tcW w:w="2009" w:type="dxa"/>
            <w:vAlign w:val="center"/>
          </w:tcPr>
          <w:p w14:paraId="3915E95F">
            <w:pPr>
              <w:rPr>
                <w:rFonts w:ascii="宋体" w:hAnsi="宋体"/>
                <w:sz w:val="24"/>
                <w:highlight w:val="none"/>
              </w:rPr>
            </w:pPr>
          </w:p>
        </w:tc>
        <w:tc>
          <w:tcPr>
            <w:tcW w:w="2251" w:type="dxa"/>
            <w:vAlign w:val="center"/>
          </w:tcPr>
          <w:p w14:paraId="48B9ACB8">
            <w:pPr>
              <w:rPr>
                <w:rFonts w:ascii="宋体" w:hAnsi="宋体"/>
                <w:sz w:val="24"/>
                <w:highlight w:val="none"/>
              </w:rPr>
            </w:pPr>
          </w:p>
        </w:tc>
        <w:tc>
          <w:tcPr>
            <w:tcW w:w="1677" w:type="dxa"/>
            <w:vAlign w:val="center"/>
          </w:tcPr>
          <w:p w14:paraId="0727F258">
            <w:pPr>
              <w:rPr>
                <w:rFonts w:ascii="宋体" w:hAnsi="宋体"/>
                <w:sz w:val="24"/>
                <w:highlight w:val="none"/>
              </w:rPr>
            </w:pPr>
          </w:p>
        </w:tc>
        <w:tc>
          <w:tcPr>
            <w:tcW w:w="2204" w:type="dxa"/>
            <w:gridSpan w:val="2"/>
            <w:vAlign w:val="center"/>
          </w:tcPr>
          <w:p w14:paraId="0FEDFA6E">
            <w:pPr>
              <w:rPr>
                <w:rFonts w:ascii="宋体" w:hAnsi="宋体"/>
                <w:sz w:val="24"/>
                <w:highlight w:val="none"/>
              </w:rPr>
            </w:pPr>
          </w:p>
        </w:tc>
        <w:tc>
          <w:tcPr>
            <w:tcW w:w="1191" w:type="dxa"/>
            <w:vAlign w:val="center"/>
          </w:tcPr>
          <w:p w14:paraId="757651B2">
            <w:pPr>
              <w:rPr>
                <w:rFonts w:ascii="宋体" w:hAnsi="宋体"/>
                <w:sz w:val="24"/>
                <w:highlight w:val="none"/>
              </w:rPr>
            </w:pPr>
          </w:p>
        </w:tc>
      </w:tr>
      <w:tr w14:paraId="4DFCF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130" w:type="dxa"/>
            <w:tcBorders>
              <w:bottom w:val="single" w:color="auto" w:sz="4" w:space="0"/>
            </w:tcBorders>
            <w:vAlign w:val="center"/>
          </w:tcPr>
          <w:p w14:paraId="1AF9CEEF">
            <w:pPr>
              <w:rPr>
                <w:rFonts w:ascii="宋体" w:hAnsi="宋体"/>
                <w:sz w:val="24"/>
                <w:highlight w:val="none"/>
              </w:rPr>
            </w:pPr>
          </w:p>
        </w:tc>
        <w:tc>
          <w:tcPr>
            <w:tcW w:w="3365" w:type="dxa"/>
            <w:tcBorders>
              <w:bottom w:val="single" w:color="auto" w:sz="4" w:space="0"/>
            </w:tcBorders>
            <w:vAlign w:val="center"/>
          </w:tcPr>
          <w:p w14:paraId="5A9492EC">
            <w:pPr>
              <w:rPr>
                <w:rFonts w:ascii="宋体" w:hAnsi="宋体"/>
                <w:sz w:val="24"/>
                <w:highlight w:val="none"/>
              </w:rPr>
            </w:pPr>
          </w:p>
        </w:tc>
        <w:tc>
          <w:tcPr>
            <w:tcW w:w="2009" w:type="dxa"/>
            <w:tcBorders>
              <w:bottom w:val="single" w:color="auto" w:sz="4" w:space="0"/>
            </w:tcBorders>
            <w:vAlign w:val="center"/>
          </w:tcPr>
          <w:p w14:paraId="1ABDF3DA">
            <w:pPr>
              <w:rPr>
                <w:rFonts w:ascii="宋体" w:hAnsi="宋体"/>
                <w:sz w:val="24"/>
                <w:highlight w:val="none"/>
              </w:rPr>
            </w:pPr>
          </w:p>
        </w:tc>
        <w:tc>
          <w:tcPr>
            <w:tcW w:w="2251" w:type="dxa"/>
            <w:tcBorders>
              <w:bottom w:val="single" w:color="auto" w:sz="4" w:space="0"/>
            </w:tcBorders>
            <w:vAlign w:val="center"/>
          </w:tcPr>
          <w:p w14:paraId="0E7CCD55">
            <w:pPr>
              <w:rPr>
                <w:rFonts w:ascii="宋体" w:hAnsi="宋体"/>
                <w:sz w:val="24"/>
                <w:highlight w:val="none"/>
              </w:rPr>
            </w:pPr>
          </w:p>
        </w:tc>
        <w:tc>
          <w:tcPr>
            <w:tcW w:w="1677" w:type="dxa"/>
            <w:tcBorders>
              <w:bottom w:val="single" w:color="auto" w:sz="4" w:space="0"/>
            </w:tcBorders>
            <w:vAlign w:val="center"/>
          </w:tcPr>
          <w:p w14:paraId="1C7699C9">
            <w:pPr>
              <w:rPr>
                <w:rFonts w:ascii="宋体" w:hAnsi="宋体"/>
                <w:sz w:val="24"/>
                <w:highlight w:val="none"/>
              </w:rPr>
            </w:pPr>
          </w:p>
        </w:tc>
        <w:tc>
          <w:tcPr>
            <w:tcW w:w="2204" w:type="dxa"/>
            <w:gridSpan w:val="2"/>
            <w:tcBorders>
              <w:bottom w:val="single" w:color="auto" w:sz="4" w:space="0"/>
            </w:tcBorders>
            <w:vAlign w:val="center"/>
          </w:tcPr>
          <w:p w14:paraId="58AAFB30">
            <w:pPr>
              <w:rPr>
                <w:rFonts w:ascii="宋体" w:hAnsi="宋体"/>
                <w:sz w:val="24"/>
                <w:highlight w:val="none"/>
              </w:rPr>
            </w:pPr>
          </w:p>
        </w:tc>
        <w:tc>
          <w:tcPr>
            <w:tcW w:w="1191" w:type="dxa"/>
            <w:tcBorders>
              <w:bottom w:val="single" w:color="auto" w:sz="4" w:space="0"/>
            </w:tcBorders>
            <w:vAlign w:val="center"/>
          </w:tcPr>
          <w:p w14:paraId="4DFDCDB5">
            <w:pPr>
              <w:rPr>
                <w:rFonts w:ascii="宋体" w:hAnsi="宋体"/>
                <w:sz w:val="24"/>
                <w:highlight w:val="none"/>
              </w:rPr>
            </w:pPr>
          </w:p>
        </w:tc>
      </w:tr>
      <w:tr w14:paraId="6CB0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130" w:type="dxa"/>
            <w:tcBorders>
              <w:top w:val="single" w:color="auto" w:sz="4" w:space="0"/>
              <w:left w:val="single" w:color="auto" w:sz="4" w:space="0"/>
              <w:bottom w:val="single" w:color="auto" w:sz="4" w:space="0"/>
              <w:right w:val="single" w:color="auto" w:sz="4" w:space="0"/>
            </w:tcBorders>
            <w:vAlign w:val="center"/>
          </w:tcPr>
          <w:p w14:paraId="221ADA12">
            <w:pPr>
              <w:rPr>
                <w:rFonts w:ascii="宋体" w:hAnsi="宋体"/>
                <w:sz w:val="24"/>
                <w:highlight w:val="none"/>
              </w:rPr>
            </w:pPr>
          </w:p>
        </w:tc>
        <w:tc>
          <w:tcPr>
            <w:tcW w:w="3365" w:type="dxa"/>
            <w:tcBorders>
              <w:top w:val="single" w:color="auto" w:sz="4" w:space="0"/>
              <w:left w:val="single" w:color="auto" w:sz="4" w:space="0"/>
              <w:bottom w:val="single" w:color="auto" w:sz="4" w:space="0"/>
              <w:right w:val="single" w:color="auto" w:sz="4" w:space="0"/>
            </w:tcBorders>
            <w:vAlign w:val="center"/>
          </w:tcPr>
          <w:p w14:paraId="3159B3B0">
            <w:pPr>
              <w:rPr>
                <w:rFonts w:ascii="宋体" w:hAnsi="宋体"/>
                <w:sz w:val="24"/>
                <w:highlight w:val="none"/>
              </w:rPr>
            </w:pPr>
          </w:p>
        </w:tc>
        <w:tc>
          <w:tcPr>
            <w:tcW w:w="2009" w:type="dxa"/>
            <w:tcBorders>
              <w:top w:val="single" w:color="auto" w:sz="4" w:space="0"/>
              <w:left w:val="single" w:color="auto" w:sz="4" w:space="0"/>
              <w:bottom w:val="single" w:color="auto" w:sz="4" w:space="0"/>
              <w:right w:val="single" w:color="auto" w:sz="4" w:space="0"/>
            </w:tcBorders>
            <w:vAlign w:val="center"/>
          </w:tcPr>
          <w:p w14:paraId="61DAD2F0">
            <w:pPr>
              <w:rPr>
                <w:rFonts w:ascii="宋体" w:hAnsi="宋体"/>
                <w:sz w:val="24"/>
                <w:highlight w:val="none"/>
              </w:rPr>
            </w:pPr>
          </w:p>
        </w:tc>
        <w:tc>
          <w:tcPr>
            <w:tcW w:w="2251" w:type="dxa"/>
            <w:tcBorders>
              <w:top w:val="single" w:color="auto" w:sz="4" w:space="0"/>
              <w:left w:val="single" w:color="auto" w:sz="4" w:space="0"/>
              <w:bottom w:val="single" w:color="auto" w:sz="4" w:space="0"/>
              <w:right w:val="single" w:color="auto" w:sz="4" w:space="0"/>
            </w:tcBorders>
            <w:vAlign w:val="center"/>
          </w:tcPr>
          <w:p w14:paraId="044E5260">
            <w:pPr>
              <w:rPr>
                <w:rFonts w:ascii="宋体" w:hAnsi="宋体"/>
                <w:sz w:val="24"/>
                <w:highlight w:val="none"/>
              </w:rPr>
            </w:pPr>
          </w:p>
        </w:tc>
        <w:tc>
          <w:tcPr>
            <w:tcW w:w="1677" w:type="dxa"/>
            <w:tcBorders>
              <w:top w:val="single" w:color="auto" w:sz="4" w:space="0"/>
              <w:left w:val="single" w:color="auto" w:sz="4" w:space="0"/>
              <w:bottom w:val="single" w:color="auto" w:sz="4" w:space="0"/>
              <w:right w:val="single" w:color="auto" w:sz="4" w:space="0"/>
            </w:tcBorders>
            <w:vAlign w:val="center"/>
          </w:tcPr>
          <w:p w14:paraId="2B1ECA28">
            <w:pPr>
              <w:rPr>
                <w:rFonts w:ascii="宋体" w:hAnsi="宋体"/>
                <w:sz w:val="24"/>
                <w:highlight w:val="none"/>
              </w:rPr>
            </w:pPr>
          </w:p>
        </w:tc>
        <w:tc>
          <w:tcPr>
            <w:tcW w:w="2204" w:type="dxa"/>
            <w:gridSpan w:val="2"/>
            <w:tcBorders>
              <w:top w:val="single" w:color="auto" w:sz="4" w:space="0"/>
              <w:left w:val="single" w:color="auto" w:sz="4" w:space="0"/>
              <w:bottom w:val="single" w:color="auto" w:sz="4" w:space="0"/>
              <w:right w:val="single" w:color="auto" w:sz="4" w:space="0"/>
            </w:tcBorders>
            <w:vAlign w:val="center"/>
          </w:tcPr>
          <w:p w14:paraId="4771ACBA">
            <w:pPr>
              <w:rPr>
                <w:rFonts w:ascii="宋体" w:hAnsi="宋体"/>
                <w:sz w:val="24"/>
                <w:highlight w:val="none"/>
              </w:rPr>
            </w:pPr>
          </w:p>
        </w:tc>
        <w:tc>
          <w:tcPr>
            <w:tcW w:w="1191" w:type="dxa"/>
            <w:tcBorders>
              <w:top w:val="single" w:color="auto" w:sz="4" w:space="0"/>
              <w:left w:val="single" w:color="auto" w:sz="4" w:space="0"/>
              <w:bottom w:val="single" w:color="auto" w:sz="4" w:space="0"/>
              <w:right w:val="single" w:color="auto" w:sz="4" w:space="0"/>
            </w:tcBorders>
            <w:vAlign w:val="center"/>
          </w:tcPr>
          <w:p w14:paraId="48EE66EF">
            <w:pPr>
              <w:rPr>
                <w:rFonts w:ascii="宋体" w:hAnsi="宋体"/>
                <w:sz w:val="24"/>
                <w:highlight w:val="none"/>
              </w:rPr>
            </w:pPr>
          </w:p>
        </w:tc>
      </w:tr>
      <w:tr w14:paraId="73F52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130" w:type="dxa"/>
            <w:tcBorders>
              <w:top w:val="single" w:color="auto" w:sz="4" w:space="0"/>
              <w:left w:val="single" w:color="auto" w:sz="4" w:space="0"/>
              <w:bottom w:val="single" w:color="auto" w:sz="4" w:space="0"/>
              <w:right w:val="single" w:color="auto" w:sz="4" w:space="0"/>
            </w:tcBorders>
            <w:vAlign w:val="center"/>
          </w:tcPr>
          <w:p w14:paraId="21598208">
            <w:pPr>
              <w:rPr>
                <w:rFonts w:ascii="宋体" w:hAnsi="宋体"/>
                <w:sz w:val="24"/>
                <w:highlight w:val="none"/>
              </w:rPr>
            </w:pPr>
          </w:p>
        </w:tc>
        <w:tc>
          <w:tcPr>
            <w:tcW w:w="3365" w:type="dxa"/>
            <w:tcBorders>
              <w:top w:val="single" w:color="auto" w:sz="4" w:space="0"/>
              <w:left w:val="single" w:color="auto" w:sz="4" w:space="0"/>
              <w:bottom w:val="single" w:color="auto" w:sz="4" w:space="0"/>
              <w:right w:val="single" w:color="auto" w:sz="4" w:space="0"/>
            </w:tcBorders>
            <w:vAlign w:val="center"/>
          </w:tcPr>
          <w:p w14:paraId="3A8F65BF">
            <w:pPr>
              <w:rPr>
                <w:rFonts w:ascii="宋体" w:hAnsi="宋体"/>
                <w:sz w:val="24"/>
                <w:highlight w:val="none"/>
              </w:rPr>
            </w:pPr>
          </w:p>
        </w:tc>
        <w:tc>
          <w:tcPr>
            <w:tcW w:w="2009" w:type="dxa"/>
            <w:tcBorders>
              <w:top w:val="single" w:color="auto" w:sz="4" w:space="0"/>
              <w:left w:val="single" w:color="auto" w:sz="4" w:space="0"/>
              <w:bottom w:val="single" w:color="auto" w:sz="4" w:space="0"/>
              <w:right w:val="single" w:color="auto" w:sz="4" w:space="0"/>
            </w:tcBorders>
            <w:vAlign w:val="center"/>
          </w:tcPr>
          <w:p w14:paraId="301CDDF5">
            <w:pPr>
              <w:rPr>
                <w:rFonts w:ascii="宋体" w:hAnsi="宋体"/>
                <w:sz w:val="24"/>
                <w:highlight w:val="none"/>
              </w:rPr>
            </w:pPr>
          </w:p>
        </w:tc>
        <w:tc>
          <w:tcPr>
            <w:tcW w:w="2251" w:type="dxa"/>
            <w:tcBorders>
              <w:top w:val="single" w:color="auto" w:sz="4" w:space="0"/>
              <w:left w:val="single" w:color="auto" w:sz="4" w:space="0"/>
              <w:bottom w:val="single" w:color="auto" w:sz="4" w:space="0"/>
              <w:right w:val="single" w:color="auto" w:sz="4" w:space="0"/>
            </w:tcBorders>
            <w:vAlign w:val="center"/>
          </w:tcPr>
          <w:p w14:paraId="78078134">
            <w:pPr>
              <w:rPr>
                <w:rFonts w:ascii="宋体" w:hAnsi="宋体"/>
                <w:sz w:val="24"/>
                <w:highlight w:val="none"/>
              </w:rPr>
            </w:pPr>
          </w:p>
        </w:tc>
        <w:tc>
          <w:tcPr>
            <w:tcW w:w="1677" w:type="dxa"/>
            <w:tcBorders>
              <w:top w:val="single" w:color="auto" w:sz="4" w:space="0"/>
              <w:left w:val="single" w:color="auto" w:sz="4" w:space="0"/>
              <w:bottom w:val="single" w:color="auto" w:sz="4" w:space="0"/>
              <w:right w:val="single" w:color="auto" w:sz="4" w:space="0"/>
            </w:tcBorders>
            <w:vAlign w:val="center"/>
          </w:tcPr>
          <w:p w14:paraId="58A23857">
            <w:pPr>
              <w:rPr>
                <w:rFonts w:ascii="宋体" w:hAnsi="宋体"/>
                <w:sz w:val="24"/>
                <w:highlight w:val="none"/>
              </w:rPr>
            </w:pPr>
          </w:p>
        </w:tc>
        <w:tc>
          <w:tcPr>
            <w:tcW w:w="2204" w:type="dxa"/>
            <w:gridSpan w:val="2"/>
            <w:tcBorders>
              <w:top w:val="single" w:color="auto" w:sz="4" w:space="0"/>
              <w:left w:val="single" w:color="auto" w:sz="4" w:space="0"/>
              <w:bottom w:val="single" w:color="auto" w:sz="4" w:space="0"/>
              <w:right w:val="single" w:color="auto" w:sz="4" w:space="0"/>
            </w:tcBorders>
            <w:vAlign w:val="center"/>
          </w:tcPr>
          <w:p w14:paraId="21F6762C">
            <w:pPr>
              <w:rPr>
                <w:rFonts w:ascii="宋体" w:hAnsi="宋体"/>
                <w:sz w:val="24"/>
                <w:highlight w:val="none"/>
              </w:rPr>
            </w:pPr>
          </w:p>
        </w:tc>
        <w:tc>
          <w:tcPr>
            <w:tcW w:w="1191" w:type="dxa"/>
            <w:tcBorders>
              <w:top w:val="single" w:color="auto" w:sz="4" w:space="0"/>
              <w:left w:val="single" w:color="auto" w:sz="4" w:space="0"/>
              <w:bottom w:val="single" w:color="auto" w:sz="4" w:space="0"/>
              <w:right w:val="single" w:color="auto" w:sz="4" w:space="0"/>
            </w:tcBorders>
            <w:vAlign w:val="center"/>
          </w:tcPr>
          <w:p w14:paraId="128CCBEF">
            <w:pPr>
              <w:rPr>
                <w:rFonts w:ascii="宋体" w:hAnsi="宋体"/>
                <w:sz w:val="24"/>
                <w:highlight w:val="none"/>
              </w:rPr>
            </w:pPr>
          </w:p>
        </w:tc>
      </w:tr>
      <w:tr w14:paraId="7F5D8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449" w:type="dxa"/>
            <w:gridSpan w:val="6"/>
            <w:tcBorders>
              <w:top w:val="single" w:color="auto" w:sz="4" w:space="0"/>
              <w:left w:val="single" w:color="auto" w:sz="4" w:space="0"/>
              <w:bottom w:val="single" w:color="auto" w:sz="4" w:space="0"/>
              <w:right w:val="single" w:color="auto" w:sz="4" w:space="0"/>
            </w:tcBorders>
            <w:vAlign w:val="center"/>
          </w:tcPr>
          <w:p w14:paraId="210E8128">
            <w:pPr>
              <w:jc w:val="center"/>
              <w:rPr>
                <w:rFonts w:ascii="宋体" w:hAnsi="宋体"/>
                <w:sz w:val="24"/>
                <w:highlight w:val="none"/>
              </w:rPr>
            </w:pPr>
            <w:r>
              <w:rPr>
                <w:rFonts w:hint="eastAsia" w:ascii="宋体" w:hAnsi="宋体"/>
                <w:sz w:val="24"/>
                <w:highlight w:val="none"/>
              </w:rPr>
              <w:t>总报价（不含税）</w:t>
            </w:r>
          </w:p>
        </w:tc>
        <w:tc>
          <w:tcPr>
            <w:tcW w:w="3378" w:type="dxa"/>
            <w:gridSpan w:val="2"/>
            <w:tcBorders>
              <w:top w:val="single" w:color="auto" w:sz="4" w:space="0"/>
              <w:left w:val="single" w:color="auto" w:sz="4" w:space="0"/>
              <w:bottom w:val="single" w:color="auto" w:sz="4" w:space="0"/>
              <w:right w:val="single" w:color="auto" w:sz="4" w:space="0"/>
            </w:tcBorders>
            <w:vAlign w:val="center"/>
          </w:tcPr>
          <w:p w14:paraId="4CB8109C">
            <w:pPr>
              <w:jc w:val="center"/>
              <w:rPr>
                <w:rFonts w:ascii="宋体" w:hAnsi="宋体"/>
                <w:sz w:val="24"/>
                <w:highlight w:val="none"/>
              </w:rPr>
            </w:pPr>
          </w:p>
        </w:tc>
      </w:tr>
    </w:tbl>
    <w:p w14:paraId="79261B51">
      <w:pPr>
        <w:rPr>
          <w:rFonts w:ascii="宋体" w:hAnsi="宋体"/>
          <w:b/>
          <w:sz w:val="24"/>
          <w:highlight w:val="none"/>
        </w:rPr>
      </w:pPr>
    </w:p>
    <w:p w14:paraId="11C8D43E">
      <w:pPr>
        <w:rPr>
          <w:rFonts w:ascii="宋体" w:hAnsi="宋体"/>
          <w:sz w:val="24"/>
          <w:highlight w:val="none"/>
        </w:rPr>
      </w:pPr>
      <w:r>
        <w:rPr>
          <w:rFonts w:hint="eastAsia" w:ascii="宋体" w:hAnsi="宋体"/>
          <w:sz w:val="24"/>
          <w:highlight w:val="none"/>
        </w:rPr>
        <w:t xml:space="preserve"> </w:t>
      </w:r>
      <w:r>
        <w:rPr>
          <w:rFonts w:ascii="宋体" w:hAnsi="宋体"/>
          <w:sz w:val="24"/>
          <w:highlight w:val="none"/>
        </w:rPr>
        <w:t xml:space="preserve">       </w:t>
      </w:r>
      <w:r>
        <w:rPr>
          <w:rFonts w:hint="eastAsia" w:ascii="宋体" w:hAnsi="宋体"/>
          <w:sz w:val="24"/>
          <w:highlight w:val="none"/>
        </w:rPr>
        <w:t xml:space="preserve">投标人名称：                </w:t>
      </w:r>
      <w:r>
        <w:rPr>
          <w:rFonts w:hint="eastAsia" w:ascii="宋体" w:hAnsi="宋体"/>
          <w:sz w:val="24"/>
          <w:highlight w:val="none"/>
          <w:lang w:val="en-US" w:eastAsia="zh-CN"/>
        </w:rPr>
        <w:t xml:space="preserve">        </w:t>
      </w:r>
      <w:r>
        <w:rPr>
          <w:rFonts w:hint="eastAsia" w:ascii="宋体" w:hAnsi="宋体"/>
          <w:sz w:val="24"/>
          <w:highlight w:val="none"/>
        </w:rPr>
        <w:t xml:space="preserve">   授权代表签字：           </w:t>
      </w:r>
      <w:r>
        <w:rPr>
          <w:rFonts w:hint="eastAsia" w:ascii="宋体" w:hAnsi="宋体"/>
          <w:sz w:val="24"/>
          <w:highlight w:val="none"/>
          <w:lang w:val="en-US" w:eastAsia="zh-CN"/>
        </w:rPr>
        <w:t xml:space="preserve">                  </w:t>
      </w:r>
      <w:r>
        <w:rPr>
          <w:rFonts w:hint="eastAsia" w:ascii="宋体" w:hAnsi="宋体"/>
          <w:sz w:val="24"/>
          <w:highlight w:val="none"/>
        </w:rPr>
        <w:t xml:space="preserve"> 日期：</w:t>
      </w:r>
    </w:p>
    <w:p w14:paraId="344C09A2">
      <w:pPr>
        <w:rPr>
          <w:rFonts w:ascii="宋体" w:hAnsi="宋体"/>
          <w:sz w:val="24"/>
          <w:highlight w:val="none"/>
        </w:rPr>
      </w:pPr>
    </w:p>
    <w:p w14:paraId="142689F6">
      <w:pPr>
        <w:rPr>
          <w:rFonts w:ascii="宋体" w:hAnsi="宋体"/>
          <w:sz w:val="24"/>
          <w:highlight w:val="none"/>
        </w:rPr>
      </w:pPr>
      <w:r>
        <w:rPr>
          <w:rFonts w:hint="eastAsia" w:ascii="宋体" w:hAnsi="宋体"/>
          <w:sz w:val="24"/>
          <w:highlight w:val="none"/>
        </w:rPr>
        <w:t>注： 1</w:t>
      </w:r>
      <w:r>
        <w:rPr>
          <w:rFonts w:ascii="宋体" w:hAnsi="宋体"/>
          <w:sz w:val="24"/>
          <w:highlight w:val="none"/>
        </w:rPr>
        <w:t>.</w:t>
      </w:r>
      <w:r>
        <w:rPr>
          <w:rFonts w:hint="eastAsia" w:ascii="宋体" w:hAnsi="宋体"/>
          <w:sz w:val="24"/>
          <w:highlight w:val="none"/>
        </w:rPr>
        <w:t>请按照《技术协议书》中技术参数内容填写报价，可增项、不可缺项。</w:t>
      </w:r>
    </w:p>
    <w:p w14:paraId="43F5CA2A">
      <w:pPr>
        <w:ind w:firstLine="600" w:firstLineChars="250"/>
        <w:rPr>
          <w:rFonts w:ascii="宋体" w:hAnsi="宋体"/>
          <w:sz w:val="24"/>
          <w:highlight w:val="none"/>
        </w:rPr>
      </w:pPr>
      <w:r>
        <w:rPr>
          <w:rFonts w:hint="eastAsia" w:ascii="宋体" w:hAnsi="宋体"/>
          <w:sz w:val="24"/>
          <w:highlight w:val="none"/>
        </w:rPr>
        <w:t>2.投标总价为各投标物品的</w:t>
      </w:r>
      <w:r>
        <w:rPr>
          <w:rFonts w:hint="eastAsia" w:ascii="宋体" w:hAnsi="宋体"/>
          <w:b/>
          <w:bCs/>
          <w:sz w:val="24"/>
          <w:highlight w:val="none"/>
        </w:rPr>
        <w:t>合计单项价</w:t>
      </w:r>
      <w:r>
        <w:rPr>
          <w:rFonts w:hint="eastAsia" w:ascii="宋体" w:hAnsi="宋体"/>
          <w:sz w:val="24"/>
          <w:highlight w:val="none"/>
        </w:rPr>
        <w:t>之和。</w:t>
      </w:r>
    </w:p>
    <w:p w14:paraId="3EA29709">
      <w:pPr>
        <w:ind w:left="0" w:leftChars="0" w:firstLine="600" w:firstLineChars="0"/>
        <w:rPr>
          <w:highlight w:val="none"/>
        </w:rPr>
      </w:pPr>
      <w:r>
        <w:rPr>
          <w:rFonts w:hint="eastAsia" w:ascii="宋体" w:hAnsi="宋体"/>
          <w:sz w:val="24"/>
          <w:highlight w:val="none"/>
        </w:rPr>
        <w:t>3.本表用于开标宣读用，请单独封存。</w:t>
      </w:r>
    </w:p>
    <w:p w14:paraId="3DAD2356">
      <w:pPr>
        <w:rPr>
          <w:rFonts w:hint="eastAsia" w:ascii="宋体" w:hAnsi="宋体"/>
          <w:sz w:val="24"/>
          <w:highlight w:val="none"/>
        </w:rPr>
        <w:sectPr>
          <w:pgSz w:w="16838" w:h="11906" w:orient="landscape"/>
          <w:pgMar w:top="1417" w:right="1587" w:bottom="1417" w:left="1134" w:header="851" w:footer="992" w:gutter="0"/>
          <w:pgNumType w:fmt="decimal"/>
          <w:cols w:space="0" w:num="1"/>
          <w:titlePg/>
          <w:rtlGutter w:val="0"/>
          <w:docGrid w:type="lines" w:linePitch="312" w:charSpace="0"/>
        </w:sectPr>
      </w:pPr>
      <w:bookmarkStart w:id="25" w:name="_Toc8241"/>
    </w:p>
    <w:p w14:paraId="593A8188">
      <w:pPr>
        <w:rPr>
          <w:rFonts w:ascii="宋体" w:hAnsi="宋体"/>
          <w:sz w:val="24"/>
          <w:highlight w:val="none"/>
        </w:rPr>
      </w:pPr>
      <w:r>
        <w:rPr>
          <w:rFonts w:hint="eastAsia" w:ascii="宋体" w:hAnsi="宋体"/>
          <w:sz w:val="24"/>
          <w:highlight w:val="none"/>
        </w:rPr>
        <w:t>附件4</w:t>
      </w:r>
      <w:bookmarkEnd w:id="25"/>
    </w:p>
    <w:p w14:paraId="27E09944">
      <w:pPr>
        <w:jc w:val="center"/>
        <w:rPr>
          <w:rFonts w:eastAsia="黑体"/>
          <w:b/>
          <w:bCs/>
          <w:sz w:val="28"/>
          <w:highlight w:val="none"/>
        </w:rPr>
      </w:pPr>
      <w:r>
        <w:rPr>
          <w:rFonts w:hint="eastAsia" w:eastAsia="黑体"/>
          <w:b/>
          <w:bCs/>
          <w:sz w:val="28"/>
          <w:highlight w:val="none"/>
        </w:rPr>
        <w:t>偏离表</w:t>
      </w:r>
    </w:p>
    <w:tbl>
      <w:tblPr>
        <w:tblStyle w:val="2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2891"/>
        <w:gridCol w:w="1110"/>
        <w:gridCol w:w="2613"/>
      </w:tblGrid>
      <w:tr w14:paraId="1A343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restart"/>
            <w:vAlign w:val="center"/>
          </w:tcPr>
          <w:p w14:paraId="4F71A8BB">
            <w:pPr>
              <w:jc w:val="center"/>
              <w:rPr>
                <w:rFonts w:ascii="宋体" w:hAnsi="宋体"/>
                <w:sz w:val="24"/>
                <w:highlight w:val="none"/>
              </w:rPr>
            </w:pPr>
            <w:r>
              <w:rPr>
                <w:rFonts w:hint="eastAsia" w:ascii="宋体" w:hAnsi="宋体"/>
                <w:sz w:val="24"/>
                <w:highlight w:val="none"/>
              </w:rPr>
              <w:t>序号</w:t>
            </w:r>
          </w:p>
        </w:tc>
        <w:tc>
          <w:tcPr>
            <w:tcW w:w="3971" w:type="dxa"/>
            <w:gridSpan w:val="2"/>
            <w:vAlign w:val="center"/>
          </w:tcPr>
          <w:p w14:paraId="5DF19F92">
            <w:pPr>
              <w:jc w:val="center"/>
              <w:rPr>
                <w:rFonts w:ascii="宋体" w:hAnsi="宋体"/>
                <w:sz w:val="24"/>
                <w:highlight w:val="none"/>
              </w:rPr>
            </w:pPr>
            <w:r>
              <w:rPr>
                <w:rFonts w:hint="eastAsia" w:ascii="宋体" w:hAnsi="宋体"/>
                <w:sz w:val="24"/>
                <w:highlight w:val="none"/>
              </w:rPr>
              <w:t>招标文件条款</w:t>
            </w:r>
          </w:p>
        </w:tc>
        <w:tc>
          <w:tcPr>
            <w:tcW w:w="3723" w:type="dxa"/>
            <w:gridSpan w:val="2"/>
            <w:vAlign w:val="center"/>
          </w:tcPr>
          <w:p w14:paraId="636ADDE1">
            <w:pPr>
              <w:jc w:val="center"/>
              <w:rPr>
                <w:rFonts w:ascii="宋体" w:hAnsi="宋体"/>
                <w:sz w:val="24"/>
                <w:highlight w:val="none"/>
              </w:rPr>
            </w:pPr>
            <w:r>
              <w:rPr>
                <w:rFonts w:hint="eastAsia" w:ascii="宋体" w:hAnsi="宋体"/>
                <w:sz w:val="24"/>
                <w:highlight w:val="none"/>
              </w:rPr>
              <w:t>投标书条款</w:t>
            </w:r>
          </w:p>
        </w:tc>
      </w:tr>
      <w:tr w14:paraId="61BAF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Merge w:val="continue"/>
            <w:vAlign w:val="center"/>
          </w:tcPr>
          <w:p w14:paraId="2FBDCF35">
            <w:pPr>
              <w:rPr>
                <w:rFonts w:ascii="宋体" w:hAnsi="宋体"/>
                <w:sz w:val="24"/>
                <w:highlight w:val="none"/>
              </w:rPr>
            </w:pPr>
          </w:p>
        </w:tc>
        <w:tc>
          <w:tcPr>
            <w:tcW w:w="1080" w:type="dxa"/>
            <w:vAlign w:val="center"/>
          </w:tcPr>
          <w:p w14:paraId="574EBAC7">
            <w:pPr>
              <w:jc w:val="center"/>
              <w:rPr>
                <w:rFonts w:ascii="宋体" w:hAnsi="宋体"/>
                <w:sz w:val="24"/>
                <w:highlight w:val="none"/>
              </w:rPr>
            </w:pPr>
          </w:p>
        </w:tc>
        <w:tc>
          <w:tcPr>
            <w:tcW w:w="2891" w:type="dxa"/>
            <w:vAlign w:val="center"/>
          </w:tcPr>
          <w:p w14:paraId="26174E24">
            <w:pPr>
              <w:jc w:val="center"/>
              <w:rPr>
                <w:rFonts w:ascii="宋体" w:hAnsi="宋体"/>
                <w:sz w:val="24"/>
                <w:highlight w:val="none"/>
              </w:rPr>
            </w:pPr>
            <w:r>
              <w:rPr>
                <w:rFonts w:hint="eastAsia" w:ascii="宋体" w:hAnsi="宋体"/>
                <w:sz w:val="24"/>
                <w:highlight w:val="none"/>
              </w:rPr>
              <w:t>偏离</w:t>
            </w:r>
          </w:p>
        </w:tc>
        <w:tc>
          <w:tcPr>
            <w:tcW w:w="1110" w:type="dxa"/>
            <w:vAlign w:val="center"/>
          </w:tcPr>
          <w:p w14:paraId="2448E360">
            <w:pPr>
              <w:jc w:val="center"/>
              <w:rPr>
                <w:rFonts w:ascii="宋体" w:hAnsi="宋体"/>
                <w:sz w:val="24"/>
                <w:highlight w:val="none"/>
              </w:rPr>
            </w:pPr>
          </w:p>
        </w:tc>
        <w:tc>
          <w:tcPr>
            <w:tcW w:w="2613" w:type="dxa"/>
            <w:vAlign w:val="center"/>
          </w:tcPr>
          <w:p w14:paraId="1A68F40E">
            <w:pPr>
              <w:jc w:val="center"/>
              <w:rPr>
                <w:rFonts w:ascii="宋体" w:hAnsi="宋体"/>
                <w:sz w:val="24"/>
                <w:highlight w:val="none"/>
              </w:rPr>
            </w:pPr>
            <w:r>
              <w:rPr>
                <w:rFonts w:hint="eastAsia" w:ascii="宋体" w:hAnsi="宋体"/>
                <w:sz w:val="24"/>
                <w:highlight w:val="none"/>
              </w:rPr>
              <w:t>偏离</w:t>
            </w:r>
          </w:p>
        </w:tc>
      </w:tr>
      <w:tr w14:paraId="2414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18E499A">
            <w:pPr>
              <w:jc w:val="center"/>
              <w:rPr>
                <w:rFonts w:ascii="宋体" w:hAnsi="宋体"/>
                <w:sz w:val="24"/>
                <w:highlight w:val="none"/>
              </w:rPr>
            </w:pPr>
            <w:r>
              <w:rPr>
                <w:rFonts w:hint="eastAsia" w:ascii="宋体" w:hAnsi="宋体"/>
                <w:sz w:val="24"/>
                <w:highlight w:val="none"/>
              </w:rPr>
              <w:t>1</w:t>
            </w:r>
          </w:p>
        </w:tc>
        <w:tc>
          <w:tcPr>
            <w:tcW w:w="1080" w:type="dxa"/>
            <w:vAlign w:val="center"/>
          </w:tcPr>
          <w:p w14:paraId="765A56A3">
            <w:pPr>
              <w:rPr>
                <w:rFonts w:ascii="宋体" w:hAnsi="宋体"/>
                <w:sz w:val="24"/>
                <w:highlight w:val="none"/>
              </w:rPr>
            </w:pPr>
          </w:p>
        </w:tc>
        <w:tc>
          <w:tcPr>
            <w:tcW w:w="2891" w:type="dxa"/>
            <w:vAlign w:val="center"/>
          </w:tcPr>
          <w:p w14:paraId="3A5C0EF1">
            <w:pPr>
              <w:rPr>
                <w:rFonts w:ascii="宋体" w:hAnsi="宋体"/>
                <w:sz w:val="24"/>
                <w:highlight w:val="none"/>
              </w:rPr>
            </w:pPr>
          </w:p>
        </w:tc>
        <w:tc>
          <w:tcPr>
            <w:tcW w:w="1110" w:type="dxa"/>
            <w:vAlign w:val="center"/>
          </w:tcPr>
          <w:p w14:paraId="044FE07E">
            <w:pPr>
              <w:rPr>
                <w:rFonts w:ascii="宋体" w:hAnsi="宋体"/>
                <w:sz w:val="24"/>
                <w:highlight w:val="none"/>
              </w:rPr>
            </w:pPr>
          </w:p>
        </w:tc>
        <w:tc>
          <w:tcPr>
            <w:tcW w:w="2613" w:type="dxa"/>
            <w:vAlign w:val="center"/>
          </w:tcPr>
          <w:p w14:paraId="10A0B62E">
            <w:pPr>
              <w:rPr>
                <w:rFonts w:ascii="宋体" w:hAnsi="宋体"/>
                <w:sz w:val="24"/>
                <w:highlight w:val="none"/>
              </w:rPr>
            </w:pPr>
          </w:p>
        </w:tc>
      </w:tr>
      <w:tr w14:paraId="020FC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8E33500">
            <w:pPr>
              <w:jc w:val="center"/>
              <w:rPr>
                <w:rFonts w:ascii="宋体" w:hAnsi="宋体"/>
                <w:sz w:val="24"/>
                <w:highlight w:val="none"/>
              </w:rPr>
            </w:pPr>
            <w:r>
              <w:rPr>
                <w:rFonts w:hint="eastAsia" w:ascii="宋体" w:hAnsi="宋体"/>
                <w:sz w:val="24"/>
                <w:highlight w:val="none"/>
              </w:rPr>
              <w:t>2</w:t>
            </w:r>
          </w:p>
        </w:tc>
        <w:tc>
          <w:tcPr>
            <w:tcW w:w="1080" w:type="dxa"/>
            <w:vAlign w:val="center"/>
          </w:tcPr>
          <w:p w14:paraId="1FFD7DD2">
            <w:pPr>
              <w:rPr>
                <w:rFonts w:ascii="宋体" w:hAnsi="宋体"/>
                <w:sz w:val="24"/>
                <w:highlight w:val="none"/>
              </w:rPr>
            </w:pPr>
          </w:p>
        </w:tc>
        <w:tc>
          <w:tcPr>
            <w:tcW w:w="2891" w:type="dxa"/>
            <w:vAlign w:val="center"/>
          </w:tcPr>
          <w:p w14:paraId="55912A28">
            <w:pPr>
              <w:rPr>
                <w:rFonts w:ascii="宋体" w:hAnsi="宋体"/>
                <w:sz w:val="24"/>
                <w:highlight w:val="none"/>
              </w:rPr>
            </w:pPr>
          </w:p>
        </w:tc>
        <w:tc>
          <w:tcPr>
            <w:tcW w:w="1110" w:type="dxa"/>
            <w:vAlign w:val="center"/>
          </w:tcPr>
          <w:p w14:paraId="6C52A79B">
            <w:pPr>
              <w:rPr>
                <w:rFonts w:ascii="宋体" w:hAnsi="宋体"/>
                <w:sz w:val="24"/>
                <w:highlight w:val="none"/>
              </w:rPr>
            </w:pPr>
          </w:p>
        </w:tc>
        <w:tc>
          <w:tcPr>
            <w:tcW w:w="2613" w:type="dxa"/>
            <w:vAlign w:val="center"/>
          </w:tcPr>
          <w:p w14:paraId="11F3D085">
            <w:pPr>
              <w:rPr>
                <w:rFonts w:ascii="宋体" w:hAnsi="宋体"/>
                <w:sz w:val="24"/>
                <w:highlight w:val="none"/>
              </w:rPr>
            </w:pPr>
          </w:p>
        </w:tc>
      </w:tr>
      <w:tr w14:paraId="01D5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085C47B">
            <w:pPr>
              <w:jc w:val="center"/>
              <w:rPr>
                <w:rFonts w:ascii="宋体" w:hAnsi="宋体"/>
                <w:sz w:val="24"/>
                <w:highlight w:val="none"/>
              </w:rPr>
            </w:pPr>
            <w:r>
              <w:rPr>
                <w:rFonts w:hint="eastAsia" w:ascii="宋体" w:hAnsi="宋体"/>
                <w:sz w:val="24"/>
                <w:highlight w:val="none"/>
              </w:rPr>
              <w:t>3</w:t>
            </w:r>
          </w:p>
        </w:tc>
        <w:tc>
          <w:tcPr>
            <w:tcW w:w="1080" w:type="dxa"/>
            <w:vAlign w:val="center"/>
          </w:tcPr>
          <w:p w14:paraId="4ABBE012">
            <w:pPr>
              <w:rPr>
                <w:rFonts w:ascii="宋体" w:hAnsi="宋体"/>
                <w:sz w:val="24"/>
                <w:highlight w:val="none"/>
              </w:rPr>
            </w:pPr>
          </w:p>
        </w:tc>
        <w:tc>
          <w:tcPr>
            <w:tcW w:w="2891" w:type="dxa"/>
            <w:vAlign w:val="center"/>
          </w:tcPr>
          <w:p w14:paraId="49571D62">
            <w:pPr>
              <w:rPr>
                <w:rFonts w:ascii="宋体" w:hAnsi="宋体"/>
                <w:sz w:val="24"/>
                <w:highlight w:val="none"/>
              </w:rPr>
            </w:pPr>
          </w:p>
        </w:tc>
        <w:tc>
          <w:tcPr>
            <w:tcW w:w="1110" w:type="dxa"/>
            <w:vAlign w:val="center"/>
          </w:tcPr>
          <w:p w14:paraId="024CDDC9">
            <w:pPr>
              <w:rPr>
                <w:rFonts w:ascii="宋体" w:hAnsi="宋体"/>
                <w:sz w:val="24"/>
                <w:highlight w:val="none"/>
              </w:rPr>
            </w:pPr>
          </w:p>
        </w:tc>
        <w:tc>
          <w:tcPr>
            <w:tcW w:w="2613" w:type="dxa"/>
            <w:vAlign w:val="center"/>
          </w:tcPr>
          <w:p w14:paraId="5F588865">
            <w:pPr>
              <w:rPr>
                <w:rFonts w:ascii="宋体" w:hAnsi="宋体"/>
                <w:sz w:val="24"/>
                <w:highlight w:val="none"/>
              </w:rPr>
            </w:pPr>
          </w:p>
        </w:tc>
      </w:tr>
      <w:tr w14:paraId="65976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85F8A3D">
            <w:pPr>
              <w:jc w:val="center"/>
              <w:rPr>
                <w:rFonts w:ascii="宋体" w:hAnsi="宋体"/>
                <w:sz w:val="24"/>
                <w:highlight w:val="none"/>
              </w:rPr>
            </w:pPr>
            <w:r>
              <w:rPr>
                <w:rFonts w:hint="eastAsia" w:ascii="宋体" w:hAnsi="宋体"/>
                <w:sz w:val="24"/>
                <w:highlight w:val="none"/>
              </w:rPr>
              <w:t>4</w:t>
            </w:r>
          </w:p>
        </w:tc>
        <w:tc>
          <w:tcPr>
            <w:tcW w:w="1080" w:type="dxa"/>
            <w:vAlign w:val="center"/>
          </w:tcPr>
          <w:p w14:paraId="6BD23408">
            <w:pPr>
              <w:rPr>
                <w:rFonts w:ascii="宋体" w:hAnsi="宋体"/>
                <w:sz w:val="24"/>
                <w:highlight w:val="none"/>
              </w:rPr>
            </w:pPr>
          </w:p>
        </w:tc>
        <w:tc>
          <w:tcPr>
            <w:tcW w:w="2891" w:type="dxa"/>
            <w:vAlign w:val="center"/>
          </w:tcPr>
          <w:p w14:paraId="4346A6B3">
            <w:pPr>
              <w:rPr>
                <w:rFonts w:ascii="宋体" w:hAnsi="宋体"/>
                <w:sz w:val="24"/>
                <w:highlight w:val="none"/>
              </w:rPr>
            </w:pPr>
          </w:p>
        </w:tc>
        <w:tc>
          <w:tcPr>
            <w:tcW w:w="1110" w:type="dxa"/>
            <w:vAlign w:val="center"/>
          </w:tcPr>
          <w:p w14:paraId="0389C89E">
            <w:pPr>
              <w:rPr>
                <w:rFonts w:ascii="宋体" w:hAnsi="宋体"/>
                <w:sz w:val="24"/>
                <w:highlight w:val="none"/>
              </w:rPr>
            </w:pPr>
          </w:p>
        </w:tc>
        <w:tc>
          <w:tcPr>
            <w:tcW w:w="2613" w:type="dxa"/>
            <w:vAlign w:val="center"/>
          </w:tcPr>
          <w:p w14:paraId="31D1AEE9">
            <w:pPr>
              <w:rPr>
                <w:rFonts w:ascii="宋体" w:hAnsi="宋体"/>
                <w:sz w:val="24"/>
                <w:highlight w:val="none"/>
              </w:rPr>
            </w:pPr>
          </w:p>
        </w:tc>
      </w:tr>
      <w:tr w14:paraId="143DE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3F2BCC33">
            <w:pPr>
              <w:jc w:val="center"/>
              <w:rPr>
                <w:rFonts w:ascii="宋体" w:hAnsi="宋体"/>
                <w:sz w:val="24"/>
                <w:highlight w:val="none"/>
              </w:rPr>
            </w:pPr>
            <w:r>
              <w:rPr>
                <w:rFonts w:hint="eastAsia" w:ascii="宋体" w:hAnsi="宋体"/>
                <w:sz w:val="24"/>
                <w:highlight w:val="none"/>
              </w:rPr>
              <w:t>5</w:t>
            </w:r>
          </w:p>
        </w:tc>
        <w:tc>
          <w:tcPr>
            <w:tcW w:w="1080" w:type="dxa"/>
            <w:vAlign w:val="center"/>
          </w:tcPr>
          <w:p w14:paraId="5DDF603B">
            <w:pPr>
              <w:rPr>
                <w:rFonts w:ascii="宋体" w:hAnsi="宋体"/>
                <w:sz w:val="24"/>
                <w:highlight w:val="none"/>
              </w:rPr>
            </w:pPr>
          </w:p>
        </w:tc>
        <w:tc>
          <w:tcPr>
            <w:tcW w:w="2891" w:type="dxa"/>
            <w:vAlign w:val="center"/>
          </w:tcPr>
          <w:p w14:paraId="7966D2E3">
            <w:pPr>
              <w:rPr>
                <w:rFonts w:ascii="宋体" w:hAnsi="宋体"/>
                <w:sz w:val="24"/>
                <w:highlight w:val="none"/>
              </w:rPr>
            </w:pPr>
          </w:p>
        </w:tc>
        <w:tc>
          <w:tcPr>
            <w:tcW w:w="1110" w:type="dxa"/>
            <w:vAlign w:val="center"/>
          </w:tcPr>
          <w:p w14:paraId="559CAC17">
            <w:pPr>
              <w:rPr>
                <w:rFonts w:ascii="宋体" w:hAnsi="宋体"/>
                <w:sz w:val="24"/>
                <w:highlight w:val="none"/>
              </w:rPr>
            </w:pPr>
          </w:p>
        </w:tc>
        <w:tc>
          <w:tcPr>
            <w:tcW w:w="2613" w:type="dxa"/>
            <w:vAlign w:val="center"/>
          </w:tcPr>
          <w:p w14:paraId="35CCB268">
            <w:pPr>
              <w:rPr>
                <w:rFonts w:ascii="宋体" w:hAnsi="宋体"/>
                <w:sz w:val="24"/>
                <w:highlight w:val="none"/>
              </w:rPr>
            </w:pPr>
          </w:p>
        </w:tc>
      </w:tr>
      <w:tr w14:paraId="714B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02B8A51">
            <w:pPr>
              <w:jc w:val="center"/>
              <w:rPr>
                <w:rFonts w:ascii="宋体" w:hAnsi="宋体"/>
                <w:sz w:val="24"/>
                <w:highlight w:val="none"/>
              </w:rPr>
            </w:pPr>
            <w:r>
              <w:rPr>
                <w:rFonts w:hint="eastAsia" w:ascii="宋体" w:hAnsi="宋体"/>
                <w:sz w:val="24"/>
                <w:highlight w:val="none"/>
              </w:rPr>
              <w:t>6</w:t>
            </w:r>
          </w:p>
        </w:tc>
        <w:tc>
          <w:tcPr>
            <w:tcW w:w="1080" w:type="dxa"/>
            <w:vAlign w:val="center"/>
          </w:tcPr>
          <w:p w14:paraId="20319991">
            <w:pPr>
              <w:rPr>
                <w:rFonts w:ascii="宋体" w:hAnsi="宋体"/>
                <w:sz w:val="24"/>
                <w:highlight w:val="none"/>
              </w:rPr>
            </w:pPr>
          </w:p>
        </w:tc>
        <w:tc>
          <w:tcPr>
            <w:tcW w:w="2891" w:type="dxa"/>
            <w:vAlign w:val="center"/>
          </w:tcPr>
          <w:p w14:paraId="21878D3C">
            <w:pPr>
              <w:rPr>
                <w:rFonts w:ascii="宋体" w:hAnsi="宋体"/>
                <w:sz w:val="24"/>
                <w:highlight w:val="none"/>
              </w:rPr>
            </w:pPr>
          </w:p>
        </w:tc>
        <w:tc>
          <w:tcPr>
            <w:tcW w:w="1110" w:type="dxa"/>
            <w:vAlign w:val="center"/>
          </w:tcPr>
          <w:p w14:paraId="3BF79FE2">
            <w:pPr>
              <w:rPr>
                <w:rFonts w:ascii="宋体" w:hAnsi="宋体"/>
                <w:sz w:val="24"/>
                <w:highlight w:val="none"/>
              </w:rPr>
            </w:pPr>
          </w:p>
        </w:tc>
        <w:tc>
          <w:tcPr>
            <w:tcW w:w="2613" w:type="dxa"/>
            <w:vAlign w:val="center"/>
          </w:tcPr>
          <w:p w14:paraId="4BA89883">
            <w:pPr>
              <w:rPr>
                <w:rFonts w:ascii="宋体" w:hAnsi="宋体"/>
                <w:sz w:val="24"/>
                <w:highlight w:val="none"/>
              </w:rPr>
            </w:pPr>
          </w:p>
        </w:tc>
      </w:tr>
      <w:tr w14:paraId="498F1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B8DDFF1">
            <w:pPr>
              <w:jc w:val="center"/>
              <w:rPr>
                <w:rFonts w:ascii="宋体" w:hAnsi="宋体"/>
                <w:sz w:val="24"/>
                <w:highlight w:val="none"/>
              </w:rPr>
            </w:pPr>
            <w:r>
              <w:rPr>
                <w:rFonts w:hint="eastAsia" w:ascii="宋体" w:hAnsi="宋体"/>
                <w:sz w:val="24"/>
                <w:highlight w:val="none"/>
              </w:rPr>
              <w:t>7</w:t>
            </w:r>
          </w:p>
        </w:tc>
        <w:tc>
          <w:tcPr>
            <w:tcW w:w="1080" w:type="dxa"/>
            <w:vAlign w:val="center"/>
          </w:tcPr>
          <w:p w14:paraId="7D58E6A9">
            <w:pPr>
              <w:rPr>
                <w:rFonts w:ascii="宋体" w:hAnsi="宋体"/>
                <w:sz w:val="24"/>
                <w:highlight w:val="none"/>
              </w:rPr>
            </w:pPr>
          </w:p>
        </w:tc>
        <w:tc>
          <w:tcPr>
            <w:tcW w:w="2891" w:type="dxa"/>
            <w:vAlign w:val="center"/>
          </w:tcPr>
          <w:p w14:paraId="6D474018">
            <w:pPr>
              <w:rPr>
                <w:rFonts w:ascii="宋体" w:hAnsi="宋体"/>
                <w:sz w:val="24"/>
                <w:highlight w:val="none"/>
              </w:rPr>
            </w:pPr>
          </w:p>
        </w:tc>
        <w:tc>
          <w:tcPr>
            <w:tcW w:w="1110" w:type="dxa"/>
            <w:vAlign w:val="center"/>
          </w:tcPr>
          <w:p w14:paraId="0270C771">
            <w:pPr>
              <w:rPr>
                <w:rFonts w:ascii="宋体" w:hAnsi="宋体"/>
                <w:sz w:val="24"/>
                <w:highlight w:val="none"/>
              </w:rPr>
            </w:pPr>
          </w:p>
        </w:tc>
        <w:tc>
          <w:tcPr>
            <w:tcW w:w="2613" w:type="dxa"/>
            <w:vAlign w:val="center"/>
          </w:tcPr>
          <w:p w14:paraId="4AB63407">
            <w:pPr>
              <w:rPr>
                <w:rFonts w:ascii="宋体" w:hAnsi="宋体"/>
                <w:sz w:val="24"/>
                <w:highlight w:val="none"/>
              </w:rPr>
            </w:pPr>
          </w:p>
        </w:tc>
      </w:tr>
      <w:tr w14:paraId="35D90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499ED844">
            <w:pPr>
              <w:jc w:val="center"/>
              <w:rPr>
                <w:rFonts w:ascii="宋体" w:hAnsi="宋体"/>
                <w:sz w:val="24"/>
                <w:highlight w:val="none"/>
              </w:rPr>
            </w:pPr>
            <w:r>
              <w:rPr>
                <w:rFonts w:hint="eastAsia" w:ascii="宋体" w:hAnsi="宋体"/>
                <w:sz w:val="24"/>
                <w:highlight w:val="none"/>
              </w:rPr>
              <w:t>8</w:t>
            </w:r>
          </w:p>
        </w:tc>
        <w:tc>
          <w:tcPr>
            <w:tcW w:w="1080" w:type="dxa"/>
            <w:vAlign w:val="center"/>
          </w:tcPr>
          <w:p w14:paraId="66D12B42">
            <w:pPr>
              <w:rPr>
                <w:rFonts w:ascii="宋体" w:hAnsi="宋体"/>
                <w:sz w:val="24"/>
                <w:highlight w:val="none"/>
              </w:rPr>
            </w:pPr>
          </w:p>
        </w:tc>
        <w:tc>
          <w:tcPr>
            <w:tcW w:w="2891" w:type="dxa"/>
            <w:vAlign w:val="center"/>
          </w:tcPr>
          <w:p w14:paraId="7A6E6669">
            <w:pPr>
              <w:rPr>
                <w:rFonts w:ascii="宋体" w:hAnsi="宋体"/>
                <w:sz w:val="24"/>
                <w:highlight w:val="none"/>
              </w:rPr>
            </w:pPr>
          </w:p>
        </w:tc>
        <w:tc>
          <w:tcPr>
            <w:tcW w:w="1110" w:type="dxa"/>
            <w:vAlign w:val="center"/>
          </w:tcPr>
          <w:p w14:paraId="3CA0326A">
            <w:pPr>
              <w:rPr>
                <w:rFonts w:ascii="宋体" w:hAnsi="宋体"/>
                <w:sz w:val="24"/>
                <w:highlight w:val="none"/>
              </w:rPr>
            </w:pPr>
          </w:p>
        </w:tc>
        <w:tc>
          <w:tcPr>
            <w:tcW w:w="2613" w:type="dxa"/>
            <w:vAlign w:val="center"/>
          </w:tcPr>
          <w:p w14:paraId="494109CE">
            <w:pPr>
              <w:rPr>
                <w:rFonts w:ascii="宋体" w:hAnsi="宋体"/>
                <w:sz w:val="24"/>
                <w:highlight w:val="none"/>
              </w:rPr>
            </w:pPr>
          </w:p>
        </w:tc>
      </w:tr>
      <w:tr w14:paraId="6D200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0AFE04A0">
            <w:pPr>
              <w:jc w:val="center"/>
              <w:rPr>
                <w:rFonts w:ascii="宋体" w:hAnsi="宋体"/>
                <w:sz w:val="24"/>
                <w:highlight w:val="none"/>
              </w:rPr>
            </w:pPr>
            <w:r>
              <w:rPr>
                <w:rFonts w:hint="eastAsia" w:ascii="宋体" w:hAnsi="宋体"/>
                <w:sz w:val="24"/>
                <w:highlight w:val="none"/>
              </w:rPr>
              <w:t>9</w:t>
            </w:r>
          </w:p>
        </w:tc>
        <w:tc>
          <w:tcPr>
            <w:tcW w:w="1080" w:type="dxa"/>
            <w:vAlign w:val="center"/>
          </w:tcPr>
          <w:p w14:paraId="3652587D">
            <w:pPr>
              <w:rPr>
                <w:rFonts w:ascii="宋体" w:hAnsi="宋体"/>
                <w:sz w:val="24"/>
                <w:highlight w:val="none"/>
              </w:rPr>
            </w:pPr>
          </w:p>
        </w:tc>
        <w:tc>
          <w:tcPr>
            <w:tcW w:w="2891" w:type="dxa"/>
            <w:vAlign w:val="center"/>
          </w:tcPr>
          <w:p w14:paraId="14B4C80D">
            <w:pPr>
              <w:rPr>
                <w:rFonts w:ascii="宋体" w:hAnsi="宋体"/>
                <w:sz w:val="24"/>
                <w:highlight w:val="none"/>
              </w:rPr>
            </w:pPr>
          </w:p>
        </w:tc>
        <w:tc>
          <w:tcPr>
            <w:tcW w:w="1110" w:type="dxa"/>
            <w:vAlign w:val="center"/>
          </w:tcPr>
          <w:p w14:paraId="3DED6863">
            <w:pPr>
              <w:rPr>
                <w:rFonts w:ascii="宋体" w:hAnsi="宋体"/>
                <w:sz w:val="24"/>
                <w:highlight w:val="none"/>
              </w:rPr>
            </w:pPr>
          </w:p>
        </w:tc>
        <w:tc>
          <w:tcPr>
            <w:tcW w:w="2613" w:type="dxa"/>
            <w:vAlign w:val="center"/>
          </w:tcPr>
          <w:p w14:paraId="34434810">
            <w:pPr>
              <w:rPr>
                <w:rFonts w:ascii="宋体" w:hAnsi="宋体"/>
                <w:sz w:val="24"/>
                <w:highlight w:val="none"/>
              </w:rPr>
            </w:pPr>
          </w:p>
        </w:tc>
      </w:tr>
      <w:tr w14:paraId="5CB5A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1B979F02">
            <w:pPr>
              <w:jc w:val="center"/>
              <w:rPr>
                <w:rFonts w:ascii="宋体" w:hAnsi="宋体"/>
                <w:sz w:val="24"/>
                <w:highlight w:val="none"/>
              </w:rPr>
            </w:pPr>
            <w:r>
              <w:rPr>
                <w:rFonts w:hint="eastAsia" w:ascii="宋体" w:hAnsi="宋体"/>
                <w:sz w:val="24"/>
                <w:highlight w:val="none"/>
              </w:rPr>
              <w:t>10</w:t>
            </w:r>
          </w:p>
        </w:tc>
        <w:tc>
          <w:tcPr>
            <w:tcW w:w="1080" w:type="dxa"/>
            <w:vAlign w:val="center"/>
          </w:tcPr>
          <w:p w14:paraId="75F00E76">
            <w:pPr>
              <w:rPr>
                <w:rFonts w:ascii="宋体" w:hAnsi="宋体"/>
                <w:sz w:val="24"/>
                <w:highlight w:val="none"/>
              </w:rPr>
            </w:pPr>
          </w:p>
        </w:tc>
        <w:tc>
          <w:tcPr>
            <w:tcW w:w="2891" w:type="dxa"/>
            <w:vAlign w:val="center"/>
          </w:tcPr>
          <w:p w14:paraId="4C915FF0">
            <w:pPr>
              <w:rPr>
                <w:rFonts w:ascii="宋体" w:hAnsi="宋体"/>
                <w:sz w:val="24"/>
                <w:highlight w:val="none"/>
              </w:rPr>
            </w:pPr>
          </w:p>
        </w:tc>
        <w:tc>
          <w:tcPr>
            <w:tcW w:w="1110" w:type="dxa"/>
            <w:vAlign w:val="center"/>
          </w:tcPr>
          <w:p w14:paraId="68A4E377">
            <w:pPr>
              <w:rPr>
                <w:rFonts w:ascii="宋体" w:hAnsi="宋体"/>
                <w:sz w:val="24"/>
                <w:highlight w:val="none"/>
              </w:rPr>
            </w:pPr>
          </w:p>
        </w:tc>
        <w:tc>
          <w:tcPr>
            <w:tcW w:w="2613" w:type="dxa"/>
            <w:vAlign w:val="center"/>
          </w:tcPr>
          <w:p w14:paraId="22EFB546">
            <w:pPr>
              <w:rPr>
                <w:rFonts w:ascii="宋体" w:hAnsi="宋体"/>
                <w:sz w:val="24"/>
                <w:highlight w:val="none"/>
              </w:rPr>
            </w:pPr>
          </w:p>
        </w:tc>
      </w:tr>
      <w:tr w14:paraId="60B38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563A1FCB">
            <w:pPr>
              <w:jc w:val="center"/>
              <w:rPr>
                <w:rFonts w:ascii="宋体" w:hAnsi="宋体"/>
                <w:sz w:val="24"/>
                <w:highlight w:val="none"/>
              </w:rPr>
            </w:pPr>
            <w:r>
              <w:rPr>
                <w:rFonts w:hint="eastAsia" w:ascii="宋体" w:hAnsi="宋体"/>
                <w:sz w:val="24"/>
                <w:highlight w:val="none"/>
              </w:rPr>
              <w:t>11</w:t>
            </w:r>
          </w:p>
        </w:tc>
        <w:tc>
          <w:tcPr>
            <w:tcW w:w="1080" w:type="dxa"/>
            <w:vAlign w:val="center"/>
          </w:tcPr>
          <w:p w14:paraId="6126FE5C">
            <w:pPr>
              <w:rPr>
                <w:rFonts w:ascii="宋体" w:hAnsi="宋体"/>
                <w:sz w:val="24"/>
                <w:highlight w:val="none"/>
              </w:rPr>
            </w:pPr>
          </w:p>
        </w:tc>
        <w:tc>
          <w:tcPr>
            <w:tcW w:w="2891" w:type="dxa"/>
            <w:vAlign w:val="center"/>
          </w:tcPr>
          <w:p w14:paraId="2E990C9B">
            <w:pPr>
              <w:rPr>
                <w:rFonts w:ascii="宋体" w:hAnsi="宋体"/>
                <w:sz w:val="24"/>
                <w:highlight w:val="none"/>
              </w:rPr>
            </w:pPr>
          </w:p>
        </w:tc>
        <w:tc>
          <w:tcPr>
            <w:tcW w:w="1110" w:type="dxa"/>
            <w:vAlign w:val="center"/>
          </w:tcPr>
          <w:p w14:paraId="3C312395">
            <w:pPr>
              <w:rPr>
                <w:rFonts w:ascii="宋体" w:hAnsi="宋体"/>
                <w:sz w:val="24"/>
                <w:highlight w:val="none"/>
              </w:rPr>
            </w:pPr>
          </w:p>
        </w:tc>
        <w:tc>
          <w:tcPr>
            <w:tcW w:w="2613" w:type="dxa"/>
            <w:vAlign w:val="center"/>
          </w:tcPr>
          <w:p w14:paraId="406B2990">
            <w:pPr>
              <w:rPr>
                <w:rFonts w:ascii="宋体" w:hAnsi="宋体"/>
                <w:sz w:val="24"/>
                <w:highlight w:val="none"/>
              </w:rPr>
            </w:pPr>
          </w:p>
        </w:tc>
      </w:tr>
      <w:tr w14:paraId="253DE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726BFD7">
            <w:pPr>
              <w:jc w:val="center"/>
              <w:rPr>
                <w:rFonts w:ascii="宋体" w:hAnsi="宋体"/>
                <w:sz w:val="24"/>
                <w:highlight w:val="none"/>
              </w:rPr>
            </w:pPr>
            <w:r>
              <w:rPr>
                <w:rFonts w:hint="eastAsia" w:ascii="宋体" w:hAnsi="宋体"/>
                <w:sz w:val="24"/>
                <w:highlight w:val="none"/>
              </w:rPr>
              <w:t>12</w:t>
            </w:r>
          </w:p>
        </w:tc>
        <w:tc>
          <w:tcPr>
            <w:tcW w:w="1080" w:type="dxa"/>
            <w:vAlign w:val="center"/>
          </w:tcPr>
          <w:p w14:paraId="574E6528">
            <w:pPr>
              <w:rPr>
                <w:rFonts w:ascii="宋体" w:hAnsi="宋体"/>
                <w:sz w:val="24"/>
                <w:highlight w:val="none"/>
              </w:rPr>
            </w:pPr>
          </w:p>
        </w:tc>
        <w:tc>
          <w:tcPr>
            <w:tcW w:w="2891" w:type="dxa"/>
            <w:vAlign w:val="center"/>
          </w:tcPr>
          <w:p w14:paraId="7910C10F">
            <w:pPr>
              <w:rPr>
                <w:rFonts w:ascii="宋体" w:hAnsi="宋体"/>
                <w:sz w:val="24"/>
                <w:highlight w:val="none"/>
              </w:rPr>
            </w:pPr>
          </w:p>
        </w:tc>
        <w:tc>
          <w:tcPr>
            <w:tcW w:w="1110" w:type="dxa"/>
            <w:vAlign w:val="center"/>
          </w:tcPr>
          <w:p w14:paraId="1273E799">
            <w:pPr>
              <w:rPr>
                <w:rFonts w:ascii="宋体" w:hAnsi="宋体"/>
                <w:sz w:val="24"/>
                <w:highlight w:val="none"/>
              </w:rPr>
            </w:pPr>
          </w:p>
        </w:tc>
        <w:tc>
          <w:tcPr>
            <w:tcW w:w="2613" w:type="dxa"/>
            <w:vAlign w:val="center"/>
          </w:tcPr>
          <w:p w14:paraId="033C031F">
            <w:pPr>
              <w:rPr>
                <w:rFonts w:ascii="宋体" w:hAnsi="宋体"/>
                <w:sz w:val="24"/>
                <w:highlight w:val="none"/>
              </w:rPr>
            </w:pPr>
          </w:p>
        </w:tc>
      </w:tr>
      <w:tr w14:paraId="412FD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28" w:type="dxa"/>
            <w:vAlign w:val="center"/>
          </w:tcPr>
          <w:p w14:paraId="64B62B6D">
            <w:pPr>
              <w:jc w:val="center"/>
              <w:rPr>
                <w:rFonts w:ascii="宋体" w:hAnsi="宋体"/>
                <w:sz w:val="24"/>
                <w:highlight w:val="none"/>
              </w:rPr>
            </w:pPr>
            <w:r>
              <w:rPr>
                <w:rFonts w:hint="eastAsia" w:ascii="宋体" w:hAnsi="宋体"/>
                <w:sz w:val="24"/>
                <w:highlight w:val="none"/>
              </w:rPr>
              <w:t>13</w:t>
            </w:r>
          </w:p>
        </w:tc>
        <w:tc>
          <w:tcPr>
            <w:tcW w:w="1080" w:type="dxa"/>
            <w:vAlign w:val="center"/>
          </w:tcPr>
          <w:p w14:paraId="5352E570">
            <w:pPr>
              <w:rPr>
                <w:rFonts w:ascii="宋体" w:hAnsi="宋体"/>
                <w:sz w:val="24"/>
                <w:highlight w:val="none"/>
              </w:rPr>
            </w:pPr>
          </w:p>
        </w:tc>
        <w:tc>
          <w:tcPr>
            <w:tcW w:w="2891" w:type="dxa"/>
            <w:vAlign w:val="center"/>
          </w:tcPr>
          <w:p w14:paraId="30C16D56">
            <w:pPr>
              <w:rPr>
                <w:rFonts w:ascii="宋体" w:hAnsi="宋体"/>
                <w:sz w:val="24"/>
                <w:highlight w:val="none"/>
              </w:rPr>
            </w:pPr>
          </w:p>
        </w:tc>
        <w:tc>
          <w:tcPr>
            <w:tcW w:w="1110" w:type="dxa"/>
            <w:vAlign w:val="center"/>
          </w:tcPr>
          <w:p w14:paraId="1470FBFE">
            <w:pPr>
              <w:rPr>
                <w:rFonts w:ascii="宋体" w:hAnsi="宋体"/>
                <w:sz w:val="24"/>
                <w:highlight w:val="none"/>
              </w:rPr>
            </w:pPr>
          </w:p>
        </w:tc>
        <w:tc>
          <w:tcPr>
            <w:tcW w:w="2613" w:type="dxa"/>
            <w:vAlign w:val="center"/>
          </w:tcPr>
          <w:p w14:paraId="5140F900">
            <w:pPr>
              <w:rPr>
                <w:rFonts w:ascii="宋体" w:hAnsi="宋体"/>
                <w:sz w:val="24"/>
                <w:highlight w:val="none"/>
              </w:rPr>
            </w:pPr>
          </w:p>
        </w:tc>
      </w:tr>
    </w:tbl>
    <w:p w14:paraId="7C1F55AC">
      <w:pPr>
        <w:rPr>
          <w:rFonts w:ascii="宋体" w:hAnsi="宋体"/>
          <w:sz w:val="24"/>
          <w:highlight w:val="none"/>
        </w:rPr>
      </w:pPr>
      <w:r>
        <w:rPr>
          <w:rFonts w:hint="eastAsia" w:ascii="宋体" w:hAnsi="宋体"/>
          <w:b/>
          <w:sz w:val="24"/>
          <w:highlight w:val="none"/>
        </w:rPr>
        <w:t>注：</w:t>
      </w:r>
      <w:r>
        <w:rPr>
          <w:rFonts w:hint="eastAsia" w:ascii="宋体" w:hAnsi="宋体"/>
          <w:sz w:val="24"/>
          <w:highlight w:val="none"/>
        </w:rPr>
        <w:t>即使投标人进行了描述，也要提报该表，</w:t>
      </w:r>
      <w:r>
        <w:rPr>
          <w:rFonts w:hint="eastAsia" w:ascii="宋体" w:hAnsi="宋体"/>
          <w:b/>
          <w:sz w:val="24"/>
          <w:highlight w:val="none"/>
        </w:rPr>
        <w:t>无该表则被视为“无偏离”。</w:t>
      </w:r>
      <w:r>
        <w:rPr>
          <w:rFonts w:hint="eastAsia" w:ascii="宋体" w:hAnsi="宋体"/>
          <w:sz w:val="24"/>
          <w:highlight w:val="none"/>
        </w:rPr>
        <w:t>如无偏离注明“无”字。</w:t>
      </w:r>
    </w:p>
    <w:p w14:paraId="319C5E77">
      <w:pPr>
        <w:pStyle w:val="10"/>
        <w:spacing w:line="360" w:lineRule="auto"/>
        <w:rPr>
          <w:rFonts w:hAnsi="宋体"/>
          <w:b/>
          <w:bCs/>
          <w:sz w:val="28"/>
          <w:szCs w:val="28"/>
          <w:highlight w:val="none"/>
        </w:rPr>
      </w:pPr>
    </w:p>
    <w:p w14:paraId="514AA21A">
      <w:pPr>
        <w:rPr>
          <w:highlight w:val="none"/>
        </w:rPr>
      </w:pPr>
      <w:r>
        <w:rPr>
          <w:rFonts w:hint="eastAsia" w:ascii="宋体" w:hAnsi="宋体"/>
          <w:sz w:val="24"/>
          <w:highlight w:val="none"/>
        </w:rPr>
        <w:t xml:space="preserve"> </w:t>
      </w:r>
      <w:r>
        <w:rPr>
          <w:rFonts w:ascii="宋体" w:hAnsi="宋体"/>
          <w:sz w:val="24"/>
          <w:highlight w:val="none"/>
        </w:rPr>
        <w:t xml:space="preserve">     </w:t>
      </w:r>
      <w:r>
        <w:rPr>
          <w:rFonts w:hint="eastAsia" w:ascii="宋体" w:hAnsi="宋体"/>
          <w:sz w:val="24"/>
          <w:highlight w:val="none"/>
        </w:rPr>
        <w:t>投标人名称：                   授权代表签字：            日期：</w:t>
      </w:r>
    </w:p>
    <w:p w14:paraId="7F250FD6">
      <w:pPr>
        <w:rPr>
          <w:rFonts w:eastAsia="黑体"/>
          <w:b/>
          <w:bCs/>
          <w:sz w:val="28"/>
          <w:highlight w:val="none"/>
        </w:rPr>
      </w:pPr>
    </w:p>
    <w:p w14:paraId="56E24FD9">
      <w:pPr>
        <w:rPr>
          <w:highlight w:val="none"/>
        </w:rPr>
      </w:pPr>
      <w:bookmarkStart w:id="26" w:name="_Toc32530"/>
    </w:p>
    <w:p w14:paraId="50CC30FC">
      <w:pPr>
        <w:pStyle w:val="13"/>
        <w:rPr>
          <w:highlight w:val="none"/>
        </w:rPr>
      </w:pPr>
    </w:p>
    <w:p w14:paraId="14D943E4">
      <w:pPr>
        <w:rPr>
          <w:rFonts w:ascii="宋体" w:hAnsi="宋体"/>
          <w:sz w:val="24"/>
          <w:highlight w:val="none"/>
        </w:rPr>
      </w:pPr>
      <w:r>
        <w:rPr>
          <w:rFonts w:hint="eastAsia" w:ascii="宋体" w:hAnsi="宋体"/>
          <w:sz w:val="24"/>
          <w:highlight w:val="none"/>
        </w:rPr>
        <w:t>附件5</w:t>
      </w:r>
      <w:bookmarkEnd w:id="26"/>
    </w:p>
    <w:p w14:paraId="6F4BF8D6">
      <w:pPr>
        <w:jc w:val="center"/>
        <w:rPr>
          <w:rFonts w:eastAsia="黑体"/>
          <w:b/>
          <w:bCs/>
          <w:sz w:val="28"/>
          <w:highlight w:val="none"/>
        </w:rPr>
      </w:pPr>
      <w:r>
        <w:rPr>
          <w:rFonts w:hint="eastAsia" w:eastAsia="黑体"/>
          <w:b/>
          <w:bCs/>
          <w:sz w:val="28"/>
          <w:highlight w:val="none"/>
        </w:rPr>
        <w:t>封面格式（参考）</w:t>
      </w:r>
    </w:p>
    <w:p w14:paraId="3AE49389">
      <w:pPr>
        <w:jc w:val="center"/>
        <w:rPr>
          <w:rFonts w:eastAsia="黑体"/>
          <w:b/>
          <w:bCs/>
          <w:sz w:val="28"/>
          <w:highlight w:val="non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1452B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tcPr>
          <w:p w14:paraId="01315537">
            <w:pPr>
              <w:pStyle w:val="8"/>
              <w:ind w:firstLine="470"/>
              <w:jc w:val="left"/>
              <w:rPr>
                <w:rFonts w:ascii="宋体" w:hAnsi="宋体"/>
                <w:sz w:val="24"/>
                <w:szCs w:val="24"/>
                <w:highlight w:val="none"/>
              </w:rPr>
            </w:pPr>
          </w:p>
          <w:p w14:paraId="4D304787">
            <w:pPr>
              <w:pStyle w:val="8"/>
              <w:ind w:left="0" w:leftChars="0"/>
              <w:jc w:val="left"/>
              <w:rPr>
                <w:rFonts w:ascii="宋体" w:hAnsi="宋体"/>
                <w:b/>
                <w:bCs/>
                <w:sz w:val="30"/>
                <w:szCs w:val="30"/>
                <w:highlight w:val="none"/>
              </w:rPr>
            </w:pPr>
            <w:r>
              <w:rPr>
                <w:rFonts w:hint="eastAsia" w:ascii="宋体" w:hAnsi="宋体" w:cs="宋体"/>
                <w:b/>
                <w:bCs/>
                <w:sz w:val="30"/>
                <w:szCs w:val="30"/>
                <w:highlight w:val="none"/>
              </w:rPr>
              <w:t>投标文件</w:t>
            </w:r>
          </w:p>
          <w:p w14:paraId="0E0F6BEC">
            <w:pPr>
              <w:pStyle w:val="8"/>
              <w:ind w:left="0" w:leftChars="0"/>
              <w:jc w:val="left"/>
              <w:rPr>
                <w:rFonts w:ascii="宋体" w:hAnsi="宋体"/>
                <w:sz w:val="30"/>
                <w:szCs w:val="30"/>
                <w:highlight w:val="none"/>
              </w:rPr>
            </w:pPr>
            <w:r>
              <w:rPr>
                <w:rFonts w:hint="eastAsia" w:ascii="宋体" w:hAnsi="宋体" w:cs="宋体"/>
                <w:b/>
                <w:bCs/>
                <w:sz w:val="30"/>
                <w:szCs w:val="30"/>
                <w:highlight w:val="none"/>
              </w:rPr>
              <w:t>（正本）</w:t>
            </w:r>
          </w:p>
          <w:p w14:paraId="5D977346">
            <w:pPr>
              <w:pStyle w:val="8"/>
              <w:ind w:firstLine="353"/>
              <w:jc w:val="left"/>
              <w:rPr>
                <w:rFonts w:ascii="宋体" w:hAnsi="宋体"/>
                <w:sz w:val="18"/>
                <w:szCs w:val="18"/>
                <w:highlight w:val="none"/>
              </w:rPr>
            </w:pPr>
          </w:p>
          <w:p w14:paraId="6F5BC3B4">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项目名称：</w:t>
            </w:r>
          </w:p>
          <w:p w14:paraId="44BE0FF9">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投标人名称（公章）：</w:t>
            </w:r>
          </w:p>
          <w:p w14:paraId="5EB4727B">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地址：</w:t>
            </w:r>
          </w:p>
          <w:p w14:paraId="7012A2E3">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电话：</w:t>
            </w:r>
          </w:p>
          <w:p w14:paraId="05251851">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传真：</w:t>
            </w:r>
          </w:p>
          <w:p w14:paraId="560CAAD0">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邮编：</w:t>
            </w:r>
            <w:r>
              <w:rPr>
                <w:rFonts w:ascii="宋体" w:hAnsi="宋体" w:cs="宋体"/>
                <w:sz w:val="32"/>
                <w:szCs w:val="32"/>
                <w:highlight w:val="none"/>
              </w:rPr>
              <w:t xml:space="preserve"> </w:t>
            </w:r>
          </w:p>
        </w:tc>
        <w:tc>
          <w:tcPr>
            <w:tcW w:w="4775" w:type="dxa"/>
          </w:tcPr>
          <w:p w14:paraId="2B9809CF">
            <w:pPr>
              <w:pStyle w:val="8"/>
              <w:ind w:firstLine="470"/>
              <w:jc w:val="left"/>
              <w:rPr>
                <w:rFonts w:ascii="宋体" w:hAnsi="宋体"/>
                <w:sz w:val="24"/>
                <w:szCs w:val="24"/>
                <w:highlight w:val="none"/>
              </w:rPr>
            </w:pPr>
          </w:p>
          <w:p w14:paraId="3D193724">
            <w:pPr>
              <w:pStyle w:val="8"/>
              <w:ind w:left="0" w:leftChars="0"/>
              <w:jc w:val="left"/>
              <w:rPr>
                <w:rFonts w:ascii="宋体" w:hAnsi="宋体"/>
                <w:b/>
                <w:bCs/>
                <w:sz w:val="30"/>
                <w:szCs w:val="30"/>
                <w:highlight w:val="none"/>
              </w:rPr>
            </w:pPr>
            <w:r>
              <w:rPr>
                <w:rFonts w:hint="eastAsia" w:ascii="宋体" w:hAnsi="宋体" w:cs="宋体"/>
                <w:b/>
                <w:bCs/>
                <w:sz w:val="30"/>
                <w:szCs w:val="30"/>
                <w:highlight w:val="none"/>
              </w:rPr>
              <w:t>投标文件</w:t>
            </w:r>
          </w:p>
          <w:p w14:paraId="5397A871">
            <w:pPr>
              <w:pStyle w:val="8"/>
              <w:ind w:left="0" w:leftChars="0"/>
              <w:jc w:val="left"/>
              <w:rPr>
                <w:rFonts w:ascii="宋体" w:hAnsi="宋体"/>
                <w:sz w:val="30"/>
                <w:szCs w:val="30"/>
                <w:highlight w:val="none"/>
              </w:rPr>
            </w:pPr>
            <w:r>
              <w:rPr>
                <w:rFonts w:hint="eastAsia" w:ascii="宋体" w:hAnsi="宋体" w:cs="宋体"/>
                <w:b/>
                <w:bCs/>
                <w:sz w:val="30"/>
                <w:szCs w:val="30"/>
                <w:highlight w:val="none"/>
              </w:rPr>
              <w:t>（副本）</w:t>
            </w:r>
          </w:p>
          <w:p w14:paraId="783491F6">
            <w:pPr>
              <w:pStyle w:val="8"/>
              <w:ind w:firstLine="353"/>
              <w:jc w:val="left"/>
              <w:rPr>
                <w:rFonts w:ascii="宋体" w:hAnsi="宋体"/>
                <w:sz w:val="18"/>
                <w:szCs w:val="18"/>
                <w:highlight w:val="none"/>
              </w:rPr>
            </w:pPr>
          </w:p>
          <w:p w14:paraId="7691F48F">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项目名称：</w:t>
            </w:r>
          </w:p>
          <w:p w14:paraId="2D0F7292">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投标人名称（公章）：</w:t>
            </w:r>
          </w:p>
          <w:p w14:paraId="1BDF13E3">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地址：</w:t>
            </w:r>
          </w:p>
          <w:p w14:paraId="26563B84">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电话：</w:t>
            </w:r>
          </w:p>
          <w:p w14:paraId="4A4C967C">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传真：</w:t>
            </w:r>
          </w:p>
          <w:p w14:paraId="63CFF8B3">
            <w:pPr>
              <w:pStyle w:val="8"/>
              <w:spacing w:line="400" w:lineRule="exact"/>
              <w:ind w:left="0" w:leftChars="0"/>
              <w:jc w:val="left"/>
              <w:rPr>
                <w:rFonts w:ascii="宋体" w:hAnsi="宋体"/>
                <w:sz w:val="24"/>
                <w:szCs w:val="24"/>
                <w:highlight w:val="none"/>
              </w:rPr>
            </w:pPr>
            <w:r>
              <w:rPr>
                <w:rFonts w:hint="eastAsia" w:ascii="宋体" w:hAnsi="宋体" w:cs="宋体"/>
                <w:sz w:val="24"/>
                <w:szCs w:val="24"/>
                <w:highlight w:val="none"/>
              </w:rPr>
              <w:t>邮编：</w:t>
            </w:r>
            <w:r>
              <w:rPr>
                <w:rFonts w:ascii="宋体" w:hAnsi="宋体" w:cs="宋体"/>
                <w:sz w:val="32"/>
                <w:szCs w:val="32"/>
                <w:highlight w:val="none"/>
              </w:rPr>
              <w:t xml:space="preserve"> </w:t>
            </w:r>
          </w:p>
        </w:tc>
      </w:tr>
    </w:tbl>
    <w:p w14:paraId="7FB55B79">
      <w:pPr>
        <w:pStyle w:val="8"/>
        <w:ind w:left="0" w:leftChars="0"/>
        <w:outlineLvl w:val="9"/>
        <w:rPr>
          <w:rFonts w:ascii="宋体" w:hAnsi="宋体"/>
          <w:b/>
          <w:bCs/>
          <w:sz w:val="32"/>
          <w:szCs w:val="32"/>
          <w:highlight w:val="none"/>
        </w:rPr>
      </w:pPr>
      <w:bookmarkStart w:id="27" w:name="_Toc15445"/>
      <w:bookmarkStart w:id="28" w:name="_Toc5365"/>
      <w:r>
        <w:rPr>
          <w:rFonts w:hint="eastAsia" w:ascii="宋体" w:hAnsi="宋体" w:cs="宋体"/>
          <w:b/>
          <w:bCs/>
          <w:sz w:val="32"/>
          <w:szCs w:val="32"/>
          <w:highlight w:val="none"/>
        </w:rPr>
        <w:t>封口格式：</w:t>
      </w:r>
      <w:bookmarkEnd w:id="27"/>
      <w:bookmarkEnd w:id="28"/>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3D256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vAlign w:val="center"/>
          </w:tcPr>
          <w:p w14:paraId="61560DB3">
            <w:pPr>
              <w:pStyle w:val="8"/>
              <w:ind w:left="0" w:leftChars="0"/>
              <w:rPr>
                <w:rFonts w:ascii="宋体" w:hAnsi="宋体"/>
                <w:sz w:val="24"/>
                <w:szCs w:val="24"/>
                <w:highlight w:val="none"/>
              </w:rPr>
            </w:pPr>
            <w:r>
              <w:rPr>
                <w:rFonts w:hint="eastAsia" w:ascii="宋体" w:hAnsi="宋体" w:cs="宋体"/>
                <w:sz w:val="24"/>
                <w:szCs w:val="24"/>
                <w:highlight w:val="none"/>
              </w:rPr>
              <w:t>……………………于</w:t>
            </w:r>
            <w:r>
              <w:rPr>
                <w:rFonts w:hint="eastAsia" w:ascii="宋体" w:hAnsi="宋体" w:cs="宋体"/>
                <w:sz w:val="24"/>
                <w:szCs w:val="24"/>
                <w:highlight w:val="none"/>
                <w:u w:val="single"/>
              </w:rPr>
              <w:t xml:space="preserve">     </w:t>
            </w:r>
            <w:r>
              <w:rPr>
                <w:rFonts w:ascii="宋体" w:hAnsi="宋体" w:cs="宋体"/>
                <w:sz w:val="24"/>
                <w:szCs w:val="24"/>
                <w:highlight w:val="none"/>
              </w:rPr>
              <w:t>年</w:t>
            </w:r>
            <w:r>
              <w:rPr>
                <w:rFonts w:ascii="宋体" w:hAnsi="宋体" w:cs="宋体"/>
                <w:sz w:val="24"/>
                <w:szCs w:val="24"/>
                <w:highlight w:val="none"/>
                <w:u w:val="single"/>
              </w:rPr>
              <w:t xml:space="preserve">  </w:t>
            </w:r>
            <w:r>
              <w:rPr>
                <w:rFonts w:hint="eastAsia" w:ascii="宋体" w:hAnsi="宋体" w:cs="宋体"/>
                <w:sz w:val="24"/>
                <w:szCs w:val="24"/>
                <w:highlight w:val="none"/>
              </w:rPr>
              <w:t>月</w:t>
            </w:r>
            <w:r>
              <w:rPr>
                <w:rFonts w:ascii="宋体" w:hAnsi="宋体" w:cs="宋体"/>
                <w:sz w:val="24"/>
                <w:szCs w:val="24"/>
                <w:highlight w:val="none"/>
                <w:u w:val="single"/>
              </w:rPr>
              <w:t xml:space="preserve">  </w:t>
            </w:r>
            <w:r>
              <w:rPr>
                <w:rFonts w:hint="eastAsia" w:ascii="宋体" w:hAnsi="宋体" w:cs="宋体"/>
                <w:sz w:val="24"/>
                <w:szCs w:val="24"/>
                <w:highlight w:val="none"/>
              </w:rPr>
              <w:t>日</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时之前不准启封（公章）…………………</w:t>
            </w:r>
          </w:p>
        </w:tc>
      </w:tr>
    </w:tbl>
    <w:p w14:paraId="4D3D631B">
      <w:pPr>
        <w:tabs>
          <w:tab w:val="left" w:pos="1620"/>
        </w:tabs>
        <w:spacing w:line="400" w:lineRule="exact"/>
        <w:rPr>
          <w:rFonts w:ascii="黑体" w:hAnsi="Courier New" w:eastAsia="黑体"/>
          <w:b/>
          <w:bCs/>
          <w:sz w:val="36"/>
          <w:szCs w:val="36"/>
          <w:highlight w:val="none"/>
        </w:rPr>
      </w:pPr>
    </w:p>
    <w:p w14:paraId="3EF0C58A">
      <w:pPr>
        <w:rPr>
          <w:highlight w:val="none"/>
        </w:rPr>
      </w:pPr>
    </w:p>
    <w:p w14:paraId="144274C2">
      <w:pPr>
        <w:rPr>
          <w:rFonts w:eastAsia="黑体"/>
          <w:b/>
          <w:bCs/>
          <w:sz w:val="28"/>
          <w:highlight w:val="none"/>
        </w:rPr>
      </w:pPr>
    </w:p>
    <w:p w14:paraId="72EC242F">
      <w:pPr>
        <w:rPr>
          <w:rFonts w:eastAsia="黑体"/>
          <w:b/>
          <w:bCs/>
          <w:sz w:val="28"/>
          <w:highlight w:val="none"/>
        </w:rPr>
      </w:pPr>
    </w:p>
    <w:p w14:paraId="68EE23C7">
      <w:pPr>
        <w:rPr>
          <w:rFonts w:eastAsia="黑体"/>
          <w:b/>
          <w:bCs/>
          <w:sz w:val="28"/>
          <w:highlight w:val="none"/>
        </w:rPr>
      </w:pPr>
    </w:p>
    <w:p w14:paraId="4079D660">
      <w:pPr>
        <w:pStyle w:val="10"/>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ascii="Times New Roman" w:hAnsi="Times New Roman" w:eastAsia="黑体" w:cs="Times New Roman"/>
          <w:b/>
          <w:bCs/>
          <w:sz w:val="28"/>
          <w:szCs w:val="20"/>
          <w:highlight w:val="none"/>
        </w:rPr>
      </w:pPr>
    </w:p>
    <w:p w14:paraId="47CE6A82">
      <w:pPr>
        <w:pStyle w:val="10"/>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ascii="Times New Roman" w:hAnsi="Times New Roman" w:eastAsia="黑体" w:cs="Times New Roman"/>
          <w:b/>
          <w:bCs/>
          <w:sz w:val="28"/>
          <w:szCs w:val="20"/>
          <w:highlight w:val="none"/>
        </w:rPr>
      </w:pPr>
    </w:p>
    <w:p w14:paraId="24B66D57">
      <w:pPr>
        <w:rPr>
          <w:rFonts w:ascii="Times New Roman" w:hAnsi="Times New Roman" w:eastAsia="黑体" w:cs="Times New Roman"/>
          <w:b/>
          <w:bCs/>
          <w:sz w:val="36"/>
          <w:highlight w:val="none"/>
        </w:rPr>
      </w:pPr>
      <w:r>
        <w:rPr>
          <w:rFonts w:ascii="Times New Roman" w:hAnsi="Times New Roman" w:eastAsia="黑体" w:cs="Times New Roman"/>
          <w:b/>
          <w:bCs/>
          <w:sz w:val="36"/>
          <w:highlight w:val="none"/>
        </w:rPr>
        <w:br w:type="page"/>
      </w:r>
    </w:p>
    <w:p w14:paraId="1CED6424">
      <w:pPr>
        <w:rPr>
          <w:rFonts w:hint="eastAsia" w:ascii="宋体" w:hAnsi="宋体"/>
          <w:sz w:val="24"/>
          <w:highlight w:val="none"/>
        </w:rPr>
      </w:pPr>
      <w:r>
        <w:rPr>
          <w:rFonts w:hint="eastAsia" w:ascii="宋体" w:hAnsi="宋体"/>
          <w:sz w:val="24"/>
          <w:highlight w:val="none"/>
          <w:lang w:val="en-US" w:eastAsia="zh-CN"/>
        </w:rPr>
        <w:t>附件6 投标函</w:t>
      </w:r>
    </w:p>
    <w:p w14:paraId="70B23D17">
      <w:pPr>
        <w:jc w:val="center"/>
        <w:rPr>
          <w:rFonts w:hint="eastAsia" w:eastAsia="黑体"/>
          <w:b/>
          <w:bCs/>
          <w:sz w:val="28"/>
          <w:highlight w:val="none"/>
          <w:lang w:val="en-US" w:eastAsia="zh-CN"/>
        </w:rPr>
      </w:pPr>
      <w:r>
        <w:rPr>
          <w:rFonts w:hint="eastAsia" w:eastAsia="黑体"/>
          <w:b/>
          <w:bCs/>
          <w:sz w:val="28"/>
          <w:highlight w:val="none"/>
          <w:lang w:val="en-US" w:eastAsia="zh-CN"/>
        </w:rPr>
        <w:t>投标函</w:t>
      </w:r>
    </w:p>
    <w:p w14:paraId="544ED55F">
      <w:pPr>
        <w:jc w:val="center"/>
        <w:rPr>
          <w:rFonts w:hint="eastAsia" w:eastAsia="黑体"/>
          <w:b/>
          <w:bCs/>
          <w:sz w:val="28"/>
          <w:highlight w:val="none"/>
          <w:lang w:val="en-US" w:eastAsia="zh-CN"/>
        </w:rPr>
      </w:pPr>
    </w:p>
    <w:p w14:paraId="52C2A7CE">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致：中国重汽集团济南动力有限公司：</w:t>
      </w:r>
    </w:p>
    <w:p w14:paraId="469E37A5">
      <w:pPr>
        <w:keepNext w:val="0"/>
        <w:keepLines w:val="0"/>
        <w:pageBreakBefore w:val="0"/>
        <w:widowControl/>
        <w:suppressLineNumbers w:val="0"/>
        <w:kinsoku/>
        <w:wordWrap/>
        <w:overflowPunct/>
        <w:topLinePunct w:val="0"/>
        <w:autoSpaceDE/>
        <w:autoSpaceDN/>
        <w:bidi w:val="0"/>
        <w:adjustRightInd/>
        <w:snapToGrid/>
        <w:spacing w:after="120" w:line="400" w:lineRule="exact"/>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根据贵方XXX项目名称招标公告， 投标公司， 法人代表人为 ，正式授权 提交纸质投标文件：资质证明文件、商务文件和技术文件正本一份；电子版投标文件一份：资质证明文件、商务文件和技术文件。</w:t>
      </w:r>
    </w:p>
    <w:p w14:paraId="5778048F">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据此函，签字代表宣布同意如下：</w:t>
      </w:r>
    </w:p>
    <w:p w14:paraId="54DB27BD">
      <w:pPr>
        <w:keepNext w:val="0"/>
        <w:keepLines w:val="0"/>
        <w:pageBreakBefore w:val="0"/>
        <w:widowControl/>
        <w:suppressLineNumbers w:val="0"/>
        <w:kinsoku/>
        <w:wordWrap/>
        <w:overflowPunct/>
        <w:topLinePunct w:val="0"/>
        <w:autoSpaceDE/>
        <w:autoSpaceDN/>
        <w:bidi w:val="0"/>
        <w:adjustRightInd/>
        <w:snapToGrid/>
        <w:spacing w:after="120" w:line="400" w:lineRule="exact"/>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1.投标人已详细审查全部“招标文件”，包括修改文件（如有的话）以及全部参考资料和有关附件，已经了解我方对于招标文件、采购过程、采购结果有依法进行询问、质疑、投诉的权利及相关渠道和要求。</w:t>
      </w:r>
    </w:p>
    <w:p w14:paraId="3C03F32F">
      <w:pPr>
        <w:keepNext w:val="0"/>
        <w:keepLines w:val="0"/>
        <w:pageBreakBefore w:val="0"/>
        <w:widowControl/>
        <w:suppressLineNumbers w:val="0"/>
        <w:kinsoku/>
        <w:wordWrap/>
        <w:overflowPunct/>
        <w:topLinePunct w:val="0"/>
        <w:autoSpaceDE/>
        <w:autoSpaceDN/>
        <w:bidi w:val="0"/>
        <w:adjustRightInd/>
        <w:snapToGrid/>
        <w:spacing w:after="120" w:line="400" w:lineRule="exact"/>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2.投标人在投标之前已经与贵方进行了充分的沟通，完全理解并接受招标文件的各项规定和要求，对招标文件的合理性、合法性不再有异议。</w:t>
      </w:r>
    </w:p>
    <w:p w14:paraId="174248BC">
      <w:pPr>
        <w:keepNext w:val="0"/>
        <w:keepLines w:val="0"/>
        <w:pageBreakBefore w:val="0"/>
        <w:widowControl/>
        <w:suppressLineNumbers w:val="0"/>
        <w:kinsoku/>
        <w:wordWrap/>
        <w:overflowPunct/>
        <w:topLinePunct w:val="0"/>
        <w:autoSpaceDE/>
        <w:autoSpaceDN/>
        <w:bidi w:val="0"/>
        <w:adjustRightInd/>
        <w:snapToGrid/>
        <w:spacing w:after="120" w:line="400" w:lineRule="exact"/>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3.本投标有效期自开标日起90个日历日。</w:t>
      </w:r>
    </w:p>
    <w:p w14:paraId="544C10C6">
      <w:pPr>
        <w:keepNext w:val="0"/>
        <w:keepLines w:val="0"/>
        <w:pageBreakBefore w:val="0"/>
        <w:widowControl/>
        <w:suppressLineNumbers w:val="0"/>
        <w:kinsoku/>
        <w:wordWrap/>
        <w:overflowPunct/>
        <w:topLinePunct w:val="0"/>
        <w:autoSpaceDE/>
        <w:autoSpaceDN/>
        <w:bidi w:val="0"/>
        <w:adjustRightInd/>
        <w:snapToGrid/>
        <w:spacing w:after="120" w:line="400" w:lineRule="exact"/>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4.如中标，本投标文件至本项目合同履行完毕止均保持有效，本投标人将按“招标文件”及政府采购法律、法规的规定履行合同责任和义务。</w:t>
      </w:r>
    </w:p>
    <w:p w14:paraId="1AA61BC1">
      <w:pPr>
        <w:keepNext w:val="0"/>
        <w:keepLines w:val="0"/>
        <w:pageBreakBefore w:val="0"/>
        <w:widowControl/>
        <w:suppressLineNumbers w:val="0"/>
        <w:kinsoku/>
        <w:wordWrap/>
        <w:overflowPunct/>
        <w:topLinePunct w:val="0"/>
        <w:autoSpaceDE/>
        <w:autoSpaceDN/>
        <w:bidi w:val="0"/>
        <w:adjustRightInd/>
        <w:snapToGrid/>
        <w:spacing w:after="120" w:line="400" w:lineRule="exact"/>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5.投标人同意按照贵方要求提供与投标有关的一切数据或资料。</w:t>
      </w:r>
    </w:p>
    <w:p w14:paraId="53C64973">
      <w:pPr>
        <w:keepNext w:val="0"/>
        <w:keepLines w:val="0"/>
        <w:pageBreakBefore w:val="0"/>
        <w:widowControl/>
        <w:suppressLineNumbers w:val="0"/>
        <w:kinsoku/>
        <w:wordWrap/>
        <w:overflowPunct/>
        <w:topLinePunct w:val="0"/>
        <w:autoSpaceDE/>
        <w:autoSpaceDN/>
        <w:bidi w:val="0"/>
        <w:adjustRightInd/>
        <w:snapToGrid/>
        <w:spacing w:after="120" w:line="400" w:lineRule="exact"/>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6.与本投标有关的一切正式往来信函请寄：</w:t>
      </w:r>
    </w:p>
    <w:p w14:paraId="6F3761F0">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地址： </w:t>
      </w:r>
    </w:p>
    <w:p w14:paraId="7CD59F0C">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邮编： </w:t>
      </w:r>
    </w:p>
    <w:p w14:paraId="7B5F12A5">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电话： </w:t>
      </w:r>
      <w:r>
        <w:rPr>
          <w:rFonts w:hint="eastAsia" w:ascii="宋体" w:hAnsi="宋体" w:cs="宋体"/>
          <w:kern w:val="2"/>
          <w:sz w:val="24"/>
          <w:szCs w:val="24"/>
          <w:highlight w:val="none"/>
          <w:lang w:val="en-US" w:eastAsia="zh-CN" w:bidi="ar-SA"/>
        </w:rPr>
        <w:t xml:space="preserve">                                   </w:t>
      </w:r>
      <w:r>
        <w:rPr>
          <w:rFonts w:hint="eastAsia" w:ascii="宋体" w:hAnsi="宋体" w:eastAsia="宋体" w:cs="宋体"/>
          <w:kern w:val="2"/>
          <w:sz w:val="24"/>
          <w:szCs w:val="24"/>
          <w:highlight w:val="none"/>
          <w:lang w:val="en-US" w:eastAsia="zh-CN" w:bidi="ar-SA"/>
        </w:rPr>
        <w:t xml:space="preserve">传真： </w:t>
      </w:r>
    </w:p>
    <w:p w14:paraId="017214A5">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投标人代表姓名： </w:t>
      </w:r>
      <w:r>
        <w:rPr>
          <w:rFonts w:hint="eastAsia" w:ascii="宋体" w:hAnsi="宋体" w:cs="宋体"/>
          <w:kern w:val="2"/>
          <w:sz w:val="24"/>
          <w:szCs w:val="24"/>
          <w:highlight w:val="none"/>
          <w:lang w:val="en-US" w:eastAsia="zh-CN" w:bidi="ar-SA"/>
        </w:rPr>
        <w:t xml:space="preserve">                         </w:t>
      </w:r>
      <w:r>
        <w:rPr>
          <w:rFonts w:hint="eastAsia" w:ascii="宋体" w:hAnsi="宋体" w:eastAsia="宋体" w:cs="宋体"/>
          <w:kern w:val="2"/>
          <w:sz w:val="24"/>
          <w:szCs w:val="24"/>
          <w:highlight w:val="none"/>
          <w:lang w:val="en-US" w:eastAsia="zh-CN" w:bidi="ar-SA"/>
        </w:rPr>
        <w:t xml:space="preserve">职务： </w:t>
      </w:r>
    </w:p>
    <w:p w14:paraId="2CA16CCF">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开户银行： </w:t>
      </w:r>
    </w:p>
    <w:p w14:paraId="4353A4D2">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银行帐号： </w:t>
      </w:r>
    </w:p>
    <w:p w14:paraId="7416A2D0">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投标人名称（盖章）: </w:t>
      </w:r>
    </w:p>
    <w:p w14:paraId="427BF432">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授权代表签字：</w:t>
      </w:r>
    </w:p>
    <w:p w14:paraId="6A1E28EA">
      <w:pPr>
        <w:keepNext w:val="0"/>
        <w:keepLines w:val="0"/>
        <w:pageBreakBefore w:val="0"/>
        <w:widowControl/>
        <w:suppressLineNumbers w:val="0"/>
        <w:kinsoku/>
        <w:wordWrap/>
        <w:overflowPunct/>
        <w:topLinePunct w:val="0"/>
        <w:autoSpaceDE/>
        <w:autoSpaceDN/>
        <w:bidi w:val="0"/>
        <w:adjustRightInd/>
        <w:snapToGrid/>
        <w:spacing w:after="120" w:line="400" w:lineRule="exact"/>
        <w:ind w:firstLine="6960" w:firstLineChars="29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日期： 年 月 日</w:t>
      </w:r>
    </w:p>
    <w:p w14:paraId="138E2402">
      <w:pP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br w:type="page"/>
      </w:r>
    </w:p>
    <w:p w14:paraId="1FFCE22B">
      <w:pPr>
        <w:rPr>
          <w:rFonts w:hint="eastAsia" w:ascii="宋体" w:hAnsi="宋体"/>
          <w:sz w:val="24"/>
          <w:highlight w:val="none"/>
          <w:lang w:val="en-US" w:eastAsia="zh-CN"/>
        </w:rPr>
      </w:pPr>
      <w:r>
        <w:rPr>
          <w:rFonts w:hint="eastAsia" w:ascii="宋体" w:hAnsi="宋体"/>
          <w:sz w:val="24"/>
          <w:highlight w:val="none"/>
          <w:lang w:val="en-US" w:eastAsia="zh-CN"/>
        </w:rPr>
        <w:t>附件7 服务承诺函</w:t>
      </w:r>
    </w:p>
    <w:p w14:paraId="1D368FCD">
      <w:pPr>
        <w:keepNext w:val="0"/>
        <w:keepLines w:val="0"/>
        <w:widowControl/>
        <w:suppressLineNumbers w:val="0"/>
        <w:jc w:val="left"/>
        <w:rPr>
          <w:rFonts w:hint="eastAsia" w:ascii="宋体" w:hAnsi="宋体" w:eastAsia="宋体" w:cs="宋体"/>
          <w:kern w:val="2"/>
          <w:sz w:val="24"/>
          <w:szCs w:val="24"/>
          <w:highlight w:val="none"/>
          <w:lang w:val="en-US" w:eastAsia="zh-CN" w:bidi="ar-SA"/>
        </w:rPr>
      </w:pPr>
    </w:p>
    <w:p w14:paraId="5D6DE9A9">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37CF0585">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项目名称：XXX项目名称</w:t>
      </w:r>
    </w:p>
    <w:p w14:paraId="35CBEEAF">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中国重汽集团济南动力有限公司：</w:t>
      </w:r>
    </w:p>
    <w:p w14:paraId="3EF02042">
      <w:pPr>
        <w:keepNext w:val="0"/>
        <w:keepLines w:val="0"/>
        <w:pageBreakBefore w:val="0"/>
        <w:widowControl/>
        <w:suppressLineNumbers w:val="0"/>
        <w:kinsoku/>
        <w:wordWrap/>
        <w:overflowPunct/>
        <w:topLinePunct w:val="0"/>
        <w:autoSpaceDE/>
        <w:autoSpaceDN/>
        <w:bidi w:val="0"/>
        <w:adjustRightInd/>
        <w:snapToGrid/>
        <w:spacing w:after="120" w:line="400" w:lineRule="exact"/>
        <w:ind w:firstLine="480" w:firstLineChars="200"/>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我代表（投标人名称）对中标合同产品的服务作如下承诺：</w:t>
      </w:r>
    </w:p>
    <w:p w14:paraId="37B9F22F">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00CE801A">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4BC05B13">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2C756E1A">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5DB4986C">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13C6AD55">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68FC26A6">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3E83FF1E">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14478959">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0F93E711">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335A4118">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70536875">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2226A7BC">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p>
    <w:p w14:paraId="6D442124">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投标人：（盖章）</w:t>
      </w:r>
    </w:p>
    <w:p w14:paraId="7E5CE5B8">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法定代表人（委托代理人）：（签字）</w:t>
      </w:r>
    </w:p>
    <w:p w14:paraId="16EF8558">
      <w:pPr>
        <w:keepNext w:val="0"/>
        <w:keepLines w:val="0"/>
        <w:pageBreakBefore w:val="0"/>
        <w:widowControl/>
        <w:suppressLineNumbers w:val="0"/>
        <w:kinsoku/>
        <w:wordWrap/>
        <w:overflowPunct/>
        <w:topLinePunct w:val="0"/>
        <w:autoSpaceDE/>
        <w:autoSpaceDN/>
        <w:bidi w:val="0"/>
        <w:adjustRightInd/>
        <w:snapToGrid/>
        <w:spacing w:after="120" w:line="400" w:lineRule="exact"/>
        <w:jc w:val="left"/>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日 期： 年 月 日</w:t>
      </w:r>
    </w:p>
    <w:p w14:paraId="40CAFB32">
      <w:pPr>
        <w:pStyle w:val="10"/>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ascii="Times New Roman" w:hAnsi="Times New Roman" w:eastAsia="黑体" w:cs="Times New Roman"/>
          <w:b/>
          <w:bCs/>
          <w:sz w:val="36"/>
          <w:highlight w:val="none"/>
        </w:rPr>
      </w:pPr>
    </w:p>
    <w:p w14:paraId="01AF1D25">
      <w:pPr>
        <w:pStyle w:val="10"/>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ascii="Times New Roman" w:hAnsi="Times New Roman" w:eastAsia="黑体" w:cs="Times New Roman"/>
          <w:b/>
          <w:bCs/>
          <w:sz w:val="36"/>
          <w:highlight w:val="none"/>
        </w:rPr>
      </w:pPr>
      <w:r>
        <w:rPr>
          <w:rFonts w:hint="eastAsia" w:ascii="Times New Roman" w:hAnsi="Times New Roman" w:eastAsia="黑体" w:cs="Times New Roman"/>
          <w:b/>
          <w:bCs/>
          <w:sz w:val="36"/>
          <w:highlight w:val="none"/>
        </w:rPr>
        <w:t xml:space="preserve"> </w:t>
      </w:r>
    </w:p>
    <w:p w14:paraId="18EA9B75">
      <w:pPr>
        <w:rPr>
          <w:rFonts w:eastAsia="黑体"/>
          <w:b/>
          <w:bCs/>
          <w:sz w:val="36"/>
          <w:szCs w:val="22"/>
          <w:highlight w:val="none"/>
        </w:rPr>
      </w:pPr>
      <w:r>
        <w:rPr>
          <w:rFonts w:hint="eastAsia" w:eastAsia="黑体"/>
          <w:b/>
          <w:bCs/>
          <w:sz w:val="36"/>
          <w:szCs w:val="22"/>
          <w:highlight w:val="none"/>
        </w:rPr>
        <w:br w:type="page"/>
      </w:r>
    </w:p>
    <w:p w14:paraId="44952A1A">
      <w:pPr>
        <w:pStyle w:val="10"/>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1"/>
        <w:rPr>
          <w:rFonts w:hAnsi="宋体"/>
          <w:b/>
          <w:bCs/>
          <w:sz w:val="36"/>
          <w:szCs w:val="36"/>
          <w:highlight w:val="none"/>
        </w:rPr>
      </w:pPr>
      <w:r>
        <w:rPr>
          <w:rFonts w:hint="eastAsia" w:ascii="Times New Roman" w:hAnsi="Times New Roman" w:eastAsia="黑体" w:cs="Times New Roman"/>
          <w:b/>
          <w:bCs/>
          <w:sz w:val="32"/>
          <w:szCs w:val="21"/>
          <w:highlight w:val="none"/>
        </w:rPr>
        <w:t>技术协议书</w:t>
      </w:r>
    </w:p>
    <w:p w14:paraId="5AEF23F8">
      <w:pPr>
        <w:pStyle w:val="10"/>
        <w:keepNext w:val="0"/>
        <w:keepLines w:val="0"/>
        <w:pageBreakBefore w:val="0"/>
        <w:widowControl w:val="0"/>
        <w:kinsoku/>
        <w:wordWrap/>
        <w:overflowPunct/>
        <w:topLinePunct w:val="0"/>
        <w:autoSpaceDE/>
        <w:autoSpaceDN/>
        <w:bidi w:val="0"/>
        <w:adjustRightInd/>
        <w:snapToGrid/>
        <w:spacing w:line="500" w:lineRule="exact"/>
        <w:ind w:left="1031" w:leftChars="200" w:hanging="611" w:hangingChars="290"/>
        <w:textAlignment w:val="auto"/>
        <w:outlineLvl w:val="1"/>
        <w:rPr>
          <w:rFonts w:ascii="黑体" w:hAnsi="黑体" w:eastAsia="黑体"/>
          <w:highlight w:val="none"/>
        </w:rPr>
      </w:pPr>
      <w:r>
        <w:rPr>
          <w:rFonts w:hint="eastAsia" w:ascii="黑体" w:hAnsi="黑体" w:eastAsia="黑体"/>
          <w:b/>
          <w:bCs/>
          <w:highlight w:val="none"/>
        </w:rPr>
        <w:t>一、项目名称</w:t>
      </w:r>
    </w:p>
    <w:p w14:paraId="331A63C0">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highlight w:val="none"/>
        </w:rPr>
      </w:pPr>
      <w:r>
        <w:rPr>
          <w:rFonts w:hint="eastAsia" w:ascii="宋体" w:hAnsi="Courier New"/>
          <w:highlight w:val="none"/>
          <w:lang w:eastAsia="zh-CN"/>
        </w:rPr>
        <w:t>中国重汽</w:t>
      </w:r>
      <w:r>
        <w:rPr>
          <w:rFonts w:hint="eastAsia" w:ascii="宋体" w:hAnsi="Courier New"/>
          <w:highlight w:val="none"/>
          <w:lang w:val="en-US" w:eastAsia="zh-CN"/>
        </w:rPr>
        <w:t>集团新晋领导干部专业素质常态化培训</w:t>
      </w:r>
      <w:r>
        <w:rPr>
          <w:rFonts w:hint="eastAsia" w:ascii="宋体" w:hAnsi="Courier New"/>
          <w:highlight w:val="none"/>
          <w:lang w:eastAsia="zh-CN"/>
        </w:rPr>
        <w:t>项目。</w:t>
      </w:r>
    </w:p>
    <w:p w14:paraId="51E9BD89">
      <w:pPr>
        <w:keepNext w:val="0"/>
        <w:keepLines w:val="0"/>
        <w:pageBreakBefore w:val="0"/>
        <w:widowControl w:val="0"/>
        <w:kinsoku/>
        <w:wordWrap/>
        <w:overflowPunct/>
        <w:topLinePunct w:val="0"/>
        <w:autoSpaceDE/>
        <w:autoSpaceDN/>
        <w:bidi w:val="0"/>
        <w:adjustRightInd/>
        <w:snapToGrid/>
        <w:spacing w:line="500" w:lineRule="exact"/>
        <w:ind w:firstLine="422" w:firstLineChars="200"/>
        <w:textAlignment w:val="auto"/>
        <w:outlineLvl w:val="1"/>
        <w:rPr>
          <w:rFonts w:ascii="黑体" w:hAnsi="黑体" w:eastAsia="黑体"/>
          <w:b/>
          <w:bCs/>
          <w:highlight w:val="none"/>
        </w:rPr>
      </w:pPr>
      <w:r>
        <w:rPr>
          <w:rFonts w:hint="eastAsia" w:ascii="黑体" w:hAnsi="黑体" w:eastAsia="黑体" w:cstheme="minorBidi"/>
          <w:b/>
          <w:bCs/>
          <w:szCs w:val="22"/>
          <w:highlight w:val="none"/>
        </w:rPr>
        <w:t>二、标的组成及分类</w:t>
      </w:r>
    </w:p>
    <w:p w14:paraId="101E0DFB">
      <w:pPr>
        <w:pStyle w:val="10"/>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highlight w:val="none"/>
          <w:lang w:val="en-US" w:eastAsia="zh-CN"/>
        </w:rPr>
      </w:pPr>
      <w:r>
        <w:rPr>
          <w:rFonts w:hint="eastAsia" w:ascii="宋体" w:hAnsi="Courier New"/>
          <w:highlight w:val="none"/>
          <w:lang w:eastAsia="zh-CN"/>
        </w:rPr>
        <w:t>中国重汽</w:t>
      </w:r>
      <w:r>
        <w:rPr>
          <w:rFonts w:hint="eastAsia" w:ascii="宋体" w:hAnsi="Courier New"/>
          <w:highlight w:val="none"/>
          <w:lang w:val="en-US" w:eastAsia="zh-CN"/>
        </w:rPr>
        <w:t>集团新晋领导干部专业素质常态化培训</w:t>
      </w:r>
      <w:r>
        <w:rPr>
          <w:rFonts w:hint="eastAsia"/>
          <w:highlight w:val="none"/>
          <w:lang w:eastAsia="zh-CN"/>
        </w:rPr>
        <w:t>项目，具体内容如下：</w:t>
      </w:r>
    </w:p>
    <w:p w14:paraId="37D3AEEF">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outlineLvl w:val="1"/>
        <w:rPr>
          <w:rFonts w:hint="eastAsia" w:ascii="黑体" w:hAnsi="黑体" w:eastAsia="黑体" w:cstheme="minorBidi"/>
          <w:b/>
          <w:bCs/>
          <w:szCs w:val="22"/>
          <w:highlight w:val="none"/>
        </w:rPr>
      </w:pPr>
      <w:r>
        <w:rPr>
          <w:rFonts w:hint="eastAsia" w:ascii="黑体" w:hAnsi="黑体" w:eastAsia="黑体" w:cstheme="minorBidi"/>
          <w:b/>
          <w:bCs/>
          <w:szCs w:val="22"/>
          <w:highlight w:val="none"/>
        </w:rPr>
        <w:t>三、技术要求</w:t>
      </w:r>
    </w:p>
    <w:p w14:paraId="361D46D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outlineLvl w:val="1"/>
        <w:rPr>
          <w:rFonts w:hint="default" w:ascii="宋体" w:hAnsi="Courier New" w:eastAsia="宋体" w:cstheme="minorBidi"/>
          <w:kern w:val="2"/>
          <w:sz w:val="21"/>
          <w:szCs w:val="22"/>
          <w:highlight w:val="none"/>
          <w:lang w:val="en-US" w:eastAsia="zh-CN" w:bidi="ar-SA"/>
        </w:rPr>
      </w:pPr>
      <w:r>
        <w:rPr>
          <w:rFonts w:hint="eastAsia" w:ascii="宋体" w:hAnsi="Courier New" w:eastAsia="宋体" w:cstheme="minorBidi"/>
          <w:kern w:val="2"/>
          <w:sz w:val="21"/>
          <w:szCs w:val="22"/>
          <w:highlight w:val="none"/>
          <w:lang w:val="en-US" w:eastAsia="zh-CN" w:bidi="ar-SA"/>
        </w:rPr>
        <w:t>招标信息一览表：</w:t>
      </w:r>
    </w:p>
    <w:tbl>
      <w:tblPr>
        <w:tblStyle w:val="20"/>
        <w:tblpPr w:leftFromText="180" w:rightFromText="180" w:vertAnchor="text" w:horzAnchor="page" w:tblpX="874" w:tblpY="230"/>
        <w:tblOverlap w:val="never"/>
        <w:tblW w:w="105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396"/>
        <w:gridCol w:w="1308"/>
        <w:gridCol w:w="995"/>
        <w:gridCol w:w="713"/>
        <w:gridCol w:w="1300"/>
        <w:gridCol w:w="3788"/>
      </w:tblGrid>
      <w:tr w14:paraId="05D13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4" w:hRule="atLeast"/>
          <w:jc w:val="center"/>
        </w:trPr>
        <w:tc>
          <w:tcPr>
            <w:tcW w:w="2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1427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黑体" w:hAnsi="宋体" w:eastAsia="黑体" w:cs="黑体"/>
                <w:b/>
                <w:bCs/>
                <w:i w:val="0"/>
                <w:iCs w:val="0"/>
                <w:color w:val="000000"/>
                <w:sz w:val="18"/>
                <w:szCs w:val="18"/>
                <w:highlight w:val="none"/>
                <w:u w:val="none"/>
              </w:rPr>
            </w:pPr>
            <w:r>
              <w:rPr>
                <w:rFonts w:hint="eastAsia" w:ascii="黑体" w:hAnsi="宋体" w:eastAsia="黑体" w:cs="黑体"/>
                <w:b/>
                <w:bCs/>
                <w:i w:val="0"/>
                <w:iCs w:val="0"/>
                <w:color w:val="000000"/>
                <w:kern w:val="0"/>
                <w:sz w:val="18"/>
                <w:szCs w:val="18"/>
                <w:highlight w:val="none"/>
                <w:u w:val="none"/>
                <w:lang w:val="en-US" w:eastAsia="zh-CN" w:bidi="ar"/>
              </w:rPr>
              <w:t>项目</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A7C8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黑体" w:hAnsi="宋体" w:eastAsia="黑体" w:cs="黑体"/>
                <w:b/>
                <w:bCs/>
                <w:i w:val="0"/>
                <w:iCs w:val="0"/>
                <w:color w:val="000000"/>
                <w:kern w:val="0"/>
                <w:sz w:val="18"/>
                <w:szCs w:val="18"/>
                <w:highlight w:val="none"/>
                <w:u w:val="none"/>
                <w:lang w:val="en-US" w:eastAsia="zh-CN" w:bidi="ar"/>
              </w:rPr>
            </w:pPr>
            <w:r>
              <w:rPr>
                <w:rFonts w:hint="eastAsia" w:ascii="黑体" w:hAnsi="宋体" w:eastAsia="黑体" w:cs="黑体"/>
                <w:b/>
                <w:bCs/>
                <w:i w:val="0"/>
                <w:iCs w:val="0"/>
                <w:color w:val="000000"/>
                <w:kern w:val="0"/>
                <w:sz w:val="18"/>
                <w:szCs w:val="18"/>
                <w:highlight w:val="none"/>
                <w:u w:val="none"/>
                <w:lang w:val="en-US" w:eastAsia="zh-CN" w:bidi="ar"/>
              </w:rPr>
              <w:t>培训形式</w:t>
            </w:r>
          </w:p>
        </w:tc>
        <w:tc>
          <w:tcPr>
            <w:tcW w:w="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47C5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b/>
                <w:bCs/>
                <w:i w:val="0"/>
                <w:iCs w:val="0"/>
                <w:color w:val="000000"/>
                <w:sz w:val="18"/>
                <w:szCs w:val="18"/>
                <w:highlight w:val="none"/>
                <w:u w:val="none"/>
              </w:rPr>
            </w:pPr>
            <w:r>
              <w:rPr>
                <w:rFonts w:hint="eastAsia" w:ascii="黑体" w:hAnsi="宋体" w:eastAsia="黑体" w:cs="黑体"/>
                <w:b/>
                <w:bCs/>
                <w:i w:val="0"/>
                <w:iCs w:val="0"/>
                <w:color w:val="000000"/>
                <w:kern w:val="0"/>
                <w:sz w:val="18"/>
                <w:szCs w:val="18"/>
                <w:highlight w:val="none"/>
                <w:u w:val="none"/>
                <w:lang w:val="en-US" w:eastAsia="zh-CN" w:bidi="ar"/>
              </w:rPr>
              <w:t>计量单位</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8930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b/>
                <w:bCs/>
                <w:i w:val="0"/>
                <w:iCs w:val="0"/>
                <w:color w:val="000000"/>
                <w:sz w:val="18"/>
                <w:szCs w:val="18"/>
                <w:highlight w:val="none"/>
                <w:u w:val="none"/>
              </w:rPr>
            </w:pPr>
            <w:r>
              <w:rPr>
                <w:rFonts w:hint="eastAsia" w:ascii="黑体" w:hAnsi="宋体" w:eastAsia="黑体" w:cs="黑体"/>
                <w:b/>
                <w:bCs/>
                <w:i w:val="0"/>
                <w:iCs w:val="0"/>
                <w:color w:val="000000"/>
                <w:kern w:val="0"/>
                <w:sz w:val="18"/>
                <w:szCs w:val="18"/>
                <w:highlight w:val="none"/>
                <w:u w:val="none"/>
                <w:lang w:val="en-US" w:eastAsia="zh-CN" w:bidi="ar"/>
              </w:rPr>
              <w:t>数量</w:t>
            </w:r>
          </w:p>
        </w:tc>
        <w:tc>
          <w:tcPr>
            <w:tcW w:w="13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F16E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黑体" w:hAnsi="宋体" w:eastAsia="黑体" w:cs="黑体"/>
                <w:b/>
                <w:bCs/>
                <w:i w:val="0"/>
                <w:iCs w:val="0"/>
                <w:color w:val="000000"/>
                <w:kern w:val="0"/>
                <w:sz w:val="18"/>
                <w:szCs w:val="18"/>
                <w:highlight w:val="none"/>
                <w:u w:val="none"/>
                <w:lang w:val="en-US" w:eastAsia="zh-CN" w:bidi="ar"/>
              </w:rPr>
            </w:pPr>
            <w:r>
              <w:rPr>
                <w:rFonts w:hint="eastAsia" w:ascii="黑体" w:hAnsi="宋体" w:eastAsia="黑体" w:cs="黑体"/>
                <w:b/>
                <w:bCs/>
                <w:i w:val="0"/>
                <w:iCs w:val="0"/>
                <w:color w:val="000000"/>
                <w:kern w:val="0"/>
                <w:sz w:val="18"/>
                <w:szCs w:val="18"/>
                <w:highlight w:val="none"/>
                <w:u w:val="none"/>
                <w:lang w:val="en-US" w:eastAsia="zh-CN" w:bidi="ar"/>
              </w:rPr>
              <w:t>班级设置</w:t>
            </w:r>
          </w:p>
        </w:tc>
        <w:tc>
          <w:tcPr>
            <w:tcW w:w="3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6B5A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宋体" w:eastAsia="黑体" w:cs="黑体"/>
                <w:b/>
                <w:bCs/>
                <w:i w:val="0"/>
                <w:iCs w:val="0"/>
                <w:color w:val="000000"/>
                <w:sz w:val="18"/>
                <w:szCs w:val="18"/>
                <w:highlight w:val="none"/>
                <w:u w:val="none"/>
              </w:rPr>
            </w:pPr>
            <w:r>
              <w:rPr>
                <w:rFonts w:hint="eastAsia" w:ascii="黑体" w:hAnsi="宋体" w:eastAsia="黑体" w:cs="黑体"/>
                <w:b/>
                <w:bCs/>
                <w:i w:val="0"/>
                <w:iCs w:val="0"/>
                <w:color w:val="000000"/>
                <w:kern w:val="0"/>
                <w:sz w:val="18"/>
                <w:szCs w:val="18"/>
                <w:highlight w:val="none"/>
                <w:u w:val="none"/>
                <w:lang w:val="en-US" w:eastAsia="zh-CN" w:bidi="ar"/>
              </w:rPr>
              <w:t>备注</w:t>
            </w:r>
          </w:p>
        </w:tc>
      </w:tr>
      <w:tr w14:paraId="2AD9B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23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632E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eastAsia="宋体" w:cs="宋体"/>
                <w:b/>
                <w:bCs/>
                <w:i w:val="0"/>
                <w:iCs w:val="0"/>
                <w:color w:val="000000"/>
                <w:kern w:val="0"/>
                <w:sz w:val="18"/>
                <w:szCs w:val="18"/>
                <w:highlight w:val="none"/>
                <w:u w:val="none"/>
                <w:lang w:val="en-US" w:eastAsia="zh-CN" w:bidi="ar"/>
              </w:rPr>
              <w:t>外部师资课程</w:t>
            </w:r>
            <w:r>
              <w:rPr>
                <w:rFonts w:hint="eastAsia" w:ascii="宋体" w:hAnsi="宋体" w:eastAsia="宋体" w:cs="宋体"/>
                <w:b/>
                <w:bCs/>
                <w:i w:val="0"/>
                <w:iCs w:val="0"/>
                <w:color w:val="000000"/>
                <w:kern w:val="0"/>
                <w:sz w:val="18"/>
                <w:szCs w:val="18"/>
                <w:highlight w:val="none"/>
                <w:u w:val="none"/>
                <w:lang w:val="en-US" w:eastAsia="zh-CN" w:bidi="ar"/>
              </w:rPr>
              <w:br w:type="textWrapping"/>
            </w:r>
            <w:r>
              <w:rPr>
                <w:rFonts w:hint="eastAsia" w:ascii="宋体" w:hAnsi="宋体" w:eastAsia="宋体" w:cs="宋体"/>
                <w:b/>
                <w:bCs/>
                <w:i w:val="0"/>
                <w:iCs w:val="0"/>
                <w:color w:val="000000"/>
                <w:kern w:val="0"/>
                <w:sz w:val="18"/>
                <w:szCs w:val="18"/>
                <w:highlight w:val="none"/>
                <w:u w:val="none"/>
                <w:lang w:val="en-US" w:eastAsia="zh-CN" w:bidi="ar"/>
              </w:rPr>
              <w:t>共</w:t>
            </w:r>
            <w:r>
              <w:rPr>
                <w:rFonts w:hint="eastAsia" w:ascii="宋体" w:hAnsi="宋体" w:cs="宋体"/>
                <w:b/>
                <w:bCs/>
                <w:i w:val="0"/>
                <w:iCs w:val="0"/>
                <w:color w:val="000000"/>
                <w:kern w:val="0"/>
                <w:sz w:val="18"/>
                <w:szCs w:val="18"/>
                <w:highlight w:val="none"/>
                <w:u w:val="none"/>
                <w:lang w:val="en-US" w:eastAsia="zh-CN" w:bidi="ar"/>
              </w:rPr>
              <w:t>4</w:t>
            </w:r>
            <w:r>
              <w:rPr>
                <w:rFonts w:hint="eastAsia" w:ascii="宋体" w:hAnsi="宋体" w:eastAsia="宋体" w:cs="宋体"/>
                <w:b/>
                <w:bCs/>
                <w:i w:val="0"/>
                <w:iCs w:val="0"/>
                <w:color w:val="000000"/>
                <w:kern w:val="0"/>
                <w:sz w:val="18"/>
                <w:szCs w:val="18"/>
                <w:highlight w:val="none"/>
                <w:u w:val="none"/>
                <w:lang w:val="en-US" w:eastAsia="zh-CN" w:bidi="ar"/>
              </w:rPr>
              <w:t>门课程，包括：</w:t>
            </w:r>
            <w:r>
              <w:rPr>
                <w:rFonts w:hint="eastAsia" w:ascii="宋体" w:hAnsi="宋体" w:cs="宋体"/>
                <w:b/>
                <w:bCs/>
                <w:i w:val="0"/>
                <w:iCs w:val="0"/>
                <w:color w:val="000000"/>
                <w:kern w:val="0"/>
                <w:sz w:val="18"/>
                <w:szCs w:val="18"/>
                <w:highlight w:val="none"/>
                <w:u w:val="none"/>
                <w:lang w:val="en-US" w:eastAsia="zh-CN" w:bidi="ar"/>
              </w:rPr>
              <w:t>习近平</w:t>
            </w:r>
            <w:r>
              <w:rPr>
                <w:rFonts w:hint="eastAsia" w:ascii="宋体" w:hAnsi="宋体" w:eastAsia="宋体" w:cs="宋体"/>
                <w:b/>
                <w:bCs/>
                <w:i w:val="0"/>
                <w:iCs w:val="0"/>
                <w:color w:val="000000"/>
                <w:kern w:val="0"/>
                <w:sz w:val="18"/>
                <w:szCs w:val="18"/>
                <w:highlight w:val="none"/>
                <w:u w:val="none"/>
                <w:lang w:val="en-US" w:eastAsia="zh-CN" w:bidi="ar"/>
              </w:rPr>
              <w:t>党建思想、党史（以史为鉴 开创未来—中国共产党百年奋斗历程与历史经验）、非人力资源经理的人力资源管理、非财务经理的财务管理（财务审批责任）</w:t>
            </w:r>
          </w:p>
        </w:tc>
        <w:tc>
          <w:tcPr>
            <w:tcW w:w="13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5D44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线下集训</w:t>
            </w:r>
          </w:p>
          <w:p w14:paraId="55D6B2B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w:t>
            </w:r>
          </w:p>
          <w:p w14:paraId="41736F5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线上直播</w:t>
            </w:r>
          </w:p>
        </w:tc>
        <w:tc>
          <w:tcPr>
            <w:tcW w:w="9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8D29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sz w:val="18"/>
                <w:szCs w:val="18"/>
                <w:highlight w:val="none"/>
                <w:u w:val="none"/>
                <w:lang w:val="en-US"/>
              </w:rPr>
            </w:pPr>
            <w:r>
              <w:rPr>
                <w:rFonts w:hint="eastAsia" w:ascii="宋体" w:hAnsi="宋体" w:cs="宋体"/>
                <w:i w:val="0"/>
                <w:iCs w:val="0"/>
                <w:color w:val="000000"/>
                <w:kern w:val="0"/>
                <w:sz w:val="18"/>
                <w:szCs w:val="18"/>
                <w:highlight w:val="none"/>
                <w:u w:val="none"/>
                <w:lang w:val="en-US" w:eastAsia="zh-CN" w:bidi="ar"/>
              </w:rPr>
              <w:t>课时</w:t>
            </w:r>
          </w:p>
        </w:tc>
        <w:tc>
          <w:tcPr>
            <w:tcW w:w="7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0885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15</w:t>
            </w:r>
          </w:p>
        </w:tc>
        <w:tc>
          <w:tcPr>
            <w:tcW w:w="1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9137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cs="宋体"/>
                <w:i w:val="0"/>
                <w:iCs w:val="0"/>
                <w:color w:val="000000"/>
                <w:kern w:val="0"/>
                <w:sz w:val="18"/>
                <w:szCs w:val="18"/>
                <w:highlight w:val="none"/>
                <w:u w:val="none"/>
                <w:lang w:val="en-US" w:eastAsia="zh-CN" w:bidi="ar"/>
              </w:rPr>
            </w:pPr>
            <w:r>
              <w:rPr>
                <w:rFonts w:hint="eastAsia" w:ascii="宋体" w:hAnsi="宋体" w:cs="宋体"/>
                <w:i w:val="0"/>
                <w:iCs w:val="0"/>
                <w:color w:val="000000"/>
                <w:kern w:val="0"/>
                <w:sz w:val="18"/>
                <w:szCs w:val="18"/>
                <w:highlight w:val="none"/>
                <w:u w:val="none"/>
                <w:lang w:val="en-US" w:eastAsia="zh-CN" w:bidi="ar"/>
              </w:rPr>
              <w:t>1个班，约400人。其中：约270人线下集训，约130人线上直播</w:t>
            </w:r>
          </w:p>
        </w:tc>
        <w:tc>
          <w:tcPr>
            <w:tcW w:w="3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C1F5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宋体" w:hAnsi="宋体" w:eastAsia="宋体" w:cs="宋体"/>
                <w:i w:val="0"/>
                <w:iCs w:val="0"/>
                <w:color w:val="000000"/>
                <w:sz w:val="18"/>
                <w:szCs w:val="18"/>
                <w:highlight w:val="none"/>
                <w:u w:val="none"/>
                <w:lang w:val="en-US" w:eastAsia="zh-CN"/>
              </w:rPr>
            </w:pPr>
            <w:r>
              <w:rPr>
                <w:rFonts w:hint="eastAsia" w:ascii="宋体" w:hAnsi="宋体" w:cs="宋体"/>
                <w:i w:val="0"/>
                <w:iCs w:val="0"/>
                <w:color w:val="000000"/>
                <w:sz w:val="18"/>
                <w:szCs w:val="18"/>
                <w:highlight w:val="none"/>
                <w:u w:val="none"/>
                <w:lang w:val="en-US" w:eastAsia="zh-CN"/>
              </w:rPr>
              <w:t>本次培训共2天，具体安排详见课程安排。</w:t>
            </w:r>
            <w:r>
              <w:rPr>
                <w:rFonts w:hint="eastAsia" w:ascii="宋体" w:hAnsi="宋体" w:cs="宋体"/>
                <w:i w:val="0"/>
                <w:iCs w:val="0"/>
                <w:color w:val="000000"/>
                <w:sz w:val="18"/>
                <w:szCs w:val="18"/>
                <w:highlight w:val="none"/>
                <w:u w:val="none"/>
                <w:lang w:val="en-US" w:eastAsia="zh-CN"/>
              </w:rPr>
              <w:br w:type="textWrapping"/>
            </w:r>
            <w:r>
              <w:rPr>
                <w:rFonts w:hint="eastAsia" w:ascii="宋体" w:hAnsi="宋体" w:cs="宋体"/>
                <w:i w:val="0"/>
                <w:iCs w:val="0"/>
                <w:color w:val="000000"/>
                <w:sz w:val="18"/>
                <w:szCs w:val="18"/>
                <w:highlight w:val="none"/>
                <w:u w:val="none"/>
                <w:lang w:val="en-US" w:eastAsia="zh-CN"/>
              </w:rPr>
              <w:t>企业文化宣贯、风险管控与合规经营、保密培训、党纪廉洁等内部师资课程由集团内部承担，不纳入本次招标；讲义、餐饮、学习用品等费用不包含在本项目内。</w:t>
            </w:r>
          </w:p>
        </w:tc>
      </w:tr>
    </w:tbl>
    <w:p w14:paraId="506919D9">
      <w:pPr>
        <w:keepNext w:val="0"/>
        <w:keepLines w:val="0"/>
        <w:pageBreakBefore w:val="0"/>
        <w:widowControl w:val="0"/>
        <w:kinsoku/>
        <w:wordWrap/>
        <w:overflowPunct/>
        <w:topLinePunct w:val="0"/>
        <w:autoSpaceDE/>
        <w:autoSpaceDN/>
        <w:bidi w:val="0"/>
        <w:adjustRightInd/>
        <w:snapToGrid/>
        <w:spacing w:line="500" w:lineRule="exact"/>
        <w:ind w:firstLine="422" w:firstLineChars="200"/>
        <w:textAlignment w:val="auto"/>
        <w:outlineLvl w:val="9"/>
        <w:rPr>
          <w:rFonts w:hint="default" w:ascii="宋体" w:hAnsi="Courier New"/>
          <w:b w:val="0"/>
          <w:bCs w:val="0"/>
          <w:highlight w:val="none"/>
          <w:lang w:val="en-US" w:eastAsia="zh-CN"/>
        </w:rPr>
      </w:pPr>
      <w:r>
        <w:rPr>
          <w:rFonts w:hint="eastAsia" w:ascii="宋体" w:hAnsi="Courier New"/>
          <w:b/>
          <w:bCs/>
          <w:highlight w:val="none"/>
          <w:lang w:val="en-US" w:eastAsia="zh-CN"/>
        </w:rPr>
        <w:t>1.课程目标：</w:t>
      </w:r>
      <w:r>
        <w:rPr>
          <w:rFonts w:hint="eastAsia" w:ascii="宋体" w:hAnsi="Courier New"/>
          <w:b w:val="0"/>
          <w:bCs w:val="0"/>
          <w:highlight w:val="none"/>
          <w:lang w:val="en-US" w:eastAsia="zh-CN"/>
        </w:rPr>
        <w:t>本次培训面向2024年以来晋升领导干部约400人，围绕政治铸魂、文化认同、合规经营、廉洁从业、保密教育设置课程，提高专业素质能力，帮助干部快速适应角色转变、筑牢履职“第一课”。</w:t>
      </w:r>
    </w:p>
    <w:p w14:paraId="2FAAB420">
      <w:pPr>
        <w:keepNext w:val="0"/>
        <w:keepLines w:val="0"/>
        <w:pageBreakBefore w:val="0"/>
        <w:widowControl w:val="0"/>
        <w:kinsoku/>
        <w:wordWrap/>
        <w:overflowPunct/>
        <w:topLinePunct w:val="0"/>
        <w:autoSpaceDE/>
        <w:autoSpaceDN/>
        <w:bidi w:val="0"/>
        <w:adjustRightInd/>
        <w:snapToGrid/>
        <w:spacing w:line="500" w:lineRule="exact"/>
        <w:ind w:firstLine="422" w:firstLineChars="200"/>
        <w:textAlignment w:val="auto"/>
        <w:outlineLvl w:val="9"/>
        <w:rPr>
          <w:rFonts w:hint="eastAsia" w:ascii="宋体" w:hAnsi="Courier New"/>
          <w:b w:val="0"/>
          <w:bCs w:val="0"/>
          <w:highlight w:val="none"/>
          <w:lang w:val="en-US" w:eastAsia="zh-CN"/>
        </w:rPr>
      </w:pPr>
      <w:r>
        <w:rPr>
          <w:rFonts w:hint="eastAsia" w:ascii="宋体" w:hAnsi="Courier New"/>
          <w:b/>
          <w:bCs/>
          <w:highlight w:val="none"/>
          <w:lang w:val="en-US" w:eastAsia="zh-CN"/>
        </w:rPr>
        <w:t>2.培训形式：</w:t>
      </w:r>
      <w:r>
        <w:rPr>
          <w:rFonts w:hint="eastAsia" w:ascii="宋体" w:hAnsi="Courier New"/>
          <w:b w:val="0"/>
          <w:bCs w:val="0"/>
          <w:highlight w:val="none"/>
          <w:lang w:val="en-US" w:eastAsia="zh-CN"/>
        </w:rPr>
        <w:t>第一期采用大班集中授课，辅以案例讲解；约400人，培训时长共2天，地点为重汽科技大厦会议室；约270人线下集中参训，约130人线上直播参训。本项目为常态化培训项目，按中标课程、课时单价据实结算。中标后1年内，招标人根据培训计划及报名情况按需组织培训，可以本次招标范围内的任一单门课程（习近平党建思想、党史、非人力资源经理的人力资源管理、非财务经理的财务管理）为单位组织开班，具体培训时间、地点、课程、参训人数等以招标人需求为准。中标人须按课程的中标课时单价、服务标准及本招标文件约定条件承接，不得拒绝服务、降低服务标准或要求上调价格。</w:t>
      </w:r>
    </w:p>
    <w:p w14:paraId="3ADB3ED5">
      <w:pPr>
        <w:keepNext w:val="0"/>
        <w:keepLines w:val="0"/>
        <w:pageBreakBefore w:val="0"/>
        <w:widowControl w:val="0"/>
        <w:kinsoku/>
        <w:wordWrap/>
        <w:overflowPunct/>
        <w:topLinePunct w:val="0"/>
        <w:autoSpaceDE/>
        <w:autoSpaceDN/>
        <w:bidi w:val="0"/>
        <w:adjustRightInd/>
        <w:snapToGrid/>
        <w:spacing w:line="500" w:lineRule="exact"/>
        <w:ind w:firstLine="422" w:firstLineChars="200"/>
        <w:textAlignment w:val="auto"/>
        <w:outlineLvl w:val="9"/>
        <w:rPr>
          <w:rFonts w:hint="default" w:ascii="宋体" w:hAnsi="Courier New"/>
          <w:b w:val="0"/>
          <w:bCs w:val="0"/>
          <w:highlight w:val="none"/>
          <w:lang w:val="en-US" w:eastAsia="zh-CN"/>
        </w:rPr>
      </w:pPr>
      <w:r>
        <w:rPr>
          <w:rFonts w:hint="eastAsia" w:ascii="宋体" w:hAnsi="Courier New"/>
          <w:b/>
          <w:bCs/>
          <w:highlight w:val="none"/>
          <w:lang w:val="en-US" w:eastAsia="zh-CN"/>
        </w:rPr>
        <w:t>3.课程内容要求：</w:t>
      </w:r>
      <w:r>
        <w:rPr>
          <w:rFonts w:hint="eastAsia" w:ascii="宋体" w:hAnsi="Courier New"/>
          <w:b w:val="0"/>
          <w:bCs w:val="0"/>
          <w:highlight w:val="none"/>
          <w:lang w:val="en-US" w:eastAsia="zh-CN"/>
        </w:rPr>
        <w:t>核心策略包含两部分：一是政治铸魂，通过习近平党建思想、党史学习，坚定理想信念、牢记初心使命；二是管理提升，帮助领导干部建立人力、财务思维。</w:t>
      </w:r>
    </w:p>
    <w:p w14:paraId="2D1DFFF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2" w:firstLineChars="200"/>
        <w:textAlignment w:val="auto"/>
        <w:outlineLvl w:val="9"/>
        <w:rPr>
          <w:rFonts w:hint="default" w:ascii="宋体" w:hAnsi="Courier New"/>
          <w:b w:val="0"/>
          <w:bCs w:val="0"/>
          <w:highlight w:val="none"/>
          <w:lang w:val="en-US" w:eastAsia="zh-CN"/>
        </w:rPr>
      </w:pPr>
      <w:r>
        <w:rPr>
          <w:rFonts w:hint="default" w:ascii="宋体" w:hAnsi="Courier New"/>
          <w:b/>
          <w:bCs/>
          <w:highlight w:val="none"/>
          <w:lang w:val="en-US" w:eastAsia="zh-CN"/>
        </w:rPr>
        <w:t>（1）</w:t>
      </w:r>
      <w:r>
        <w:rPr>
          <w:rFonts w:hint="eastAsia" w:ascii="宋体" w:hAnsi="Courier New"/>
          <w:b/>
          <w:bCs/>
          <w:highlight w:val="none"/>
          <w:lang w:val="en-US" w:eastAsia="zh-CN"/>
        </w:rPr>
        <w:t>政治铸魂</w:t>
      </w:r>
      <w:r>
        <w:rPr>
          <w:rFonts w:hint="default" w:ascii="宋体" w:hAnsi="Courier New"/>
          <w:b/>
          <w:bCs/>
          <w:highlight w:val="none"/>
          <w:lang w:val="en-US" w:eastAsia="zh-CN"/>
        </w:rPr>
        <w:t>模块：</w:t>
      </w:r>
      <w:r>
        <w:rPr>
          <w:rFonts w:hint="default" w:ascii="宋体" w:hAnsi="Courier New"/>
          <w:b w:val="0"/>
          <w:bCs w:val="0"/>
          <w:highlight w:val="none"/>
          <w:lang w:val="en-US" w:eastAsia="zh-CN"/>
        </w:rPr>
        <w:t>习近平党建思想、党史（以史为鉴 开创未来——中国共产党百年奋斗历程与历史经验）。系统讲授习近平党建思想核心要义与实践要求，重温讲话精神，回顾党的百年奋斗重大成就与历史经验。</w:t>
      </w:r>
    </w:p>
    <w:p w14:paraId="30D9D76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22" w:firstLineChars="200"/>
        <w:textAlignment w:val="auto"/>
        <w:outlineLvl w:val="9"/>
        <w:rPr>
          <w:rFonts w:hint="eastAsia" w:ascii="宋体" w:hAnsi="Courier New"/>
          <w:b w:val="0"/>
          <w:bCs w:val="0"/>
          <w:highlight w:val="none"/>
          <w:lang w:val="en-US" w:eastAsia="zh-CN"/>
        </w:rPr>
      </w:pPr>
      <w:r>
        <w:rPr>
          <w:rFonts w:hint="eastAsia" w:ascii="宋体" w:hAnsi="Courier New"/>
          <w:b/>
          <w:bCs/>
          <w:highlight w:val="none"/>
          <w:lang w:val="en-US" w:eastAsia="zh-CN"/>
        </w:rPr>
        <w:t>（2）管理提升模块：</w:t>
      </w:r>
      <w:r>
        <w:rPr>
          <w:rFonts w:hint="eastAsia" w:ascii="宋体" w:hAnsi="Courier New"/>
          <w:b w:val="0"/>
          <w:bCs w:val="0"/>
          <w:highlight w:val="none"/>
          <w:lang w:val="en-US" w:eastAsia="zh-CN"/>
        </w:rPr>
        <w:t>非人力资源经理的人力资源管理、非财务经理的财务管理（财务审批责任）。明确经理人人力资源管理第一责任人职责，讲授选人、用人、育人、留人方法，聚焦绩效辅导与员工激励；帮助新晋干部建立财务思维，读懂资产负债表、利润表、现金流量表三张核心报表，规范财务审批行为。</w:t>
      </w:r>
    </w:p>
    <w:p w14:paraId="2AEC23B8">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outlineLvl w:val="9"/>
        <w:rPr>
          <w:rFonts w:hint="eastAsia" w:ascii="宋体" w:hAnsi="Courier New"/>
          <w:b w:val="0"/>
          <w:bCs w:val="0"/>
          <w:highlight w:val="none"/>
          <w:lang w:val="en-US" w:eastAsia="zh-CN"/>
        </w:rPr>
      </w:pPr>
      <w:r>
        <w:rPr>
          <w:rFonts w:hint="eastAsia" w:ascii="宋体" w:hAnsi="Courier New"/>
          <w:b w:val="0"/>
          <w:bCs w:val="0"/>
          <w:highlight w:val="none"/>
          <w:lang w:val="en-US" w:eastAsia="zh-CN"/>
        </w:rPr>
        <w:t>课程安排及产出成果详见下表（内部师资课程不纳入本次招标）：</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1128"/>
        <w:gridCol w:w="2588"/>
        <w:gridCol w:w="3905"/>
        <w:gridCol w:w="611"/>
      </w:tblGrid>
      <w:tr w14:paraId="7F711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 w:type="dxa"/>
            <w:vAlign w:val="center"/>
          </w:tcPr>
          <w:p w14:paraId="2CB3204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黑体" w:hAnsi="宋体" w:eastAsia="黑体" w:cs="黑体"/>
                <w:b/>
                <w:bCs/>
                <w:i w:val="0"/>
                <w:iCs w:val="0"/>
                <w:color w:val="000000"/>
                <w:kern w:val="0"/>
                <w:sz w:val="18"/>
                <w:szCs w:val="18"/>
                <w:highlight w:val="none"/>
                <w:u w:val="none"/>
                <w:lang w:val="en-US" w:eastAsia="zh-CN" w:bidi="ar"/>
              </w:rPr>
            </w:pPr>
            <w:r>
              <w:rPr>
                <w:rFonts w:hint="eastAsia" w:ascii="黑体" w:hAnsi="宋体" w:eastAsia="黑体" w:cs="黑体"/>
                <w:b/>
                <w:bCs/>
                <w:i w:val="0"/>
                <w:iCs w:val="0"/>
                <w:color w:val="000000"/>
                <w:kern w:val="0"/>
                <w:sz w:val="18"/>
                <w:szCs w:val="18"/>
                <w:highlight w:val="none"/>
                <w:u w:val="none"/>
                <w:lang w:val="en-US" w:eastAsia="zh-CN" w:bidi="ar"/>
              </w:rPr>
              <w:t>日期</w:t>
            </w:r>
          </w:p>
        </w:tc>
        <w:tc>
          <w:tcPr>
            <w:tcW w:w="1128" w:type="dxa"/>
            <w:vAlign w:val="center"/>
          </w:tcPr>
          <w:p w14:paraId="7676D39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黑体" w:hAnsi="宋体" w:eastAsia="黑体" w:cs="黑体"/>
                <w:b/>
                <w:bCs/>
                <w:i w:val="0"/>
                <w:iCs w:val="0"/>
                <w:color w:val="000000"/>
                <w:kern w:val="0"/>
                <w:sz w:val="18"/>
                <w:szCs w:val="18"/>
                <w:highlight w:val="none"/>
                <w:u w:val="none"/>
                <w:lang w:val="en-US" w:eastAsia="zh-CN" w:bidi="ar"/>
              </w:rPr>
            </w:pPr>
            <w:r>
              <w:rPr>
                <w:rFonts w:hint="eastAsia" w:ascii="黑体" w:hAnsi="宋体" w:eastAsia="黑体" w:cs="黑体"/>
                <w:b/>
                <w:bCs/>
                <w:i w:val="0"/>
                <w:iCs w:val="0"/>
                <w:color w:val="000000"/>
                <w:kern w:val="0"/>
                <w:sz w:val="18"/>
                <w:szCs w:val="18"/>
                <w:highlight w:val="none"/>
                <w:u w:val="none"/>
                <w:lang w:val="en-US" w:eastAsia="zh-CN" w:bidi="ar"/>
              </w:rPr>
              <w:t>时间</w:t>
            </w:r>
          </w:p>
        </w:tc>
        <w:tc>
          <w:tcPr>
            <w:tcW w:w="2588" w:type="dxa"/>
            <w:vAlign w:val="center"/>
          </w:tcPr>
          <w:p w14:paraId="6F6FA72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黑体" w:hAnsi="宋体" w:eastAsia="黑体" w:cs="黑体"/>
                <w:b/>
                <w:bCs/>
                <w:i w:val="0"/>
                <w:iCs w:val="0"/>
                <w:color w:val="000000"/>
                <w:kern w:val="0"/>
                <w:sz w:val="18"/>
                <w:szCs w:val="18"/>
                <w:highlight w:val="none"/>
                <w:u w:val="none"/>
                <w:lang w:val="en-US" w:eastAsia="zh-CN" w:bidi="ar"/>
              </w:rPr>
            </w:pPr>
            <w:r>
              <w:rPr>
                <w:rFonts w:hint="eastAsia" w:ascii="黑体" w:hAnsi="宋体" w:eastAsia="黑体" w:cs="黑体"/>
                <w:b/>
                <w:bCs/>
                <w:i w:val="0"/>
                <w:iCs w:val="0"/>
                <w:color w:val="000000"/>
                <w:kern w:val="0"/>
                <w:sz w:val="18"/>
                <w:szCs w:val="18"/>
                <w:highlight w:val="none"/>
                <w:u w:val="none"/>
                <w:lang w:val="en-US" w:eastAsia="zh-CN" w:bidi="ar"/>
              </w:rPr>
              <w:t>培训课程安排</w:t>
            </w:r>
          </w:p>
        </w:tc>
        <w:tc>
          <w:tcPr>
            <w:tcW w:w="3905" w:type="dxa"/>
            <w:vAlign w:val="center"/>
          </w:tcPr>
          <w:p w14:paraId="6A3B7E0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黑体" w:hAnsi="宋体" w:eastAsia="黑体" w:cs="黑体"/>
                <w:b/>
                <w:bCs/>
                <w:i w:val="0"/>
                <w:iCs w:val="0"/>
                <w:color w:val="000000"/>
                <w:kern w:val="0"/>
                <w:sz w:val="18"/>
                <w:szCs w:val="18"/>
                <w:highlight w:val="none"/>
                <w:u w:val="none"/>
                <w:lang w:val="en-US" w:eastAsia="zh-CN" w:bidi="ar"/>
              </w:rPr>
            </w:pPr>
            <w:r>
              <w:rPr>
                <w:rFonts w:hint="eastAsia" w:ascii="黑体" w:hAnsi="宋体" w:eastAsia="黑体" w:cs="黑体"/>
                <w:b/>
                <w:bCs/>
                <w:i w:val="0"/>
                <w:iCs w:val="0"/>
                <w:color w:val="000000"/>
                <w:kern w:val="0"/>
                <w:sz w:val="18"/>
                <w:szCs w:val="18"/>
                <w:highlight w:val="none"/>
                <w:u w:val="none"/>
                <w:lang w:val="en-US" w:eastAsia="zh-CN" w:bidi="ar"/>
              </w:rPr>
              <w:t>核心内容与形式</w:t>
            </w:r>
          </w:p>
        </w:tc>
        <w:tc>
          <w:tcPr>
            <w:tcW w:w="611" w:type="dxa"/>
            <w:vAlign w:val="center"/>
          </w:tcPr>
          <w:p w14:paraId="1F0A13D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黑体" w:hAnsi="宋体" w:eastAsia="黑体" w:cs="黑体"/>
                <w:b/>
                <w:bCs/>
                <w:i w:val="0"/>
                <w:iCs w:val="0"/>
                <w:color w:val="000000"/>
                <w:kern w:val="0"/>
                <w:sz w:val="18"/>
                <w:szCs w:val="18"/>
                <w:highlight w:val="none"/>
                <w:u w:val="none"/>
                <w:lang w:val="en-US" w:eastAsia="zh-CN" w:bidi="ar"/>
              </w:rPr>
            </w:pPr>
            <w:r>
              <w:rPr>
                <w:rFonts w:hint="eastAsia" w:ascii="黑体" w:hAnsi="宋体" w:eastAsia="黑体" w:cs="黑体"/>
                <w:b/>
                <w:bCs/>
                <w:i w:val="0"/>
                <w:iCs w:val="0"/>
                <w:color w:val="000000"/>
                <w:kern w:val="0"/>
                <w:sz w:val="18"/>
                <w:szCs w:val="18"/>
                <w:highlight w:val="none"/>
                <w:u w:val="none"/>
                <w:lang w:val="en-US" w:eastAsia="zh-CN" w:bidi="ar"/>
              </w:rPr>
              <w:t>课时</w:t>
            </w:r>
          </w:p>
        </w:tc>
      </w:tr>
      <w:tr w14:paraId="3469E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 w:type="dxa"/>
            <w:vMerge w:val="restart"/>
            <w:vAlign w:val="center"/>
          </w:tcPr>
          <w:p w14:paraId="5ACF706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i w:val="0"/>
                <w:iCs w:val="0"/>
                <w:color w:val="000000"/>
                <w:kern w:val="0"/>
                <w:sz w:val="18"/>
                <w:szCs w:val="18"/>
                <w:highlight w:val="none"/>
                <w:u w:val="none"/>
                <w:lang w:val="en-US" w:eastAsia="zh-CN" w:bidi="ar"/>
              </w:rPr>
            </w:pPr>
            <w:r>
              <w:rPr>
                <w:rFonts w:hint="eastAsia" w:ascii="宋体" w:hAnsi="宋体" w:cs="宋体"/>
                <w:b/>
                <w:bCs/>
                <w:i w:val="0"/>
                <w:iCs w:val="0"/>
                <w:color w:val="000000"/>
                <w:kern w:val="0"/>
                <w:sz w:val="18"/>
                <w:szCs w:val="18"/>
                <w:highlight w:val="none"/>
                <w:u w:val="none"/>
                <w:lang w:val="en-US" w:eastAsia="zh-CN" w:bidi="ar"/>
              </w:rPr>
              <w:t>10月13日</w:t>
            </w:r>
          </w:p>
        </w:tc>
        <w:tc>
          <w:tcPr>
            <w:tcW w:w="1128" w:type="dxa"/>
            <w:vAlign w:val="center"/>
          </w:tcPr>
          <w:p w14:paraId="67CA3BC8">
            <w:pPr>
              <w:jc w:val="center"/>
              <w:rPr>
                <w:highlight w:val="none"/>
              </w:rPr>
            </w:pPr>
            <w:r>
              <w:rPr>
                <w:rFonts w:hint="eastAsia" w:ascii="宋体" w:hAnsi="Courier New"/>
                <w:b w:val="0"/>
                <w:bCs w:val="0"/>
                <w:sz w:val="18"/>
                <w:szCs w:val="18"/>
                <w:highlight w:val="none"/>
                <w:vertAlign w:val="baseline"/>
                <w:lang w:val="en-US" w:eastAsia="zh-CN"/>
              </w:rPr>
              <w:t>09:00-11:00</w:t>
            </w:r>
          </w:p>
        </w:tc>
        <w:tc>
          <w:tcPr>
            <w:tcW w:w="2588" w:type="dxa"/>
            <w:vAlign w:val="center"/>
          </w:tcPr>
          <w:p w14:paraId="5BD1E0FB">
            <w:pPr>
              <w:jc w:val="center"/>
              <w:rPr>
                <w:highlight w:val="none"/>
              </w:rPr>
            </w:pPr>
            <w:r>
              <w:rPr>
                <w:rFonts w:hint="eastAsia" w:ascii="宋体" w:hAnsi="Courier New"/>
                <w:b w:val="0"/>
                <w:bCs w:val="0"/>
                <w:sz w:val="18"/>
                <w:szCs w:val="18"/>
                <w:highlight w:val="none"/>
                <w:vertAlign w:val="baseline"/>
                <w:lang w:val="en-US" w:eastAsia="zh-CN"/>
              </w:rPr>
              <w:t>习近平党建思想</w:t>
            </w:r>
          </w:p>
        </w:tc>
        <w:tc>
          <w:tcPr>
            <w:tcW w:w="3905" w:type="dxa"/>
            <w:vAlign w:val="center"/>
          </w:tcPr>
          <w:p w14:paraId="194E2833">
            <w:pPr>
              <w:jc w:val="both"/>
              <w:rPr>
                <w:highlight w:val="none"/>
              </w:rPr>
            </w:pPr>
            <w:r>
              <w:rPr>
                <w:rFonts w:hint="eastAsia" w:ascii="宋体" w:hAnsi="Courier New"/>
                <w:b w:val="0"/>
                <w:bCs w:val="0"/>
                <w:sz w:val="18"/>
                <w:szCs w:val="18"/>
                <w:highlight w:val="none"/>
                <w:vertAlign w:val="baseline"/>
                <w:lang w:val="en-US" w:eastAsia="zh-CN"/>
              </w:rPr>
              <w:t>系统讲授习近平党建思想的核心要义与实践要求，深入领会习近平党建思想深刻内涵。</w:t>
            </w:r>
          </w:p>
        </w:tc>
        <w:tc>
          <w:tcPr>
            <w:tcW w:w="611" w:type="dxa"/>
            <w:vAlign w:val="center"/>
          </w:tcPr>
          <w:p w14:paraId="138AAFF9">
            <w:pPr>
              <w:jc w:val="center"/>
              <w:rPr>
                <w:rFonts w:hint="default"/>
                <w:highlight w:val="none"/>
                <w:lang w:val="en-US"/>
              </w:rPr>
            </w:pPr>
            <w:r>
              <w:rPr>
                <w:rFonts w:hint="eastAsia" w:ascii="宋体" w:hAnsi="Courier New"/>
                <w:b w:val="0"/>
                <w:bCs w:val="0"/>
                <w:sz w:val="18"/>
                <w:szCs w:val="18"/>
                <w:highlight w:val="none"/>
                <w:vertAlign w:val="baseline"/>
                <w:lang w:val="en-US" w:eastAsia="zh-CN"/>
              </w:rPr>
              <w:t>2</w:t>
            </w:r>
          </w:p>
        </w:tc>
      </w:tr>
      <w:tr w14:paraId="03B33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 w:type="dxa"/>
            <w:vMerge w:val="continue"/>
            <w:vAlign w:val="center"/>
          </w:tcPr>
          <w:p w14:paraId="50A9C7B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kern w:val="0"/>
                <w:sz w:val="18"/>
                <w:szCs w:val="18"/>
                <w:highlight w:val="none"/>
                <w:u w:val="none"/>
                <w:lang w:val="en-US" w:eastAsia="zh-CN" w:bidi="ar"/>
              </w:rPr>
            </w:pPr>
          </w:p>
        </w:tc>
        <w:tc>
          <w:tcPr>
            <w:tcW w:w="1128" w:type="dxa"/>
            <w:vAlign w:val="center"/>
          </w:tcPr>
          <w:p w14:paraId="13CE9287">
            <w:pPr>
              <w:jc w:val="center"/>
              <w:rPr>
                <w:highlight w:val="none"/>
              </w:rPr>
            </w:pPr>
            <w:r>
              <w:rPr>
                <w:rFonts w:hint="eastAsia" w:ascii="宋体" w:hAnsi="Courier New"/>
                <w:b w:val="0"/>
                <w:bCs w:val="0"/>
                <w:sz w:val="18"/>
                <w:szCs w:val="18"/>
                <w:highlight w:val="none"/>
                <w:vertAlign w:val="baseline"/>
                <w:lang w:val="en-US" w:eastAsia="zh-CN"/>
              </w:rPr>
              <w:t>13:30-17:30</w:t>
            </w:r>
          </w:p>
        </w:tc>
        <w:tc>
          <w:tcPr>
            <w:tcW w:w="2588" w:type="dxa"/>
            <w:vAlign w:val="center"/>
          </w:tcPr>
          <w:p w14:paraId="7AE30A87">
            <w:pPr>
              <w:jc w:val="center"/>
              <w:rPr>
                <w:highlight w:val="none"/>
              </w:rPr>
            </w:pPr>
            <w:r>
              <w:rPr>
                <w:rFonts w:hint="eastAsia" w:ascii="宋体" w:hAnsi="Courier New"/>
                <w:b w:val="0"/>
                <w:bCs w:val="0"/>
                <w:sz w:val="18"/>
                <w:szCs w:val="18"/>
                <w:highlight w:val="none"/>
                <w:vertAlign w:val="baseline"/>
                <w:lang w:val="en-US" w:eastAsia="zh-CN"/>
              </w:rPr>
              <w:t>党史：以史为鉴 开创未来——中国共产党百年奋斗历程与历史经验</w:t>
            </w:r>
          </w:p>
        </w:tc>
        <w:tc>
          <w:tcPr>
            <w:tcW w:w="3905" w:type="dxa"/>
            <w:vAlign w:val="center"/>
          </w:tcPr>
          <w:p w14:paraId="32CE18CF">
            <w:pPr>
              <w:jc w:val="both"/>
              <w:rPr>
                <w:highlight w:val="none"/>
              </w:rPr>
            </w:pPr>
            <w:r>
              <w:rPr>
                <w:rFonts w:hint="eastAsia" w:ascii="宋体" w:hAnsi="Courier New"/>
                <w:b w:val="0"/>
                <w:bCs w:val="0"/>
                <w:sz w:val="18"/>
                <w:szCs w:val="18"/>
                <w:highlight w:val="none"/>
                <w:vertAlign w:val="baseline"/>
                <w:lang w:val="en-US" w:eastAsia="zh-CN"/>
              </w:rPr>
              <w:t>系统回顾党的百年奋斗重大成就，深入解读“十个坚持”历史经验，引导干部坚定理想信念、牢记初心使命</w:t>
            </w:r>
          </w:p>
        </w:tc>
        <w:tc>
          <w:tcPr>
            <w:tcW w:w="611" w:type="dxa"/>
            <w:vAlign w:val="center"/>
          </w:tcPr>
          <w:p w14:paraId="5BC62509">
            <w:pPr>
              <w:jc w:val="center"/>
              <w:rPr>
                <w:highlight w:val="none"/>
              </w:rPr>
            </w:pPr>
            <w:r>
              <w:rPr>
                <w:rFonts w:hint="eastAsia" w:ascii="宋体" w:hAnsi="Courier New"/>
                <w:b w:val="0"/>
                <w:bCs w:val="0"/>
                <w:sz w:val="18"/>
                <w:szCs w:val="18"/>
                <w:highlight w:val="none"/>
                <w:vertAlign w:val="baseline"/>
                <w:lang w:val="en-US" w:eastAsia="zh-CN"/>
              </w:rPr>
              <w:t>4</w:t>
            </w:r>
          </w:p>
        </w:tc>
      </w:tr>
      <w:tr w14:paraId="5A8B6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 w:type="dxa"/>
            <w:vMerge w:val="restart"/>
            <w:vAlign w:val="center"/>
          </w:tcPr>
          <w:p w14:paraId="2D91D5D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kern w:val="0"/>
                <w:sz w:val="18"/>
                <w:szCs w:val="18"/>
                <w:highlight w:val="none"/>
                <w:u w:val="none"/>
                <w:lang w:val="en-US" w:eastAsia="zh-CN" w:bidi="ar"/>
              </w:rPr>
            </w:pPr>
            <w:r>
              <w:rPr>
                <w:rFonts w:hint="eastAsia" w:ascii="宋体" w:hAnsi="宋体" w:cs="宋体"/>
                <w:b/>
                <w:bCs/>
                <w:i w:val="0"/>
                <w:iCs w:val="0"/>
                <w:color w:val="000000"/>
                <w:kern w:val="0"/>
                <w:sz w:val="18"/>
                <w:szCs w:val="18"/>
                <w:highlight w:val="none"/>
                <w:u w:val="none"/>
                <w:lang w:val="en-US" w:eastAsia="zh-CN" w:bidi="ar"/>
              </w:rPr>
              <w:t>10月14日</w:t>
            </w:r>
          </w:p>
        </w:tc>
        <w:tc>
          <w:tcPr>
            <w:tcW w:w="1128" w:type="dxa"/>
            <w:vAlign w:val="center"/>
          </w:tcPr>
          <w:p w14:paraId="2EC64F79">
            <w:pPr>
              <w:jc w:val="center"/>
              <w:rPr>
                <w:highlight w:val="none"/>
              </w:rPr>
            </w:pPr>
            <w:r>
              <w:rPr>
                <w:rFonts w:hint="eastAsia" w:ascii="宋体" w:hAnsi="Courier New"/>
                <w:b w:val="0"/>
                <w:bCs w:val="0"/>
                <w:sz w:val="18"/>
                <w:szCs w:val="18"/>
                <w:highlight w:val="none"/>
                <w:vertAlign w:val="baseline"/>
                <w:lang w:val="en-US" w:eastAsia="zh-CN"/>
              </w:rPr>
              <w:t>08:30-11:30</w:t>
            </w:r>
          </w:p>
        </w:tc>
        <w:tc>
          <w:tcPr>
            <w:tcW w:w="2588" w:type="dxa"/>
            <w:vAlign w:val="center"/>
          </w:tcPr>
          <w:p w14:paraId="0639BAFC">
            <w:pPr>
              <w:jc w:val="center"/>
              <w:rPr>
                <w:rFonts w:hint="eastAsia" w:ascii="宋体" w:hAnsi="Courier New"/>
                <w:b w:val="0"/>
                <w:bCs w:val="0"/>
                <w:sz w:val="18"/>
                <w:szCs w:val="18"/>
                <w:highlight w:val="none"/>
                <w:vertAlign w:val="baseline"/>
                <w:lang w:val="en-US" w:eastAsia="zh-CN"/>
              </w:rPr>
            </w:pPr>
            <w:r>
              <w:rPr>
                <w:rFonts w:hint="eastAsia" w:ascii="宋体" w:hAnsi="Courier New"/>
                <w:b w:val="0"/>
                <w:bCs w:val="0"/>
                <w:sz w:val="18"/>
                <w:szCs w:val="18"/>
                <w:highlight w:val="none"/>
                <w:vertAlign w:val="baseline"/>
                <w:lang w:val="en-US" w:eastAsia="zh-CN"/>
              </w:rPr>
              <w:t>非人力资源经理的</w:t>
            </w:r>
          </w:p>
          <w:p w14:paraId="4D31A30B">
            <w:pPr>
              <w:jc w:val="center"/>
              <w:rPr>
                <w:highlight w:val="none"/>
              </w:rPr>
            </w:pPr>
            <w:r>
              <w:rPr>
                <w:rFonts w:hint="eastAsia" w:ascii="宋体" w:hAnsi="Courier New"/>
                <w:b w:val="0"/>
                <w:bCs w:val="0"/>
                <w:sz w:val="18"/>
                <w:szCs w:val="18"/>
                <w:highlight w:val="none"/>
                <w:vertAlign w:val="baseline"/>
                <w:lang w:val="en-US" w:eastAsia="zh-CN"/>
              </w:rPr>
              <w:t>人力资源管理</w:t>
            </w:r>
          </w:p>
        </w:tc>
        <w:tc>
          <w:tcPr>
            <w:tcW w:w="3905" w:type="dxa"/>
            <w:vAlign w:val="center"/>
          </w:tcPr>
          <w:p w14:paraId="54C56266">
            <w:pPr>
              <w:jc w:val="both"/>
              <w:rPr>
                <w:highlight w:val="none"/>
              </w:rPr>
            </w:pPr>
            <w:r>
              <w:rPr>
                <w:rFonts w:hint="eastAsia" w:ascii="宋体" w:hAnsi="Courier New"/>
                <w:b w:val="0"/>
                <w:bCs w:val="0"/>
                <w:sz w:val="18"/>
                <w:szCs w:val="18"/>
                <w:highlight w:val="none"/>
                <w:vertAlign w:val="baseline"/>
                <w:lang w:val="en-US" w:eastAsia="zh-CN"/>
              </w:rPr>
              <w:t>明确人力资源管理第一责任人角色定位，讲授选人、用人、育人、留人方法，聚焦绩效辅导与员工激励，提升干部带队伍、促发展的能力</w:t>
            </w:r>
          </w:p>
        </w:tc>
        <w:tc>
          <w:tcPr>
            <w:tcW w:w="611" w:type="dxa"/>
            <w:vAlign w:val="center"/>
          </w:tcPr>
          <w:p w14:paraId="6428A05B">
            <w:pPr>
              <w:jc w:val="center"/>
              <w:rPr>
                <w:rFonts w:hint="default"/>
                <w:highlight w:val="none"/>
                <w:lang w:val="en-US"/>
              </w:rPr>
            </w:pPr>
            <w:r>
              <w:rPr>
                <w:rFonts w:hint="eastAsia" w:ascii="宋体" w:hAnsi="Courier New"/>
                <w:b w:val="0"/>
                <w:bCs w:val="0"/>
                <w:sz w:val="18"/>
                <w:szCs w:val="18"/>
                <w:highlight w:val="none"/>
                <w:vertAlign w:val="baseline"/>
                <w:lang w:val="en-US" w:eastAsia="zh-CN"/>
              </w:rPr>
              <w:t>3</w:t>
            </w:r>
          </w:p>
        </w:tc>
      </w:tr>
      <w:tr w14:paraId="66C14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0" w:type="dxa"/>
            <w:vMerge w:val="continue"/>
          </w:tcPr>
          <w:p w14:paraId="51A451D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kern w:val="0"/>
                <w:sz w:val="18"/>
                <w:szCs w:val="18"/>
                <w:highlight w:val="none"/>
                <w:u w:val="none"/>
                <w:lang w:val="en-US" w:eastAsia="zh-CN" w:bidi="ar"/>
              </w:rPr>
            </w:pPr>
          </w:p>
        </w:tc>
        <w:tc>
          <w:tcPr>
            <w:tcW w:w="1128" w:type="dxa"/>
            <w:vAlign w:val="center"/>
          </w:tcPr>
          <w:p w14:paraId="5289175D">
            <w:pPr>
              <w:jc w:val="center"/>
              <w:rPr>
                <w:highlight w:val="none"/>
              </w:rPr>
            </w:pPr>
            <w:r>
              <w:rPr>
                <w:rFonts w:hint="eastAsia" w:ascii="宋体" w:hAnsi="Courier New"/>
                <w:b w:val="0"/>
                <w:bCs w:val="0"/>
                <w:sz w:val="18"/>
                <w:szCs w:val="18"/>
                <w:highlight w:val="none"/>
                <w:vertAlign w:val="baseline"/>
                <w:lang w:val="en-US" w:eastAsia="zh-CN"/>
              </w:rPr>
              <w:t>13:30-20:30</w:t>
            </w:r>
          </w:p>
        </w:tc>
        <w:tc>
          <w:tcPr>
            <w:tcW w:w="2588" w:type="dxa"/>
            <w:vAlign w:val="center"/>
          </w:tcPr>
          <w:p w14:paraId="11935A73">
            <w:pPr>
              <w:jc w:val="center"/>
              <w:rPr>
                <w:rFonts w:hint="eastAsia" w:ascii="宋体" w:hAnsi="Courier New"/>
                <w:b w:val="0"/>
                <w:bCs w:val="0"/>
                <w:sz w:val="18"/>
                <w:szCs w:val="18"/>
                <w:highlight w:val="none"/>
                <w:vertAlign w:val="baseline"/>
                <w:lang w:val="en-US" w:eastAsia="zh-CN"/>
              </w:rPr>
            </w:pPr>
            <w:r>
              <w:rPr>
                <w:rFonts w:hint="eastAsia" w:ascii="宋体" w:hAnsi="Courier New"/>
                <w:b w:val="0"/>
                <w:bCs w:val="0"/>
                <w:sz w:val="18"/>
                <w:szCs w:val="18"/>
                <w:highlight w:val="none"/>
                <w:vertAlign w:val="baseline"/>
                <w:lang w:val="en-US" w:eastAsia="zh-CN"/>
              </w:rPr>
              <w:t>非财务经理的财务管理</w:t>
            </w:r>
          </w:p>
          <w:p w14:paraId="59AA671C">
            <w:pPr>
              <w:jc w:val="center"/>
              <w:rPr>
                <w:highlight w:val="none"/>
              </w:rPr>
            </w:pPr>
            <w:r>
              <w:rPr>
                <w:rFonts w:hint="eastAsia" w:ascii="宋体" w:hAnsi="Courier New"/>
                <w:b w:val="0"/>
                <w:bCs w:val="0"/>
                <w:sz w:val="18"/>
                <w:szCs w:val="18"/>
                <w:highlight w:val="none"/>
                <w:vertAlign w:val="baseline"/>
                <w:lang w:val="en-US" w:eastAsia="zh-CN"/>
              </w:rPr>
              <w:t>（财务审批责任）</w:t>
            </w:r>
          </w:p>
        </w:tc>
        <w:tc>
          <w:tcPr>
            <w:tcW w:w="3905" w:type="dxa"/>
            <w:vAlign w:val="center"/>
          </w:tcPr>
          <w:p w14:paraId="5F62CA45">
            <w:pPr>
              <w:jc w:val="both"/>
              <w:rPr>
                <w:highlight w:val="none"/>
              </w:rPr>
            </w:pPr>
            <w:r>
              <w:rPr>
                <w:rFonts w:hint="eastAsia" w:ascii="宋体" w:hAnsi="Courier New"/>
                <w:b w:val="0"/>
                <w:bCs w:val="0"/>
                <w:sz w:val="18"/>
                <w:szCs w:val="18"/>
                <w:highlight w:val="none"/>
                <w:vertAlign w:val="baseline"/>
                <w:lang w:val="en-US" w:eastAsia="zh-CN"/>
              </w:rPr>
              <w:t>读懂资产负债表、利润表、现金流量表三张核心报表，解析违规签批的法律责任</w:t>
            </w:r>
          </w:p>
        </w:tc>
        <w:tc>
          <w:tcPr>
            <w:tcW w:w="611" w:type="dxa"/>
            <w:vAlign w:val="center"/>
          </w:tcPr>
          <w:p w14:paraId="190AEF03">
            <w:pPr>
              <w:jc w:val="center"/>
              <w:rPr>
                <w:rFonts w:hint="default"/>
                <w:highlight w:val="none"/>
                <w:lang w:val="en-US"/>
              </w:rPr>
            </w:pPr>
            <w:r>
              <w:rPr>
                <w:rFonts w:hint="eastAsia" w:ascii="宋体" w:hAnsi="Courier New"/>
                <w:b w:val="0"/>
                <w:bCs w:val="0"/>
                <w:sz w:val="18"/>
                <w:szCs w:val="18"/>
                <w:highlight w:val="none"/>
                <w:vertAlign w:val="baseline"/>
                <w:lang w:val="en-US" w:eastAsia="zh-CN"/>
              </w:rPr>
              <w:t>6</w:t>
            </w:r>
          </w:p>
        </w:tc>
      </w:tr>
    </w:tbl>
    <w:p w14:paraId="1BAE02F0">
      <w:pPr>
        <w:keepNext w:val="0"/>
        <w:keepLines w:val="0"/>
        <w:pageBreakBefore w:val="0"/>
        <w:widowControl w:val="0"/>
        <w:kinsoku/>
        <w:wordWrap/>
        <w:overflowPunct/>
        <w:topLinePunct w:val="0"/>
        <w:autoSpaceDE/>
        <w:autoSpaceDN/>
        <w:bidi w:val="0"/>
        <w:adjustRightInd/>
        <w:snapToGrid/>
        <w:spacing w:line="500" w:lineRule="exact"/>
        <w:ind w:firstLine="422" w:firstLineChars="200"/>
        <w:textAlignment w:val="auto"/>
        <w:outlineLvl w:val="9"/>
        <w:rPr>
          <w:rFonts w:ascii="宋体" w:hAnsi="Courier New"/>
          <w:b/>
          <w:bCs/>
          <w:highlight w:val="none"/>
        </w:rPr>
      </w:pPr>
      <w:r>
        <w:rPr>
          <w:rFonts w:hint="eastAsia" w:ascii="宋体" w:hAnsi="Courier New"/>
          <w:b/>
          <w:bCs/>
          <w:highlight w:val="none"/>
          <w:lang w:val="en-US" w:eastAsia="zh-CN"/>
        </w:rPr>
        <w:t>四、</w:t>
      </w:r>
      <w:r>
        <w:rPr>
          <w:rFonts w:hint="eastAsia" w:ascii="宋体" w:hAnsi="Courier New"/>
          <w:b/>
          <w:bCs/>
          <w:highlight w:val="none"/>
        </w:rPr>
        <w:t>相关要求</w:t>
      </w:r>
    </w:p>
    <w:p w14:paraId="1ED98402">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Courier New"/>
          <w:highlight w:val="none"/>
        </w:rPr>
      </w:pPr>
      <w:r>
        <w:rPr>
          <w:rFonts w:hint="eastAsia" w:ascii="宋体" w:hAnsi="Courier New"/>
          <w:highlight w:val="none"/>
          <w:lang w:val="en-US" w:eastAsia="zh-CN"/>
        </w:rPr>
        <w:t>1.</w:t>
      </w:r>
      <w:r>
        <w:rPr>
          <w:rFonts w:hint="eastAsia" w:ascii="宋体" w:hAnsi="Courier New"/>
          <w:highlight w:val="none"/>
        </w:rPr>
        <w:t>出具详实的课程方案、价格方案。课程应根据中国重汽企业实际情况设计。</w:t>
      </w:r>
    </w:p>
    <w:p w14:paraId="00ABCD35">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Courier New"/>
          <w:highlight w:val="none"/>
          <w:lang w:val="en-US" w:eastAsia="zh-CN"/>
        </w:rPr>
      </w:pPr>
      <w:r>
        <w:rPr>
          <w:rFonts w:hint="eastAsia" w:ascii="宋体" w:hAnsi="Courier New"/>
          <w:highlight w:val="none"/>
          <w:lang w:val="en-US" w:eastAsia="zh-CN"/>
        </w:rPr>
        <w:t>2.中标人在中标后1日内，</w:t>
      </w:r>
      <w:r>
        <w:rPr>
          <w:rFonts w:hint="eastAsia" w:ascii="宋体" w:hAnsi="Courier New"/>
          <w:highlight w:val="none"/>
        </w:rPr>
        <w:t>按照中标的技术标及澄清内容完成课</w:t>
      </w:r>
      <w:r>
        <w:rPr>
          <w:rFonts w:hint="eastAsia" w:ascii="宋体" w:hAnsi="Courier New"/>
          <w:highlight w:val="none"/>
          <w:lang w:val="en-US" w:eastAsia="zh-CN"/>
        </w:rPr>
        <w:t>程设计，并按招标人要求进行课程试讲。若课程未达到技术标及澄清内容要求，招标人有权否决投标人的中标资格。</w:t>
      </w:r>
    </w:p>
    <w:p w14:paraId="113EE907">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default" w:ascii="宋体" w:hAnsi="Courier New" w:eastAsia="宋体"/>
          <w:highlight w:val="none"/>
          <w:lang w:val="en-US" w:eastAsia="zh-CN"/>
        </w:rPr>
      </w:pPr>
      <w:r>
        <w:rPr>
          <w:rFonts w:hint="eastAsia" w:ascii="宋体" w:hAnsi="Courier New" w:eastAsia="黑体"/>
          <w:highlight w:val="none"/>
          <w:lang w:val="en-US" w:eastAsia="zh-CN"/>
        </w:rPr>
        <w:t>3.</w:t>
      </w:r>
      <w:r>
        <w:rPr>
          <w:rFonts w:hint="eastAsia" w:ascii="黑体" w:hAnsi="黑体" w:eastAsia="黑体" w:cs="黑体"/>
          <w:b/>
          <w:bCs/>
          <w:highlight w:val="none"/>
        </w:rPr>
        <w:t>培训讲师应具有5年以上的培训经验，</w:t>
      </w:r>
      <w:r>
        <w:rPr>
          <w:rFonts w:hint="eastAsia" w:ascii="宋体" w:hAnsi="Courier New"/>
          <w:highlight w:val="none"/>
        </w:rPr>
        <w:t>具有把教学内容与实践能力相结合的能力，可以将理论知识演绎得生动易懂。保障课程设计到执行的统一性，授课老师课前需进行课程</w:t>
      </w:r>
      <w:r>
        <w:rPr>
          <w:rFonts w:hint="eastAsia" w:ascii="宋体" w:hAnsi="Courier New"/>
          <w:highlight w:val="none"/>
          <w:lang w:val="en-US" w:eastAsia="zh-CN"/>
        </w:rPr>
        <w:t>试讲及认证</w:t>
      </w:r>
      <w:r>
        <w:rPr>
          <w:rFonts w:hint="eastAsia" w:ascii="宋体" w:hAnsi="Courier New"/>
          <w:highlight w:val="none"/>
        </w:rPr>
        <w:t>，经中国重汽审核通过后才可进行授课</w:t>
      </w:r>
      <w:r>
        <w:rPr>
          <w:rFonts w:hint="eastAsia" w:ascii="宋体" w:hAnsi="Courier New"/>
          <w:highlight w:val="none"/>
          <w:lang w:eastAsia="zh-CN"/>
        </w:rPr>
        <w:t>，</w:t>
      </w:r>
      <w:r>
        <w:rPr>
          <w:rFonts w:hint="eastAsia" w:ascii="宋体" w:hAnsi="Courier New"/>
          <w:highlight w:val="none"/>
          <w:u w:val="single"/>
          <w:lang w:val="en-US" w:eastAsia="zh-CN"/>
        </w:rPr>
        <w:t>每门课程至少另有一位老师作为备选。</w:t>
      </w:r>
    </w:p>
    <w:p w14:paraId="4EEC979B">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ascii="宋体" w:hAnsi="Courier New"/>
          <w:highlight w:val="none"/>
        </w:rPr>
      </w:pPr>
      <w:r>
        <w:rPr>
          <w:rFonts w:hint="eastAsia" w:ascii="宋体" w:hAnsi="Courier New"/>
          <w:highlight w:val="none"/>
          <w:lang w:val="en-US" w:eastAsia="zh-CN"/>
        </w:rPr>
        <w:t>4.</w:t>
      </w:r>
      <w:r>
        <w:rPr>
          <w:rFonts w:hint="eastAsia" w:ascii="宋体" w:hAnsi="Courier New"/>
          <w:highlight w:val="none"/>
        </w:rPr>
        <w:t>培训师应极为重视和学员之间的互动交流，以此来激发学员充分参与，提高学员关注度，达到最佳的授课效果。</w:t>
      </w:r>
    </w:p>
    <w:p w14:paraId="15601947">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Courier New"/>
          <w:highlight w:val="none"/>
          <w:lang w:val="en-US" w:eastAsia="zh-CN"/>
        </w:rPr>
      </w:pPr>
      <w:r>
        <w:rPr>
          <w:rFonts w:hint="eastAsia" w:ascii="宋体" w:hAnsi="Courier New"/>
          <w:highlight w:val="none"/>
          <w:lang w:val="en-US" w:eastAsia="zh-CN"/>
        </w:rPr>
        <w:t>5.</w:t>
      </w:r>
      <w:r>
        <w:rPr>
          <w:rFonts w:hint="eastAsia" w:ascii="宋体" w:hAnsi="Courier New"/>
          <w:highlight w:val="none"/>
        </w:rPr>
        <w:t>中标方应指定一名经验丰富的工作人员负责与中国重汽集团沟通和联络，每期培训前应根据中国重汽集团的要求，制定好培训计划及授课前的各项准备工作，培训现场</w:t>
      </w:r>
      <w:r>
        <w:rPr>
          <w:rFonts w:hint="eastAsia" w:ascii="宋体" w:hAnsi="Courier New"/>
          <w:highlight w:val="none"/>
          <w:lang w:val="en-US" w:eastAsia="zh-CN"/>
        </w:rPr>
        <w:t>每班</w:t>
      </w:r>
      <w:r>
        <w:rPr>
          <w:rFonts w:hint="eastAsia" w:ascii="宋体" w:hAnsi="Courier New"/>
          <w:highlight w:val="none"/>
        </w:rPr>
        <w:t>除培训师之外应确保有1名工作人员布置会场、教具准备和签到等工作</w:t>
      </w:r>
      <w:r>
        <w:rPr>
          <w:rFonts w:hint="eastAsia" w:ascii="宋体" w:hAnsi="Courier New"/>
          <w:highlight w:val="none"/>
          <w:lang w:val="en-US" w:eastAsia="zh-CN"/>
        </w:rPr>
        <w:t>。</w:t>
      </w:r>
      <w:bookmarkStart w:id="29" w:name="_Toc15177"/>
    </w:p>
    <w:p w14:paraId="7406AE50">
      <w:pPr>
        <w:rPr>
          <w:rFonts w:hint="eastAsia" w:ascii="方正小标宋简体" w:hAnsi="方正小标宋简体" w:eastAsia="方正小标宋简体" w:cs="方正小标宋简体"/>
          <w:sz w:val="40"/>
          <w:szCs w:val="21"/>
          <w:highlight w:val="none"/>
        </w:rPr>
      </w:pPr>
      <w:r>
        <w:rPr>
          <w:rFonts w:hint="eastAsia" w:ascii="方正小标宋简体" w:hAnsi="方正小标宋简体" w:eastAsia="方正小标宋简体" w:cs="方正小标宋简体"/>
          <w:sz w:val="40"/>
          <w:szCs w:val="21"/>
          <w:highlight w:val="none"/>
        </w:rPr>
        <w:br w:type="page"/>
      </w:r>
    </w:p>
    <w:p w14:paraId="112E45AC">
      <w:pPr>
        <w:pageBreakBefore w:val="0"/>
        <w:widowControl w:val="0"/>
        <w:kinsoku/>
        <w:wordWrap/>
        <w:overflowPunct/>
        <w:topLinePunct w:val="0"/>
        <w:autoSpaceDE/>
        <w:autoSpaceDN/>
        <w:bidi w:val="0"/>
        <w:spacing w:before="118"/>
        <w:ind w:right="30"/>
        <w:jc w:val="center"/>
        <w:textAlignment w:val="auto"/>
        <w:outlineLvl w:val="9"/>
        <w:rPr>
          <w:rFonts w:ascii="楷体" w:hAnsi="楷体" w:eastAsia="楷体" w:cs="楷体"/>
          <w:sz w:val="40"/>
          <w:szCs w:val="21"/>
          <w:highlight w:val="none"/>
        </w:rPr>
      </w:pPr>
      <w:r>
        <w:rPr>
          <w:rFonts w:hint="eastAsia" w:ascii="方正小标宋简体" w:hAnsi="方正小标宋简体" w:eastAsia="方正小标宋简体" w:cs="方正小标宋简体"/>
          <w:sz w:val="40"/>
          <w:szCs w:val="21"/>
          <w:highlight w:val="none"/>
        </w:rPr>
        <w:t>廉洁诚信协议</w:t>
      </w:r>
      <w:bookmarkEnd w:id="29"/>
    </w:p>
    <w:p w14:paraId="478B8C13">
      <w:pPr>
        <w:pStyle w:val="7"/>
        <w:pageBreakBefore w:val="0"/>
        <w:widowControl w:val="0"/>
        <w:kinsoku/>
        <w:wordWrap/>
        <w:overflowPunct/>
        <w:topLinePunct w:val="0"/>
        <w:autoSpaceDE/>
        <w:autoSpaceDN/>
        <w:bidi w:val="0"/>
        <w:spacing w:before="8"/>
        <w:textAlignment w:val="auto"/>
        <w:outlineLvl w:val="9"/>
        <w:rPr>
          <w:rFonts w:ascii="楷体" w:hAnsi="楷体" w:eastAsia="楷体" w:cs="楷体"/>
          <w:sz w:val="44"/>
          <w:szCs w:val="28"/>
          <w:highlight w:val="none"/>
        </w:rPr>
      </w:pPr>
    </w:p>
    <w:p w14:paraId="59982504">
      <w:pPr>
        <w:pageBreakBefore w:val="0"/>
        <w:widowControl w:val="0"/>
        <w:kinsoku/>
        <w:wordWrap/>
        <w:overflowPunct/>
        <w:topLinePunct w:val="0"/>
        <w:autoSpaceDE/>
        <w:autoSpaceDN/>
        <w:bidi w:val="0"/>
        <w:spacing w:line="607" w:lineRule="auto"/>
        <w:ind w:left="117" w:right="3769"/>
        <w:textAlignment w:val="auto"/>
        <w:outlineLvl w:val="9"/>
        <w:rPr>
          <w:rFonts w:ascii="楷体" w:hAnsi="楷体" w:eastAsia="楷体" w:cs="楷体"/>
          <w:b/>
          <w:sz w:val="28"/>
          <w:szCs w:val="21"/>
          <w:highlight w:val="none"/>
        </w:rPr>
      </w:pPr>
      <w:r>
        <w:rPr>
          <w:rFonts w:hint="eastAsia" w:ascii="楷体" w:hAnsi="楷体" w:eastAsia="楷体" w:cs="楷体"/>
          <w:b/>
          <w:sz w:val="28"/>
          <w:szCs w:val="21"/>
          <w:highlight w:val="none"/>
        </w:rPr>
        <w:t>甲方：</w:t>
      </w:r>
    </w:p>
    <w:p w14:paraId="618AEF5D">
      <w:pPr>
        <w:pageBreakBefore w:val="0"/>
        <w:widowControl w:val="0"/>
        <w:kinsoku/>
        <w:wordWrap/>
        <w:overflowPunct/>
        <w:topLinePunct w:val="0"/>
        <w:autoSpaceDE/>
        <w:autoSpaceDN/>
        <w:bidi w:val="0"/>
        <w:spacing w:line="607" w:lineRule="auto"/>
        <w:ind w:left="117" w:right="3769"/>
        <w:textAlignment w:val="auto"/>
        <w:outlineLvl w:val="9"/>
        <w:rPr>
          <w:rFonts w:ascii="楷体" w:hAnsi="楷体" w:eastAsia="楷体" w:cs="楷体"/>
          <w:b/>
          <w:sz w:val="28"/>
          <w:szCs w:val="21"/>
          <w:highlight w:val="none"/>
        </w:rPr>
      </w:pPr>
      <w:r>
        <w:rPr>
          <w:rFonts w:hint="eastAsia" w:ascii="楷体" w:hAnsi="楷体" w:eastAsia="楷体" w:cs="楷体"/>
          <w:b/>
          <w:sz w:val="28"/>
          <w:szCs w:val="21"/>
          <w:highlight w:val="none"/>
        </w:rPr>
        <w:t>乙方：</w:t>
      </w:r>
    </w:p>
    <w:p w14:paraId="31E02ABB">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乙方是甲方或甲方全资、控股、参股企业的供应商、服务商或采购商、经销商，甲方作为采购方或销售方（包含甲方及其关联企业，以下统称甲方），为保证双方长期稳定合作和健康发展，保证各合作主体之间公平、公正、公开的良性竞争，共同抵制商业贿赂等一切不正当行为，营造诚实信用的商业氛围，积极维护双方信誉</w:t>
      </w:r>
      <w:r>
        <w:rPr>
          <w:rFonts w:hint="eastAsia" w:ascii="楷体" w:hAnsi="楷体" w:eastAsia="楷体" w:cs="楷体"/>
          <w:spacing w:val="-2"/>
          <w:sz w:val="28"/>
          <w:szCs w:val="28"/>
          <w:highlight w:val="none"/>
          <w:lang w:eastAsia="zh-CN"/>
        </w:rPr>
        <w:t>，</w:t>
      </w:r>
      <w:r>
        <w:rPr>
          <w:rFonts w:ascii="楷体" w:hAnsi="楷体" w:eastAsia="楷体" w:cs="楷体"/>
          <w:spacing w:val="-2"/>
          <w:sz w:val="28"/>
          <w:szCs w:val="28"/>
          <w:highlight w:val="none"/>
        </w:rPr>
        <w:t>共同加强廉洁自律建设，甲乙双方在平等、自愿、协商一致的原则下，签订本协议。</w:t>
      </w:r>
    </w:p>
    <w:p w14:paraId="24E80F0B">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1.甲乙双方应当共同遵守国家、地方法律法规以及本协议的约定，在合同的订立、履行过程中廉洁自律，绝不弄虚作假、以次充好，虚结虚算。</w:t>
      </w:r>
    </w:p>
    <w:p w14:paraId="647F8BC2">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2.乙方声明并承诺甲方人员或其</w:t>
      </w:r>
      <w:r>
        <w:rPr>
          <w:rFonts w:hint="eastAsia" w:ascii="楷体" w:hAnsi="楷体" w:eastAsia="楷体" w:cs="楷体"/>
          <w:spacing w:val="-2"/>
          <w:sz w:val="28"/>
          <w:szCs w:val="28"/>
          <w:highlight w:val="none"/>
        </w:rPr>
        <w:t>配偶、子女及其配偶等</w:t>
      </w:r>
      <w:r>
        <w:rPr>
          <w:rFonts w:ascii="楷体" w:hAnsi="楷体" w:eastAsia="楷体" w:cs="楷体"/>
          <w:spacing w:val="-2"/>
          <w:sz w:val="28"/>
          <w:szCs w:val="28"/>
          <w:highlight w:val="none"/>
        </w:rPr>
        <w:t>亲属</w:t>
      </w:r>
      <w:r>
        <w:rPr>
          <w:rFonts w:hint="eastAsia" w:ascii="楷体" w:hAnsi="楷体" w:eastAsia="楷体" w:cs="楷体"/>
          <w:spacing w:val="-2"/>
          <w:sz w:val="28"/>
          <w:szCs w:val="28"/>
          <w:highlight w:val="none"/>
        </w:rPr>
        <w:t>和其他特定关系人（甲方人员为领导干部的，其他特定关系人包含身边工作人员）</w:t>
      </w:r>
      <w:r>
        <w:rPr>
          <w:rFonts w:ascii="楷体" w:hAnsi="楷体" w:eastAsia="楷体" w:cs="楷体"/>
          <w:spacing w:val="-2"/>
          <w:sz w:val="28"/>
          <w:szCs w:val="28"/>
          <w:highlight w:val="none"/>
        </w:rPr>
        <w:t>没有直接或间接投资乙方或持有乙方股权，没有直接或间接投资乙方关联企业或持有乙方关联企业股权。</w:t>
      </w:r>
    </w:p>
    <w:p w14:paraId="473FFC6A">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3.乙方承诺乙方或乙方关联企业股东、实际出资人或持股人、高管、主要业务人员不得与甲方人员或其</w:t>
      </w:r>
      <w:r>
        <w:rPr>
          <w:rFonts w:hint="eastAsia" w:ascii="楷体" w:hAnsi="楷体" w:eastAsia="楷体" w:cs="楷体"/>
          <w:spacing w:val="-2"/>
          <w:sz w:val="28"/>
          <w:szCs w:val="28"/>
          <w:highlight w:val="none"/>
        </w:rPr>
        <w:t>配偶、子女及其配偶等</w:t>
      </w:r>
      <w:r>
        <w:rPr>
          <w:rFonts w:ascii="楷体" w:hAnsi="楷体" w:eastAsia="楷体" w:cs="楷体"/>
          <w:spacing w:val="-2"/>
          <w:sz w:val="28"/>
          <w:szCs w:val="28"/>
          <w:highlight w:val="none"/>
        </w:rPr>
        <w:t>亲属</w:t>
      </w:r>
      <w:r>
        <w:rPr>
          <w:rFonts w:hint="eastAsia" w:ascii="楷体" w:hAnsi="楷体" w:eastAsia="楷体" w:cs="楷体"/>
          <w:spacing w:val="-2"/>
          <w:sz w:val="28"/>
          <w:szCs w:val="28"/>
          <w:highlight w:val="none"/>
        </w:rPr>
        <w:t>和其他特定关系人</w:t>
      </w:r>
      <w:r>
        <w:rPr>
          <w:rFonts w:ascii="楷体" w:hAnsi="楷体" w:eastAsia="楷体" w:cs="楷体"/>
          <w:spacing w:val="-2"/>
          <w:sz w:val="28"/>
          <w:szCs w:val="28"/>
          <w:highlight w:val="none"/>
        </w:rPr>
        <w:t>共同成立公司，不得聘请甲方人员或其</w:t>
      </w:r>
      <w:r>
        <w:rPr>
          <w:rFonts w:hint="eastAsia" w:ascii="楷体" w:hAnsi="楷体" w:eastAsia="楷体" w:cs="楷体"/>
          <w:spacing w:val="-2"/>
          <w:sz w:val="28"/>
          <w:szCs w:val="28"/>
          <w:highlight w:val="none"/>
        </w:rPr>
        <w:t>配偶、子女及其配偶等</w:t>
      </w:r>
      <w:r>
        <w:rPr>
          <w:rFonts w:ascii="楷体" w:hAnsi="楷体" w:eastAsia="楷体" w:cs="楷体"/>
          <w:spacing w:val="-2"/>
          <w:sz w:val="28"/>
          <w:szCs w:val="28"/>
          <w:highlight w:val="none"/>
        </w:rPr>
        <w:t>亲属</w:t>
      </w:r>
      <w:r>
        <w:rPr>
          <w:rFonts w:hint="eastAsia" w:ascii="楷体" w:hAnsi="楷体" w:eastAsia="楷体" w:cs="楷体"/>
          <w:spacing w:val="-2"/>
          <w:sz w:val="28"/>
          <w:szCs w:val="28"/>
          <w:highlight w:val="none"/>
        </w:rPr>
        <w:t>和其他特定关系人</w:t>
      </w:r>
      <w:r>
        <w:rPr>
          <w:rFonts w:ascii="楷体" w:hAnsi="楷体" w:eastAsia="楷体" w:cs="楷体"/>
          <w:spacing w:val="-2"/>
          <w:sz w:val="28"/>
          <w:szCs w:val="28"/>
          <w:highlight w:val="none"/>
        </w:rPr>
        <w:t>在乙方或乙方关联企业股东或实际出资人或高管或主要业务人员成立的企业中担任高管或为其</w:t>
      </w:r>
      <w:r>
        <w:rPr>
          <w:rFonts w:hint="eastAsia" w:ascii="楷体" w:hAnsi="楷体" w:eastAsia="楷体" w:cs="楷体"/>
          <w:spacing w:val="-2"/>
          <w:sz w:val="28"/>
          <w:szCs w:val="28"/>
          <w:highlight w:val="none"/>
        </w:rPr>
        <w:t>违规</w:t>
      </w:r>
      <w:r>
        <w:rPr>
          <w:rFonts w:ascii="楷体" w:hAnsi="楷体" w:eastAsia="楷体" w:cs="楷体"/>
          <w:spacing w:val="-2"/>
          <w:sz w:val="28"/>
          <w:szCs w:val="28"/>
          <w:highlight w:val="none"/>
        </w:rPr>
        <w:t>发放薪酬。</w:t>
      </w:r>
      <w:r>
        <w:rPr>
          <w:rFonts w:hint="eastAsia" w:ascii="楷体" w:hAnsi="楷体" w:eastAsia="楷体" w:cs="楷体"/>
          <w:spacing w:val="-2"/>
          <w:sz w:val="28"/>
          <w:szCs w:val="28"/>
          <w:highlight w:val="none"/>
        </w:rPr>
        <w:t>违规发放薪酬包括不实际工作而获取薪酬或者虽实际工作但领取明显超出同职级标准薪酬。</w:t>
      </w:r>
      <w:r>
        <w:rPr>
          <w:rFonts w:ascii="楷体" w:hAnsi="楷体" w:eastAsia="楷体" w:cs="楷体"/>
          <w:spacing w:val="-2"/>
          <w:sz w:val="28"/>
          <w:szCs w:val="28"/>
          <w:highlight w:val="none"/>
        </w:rPr>
        <w:t>（</w:t>
      </w:r>
      <w:r>
        <w:rPr>
          <w:rFonts w:hint="eastAsia" w:ascii="楷体" w:hAnsi="楷体" w:eastAsia="楷体" w:cs="楷体"/>
          <w:spacing w:val="-2"/>
          <w:sz w:val="28"/>
          <w:szCs w:val="28"/>
          <w:highlight w:val="none"/>
        </w:rPr>
        <w:t>若乙方为甲方</w:t>
      </w:r>
      <w:r>
        <w:rPr>
          <w:rFonts w:ascii="楷体" w:hAnsi="楷体" w:eastAsia="楷体" w:cs="楷体"/>
          <w:spacing w:val="-2"/>
          <w:sz w:val="28"/>
          <w:szCs w:val="28"/>
          <w:highlight w:val="none"/>
        </w:rPr>
        <w:t>新</w:t>
      </w:r>
      <w:r>
        <w:rPr>
          <w:rFonts w:hint="eastAsia" w:ascii="楷体" w:hAnsi="楷体" w:eastAsia="楷体" w:cs="楷体"/>
          <w:spacing w:val="-2"/>
          <w:sz w:val="28"/>
          <w:szCs w:val="28"/>
          <w:highlight w:val="none"/>
        </w:rPr>
        <w:t>合作伙伴</w:t>
      </w:r>
      <w:r>
        <w:rPr>
          <w:rFonts w:ascii="楷体" w:hAnsi="楷体" w:eastAsia="楷体" w:cs="楷体"/>
          <w:spacing w:val="-2"/>
          <w:sz w:val="28"/>
          <w:szCs w:val="28"/>
          <w:highlight w:val="none"/>
        </w:rPr>
        <w:t>，如在本协议签订前乙方存在本条规定情形的，需在本协议签订后30日内，将相关情况报</w:t>
      </w:r>
      <w:r>
        <w:rPr>
          <w:rFonts w:hint="eastAsia" w:ascii="楷体" w:hAnsi="楷体" w:eastAsia="楷体" w:cs="楷体"/>
          <w:spacing w:val="-2"/>
          <w:sz w:val="28"/>
          <w:szCs w:val="28"/>
          <w:highlight w:val="none"/>
        </w:rPr>
        <w:t>甲方所属</w:t>
      </w:r>
      <w:r>
        <w:rPr>
          <w:rFonts w:ascii="楷体" w:hAnsi="楷体" w:eastAsia="楷体" w:cs="楷体"/>
          <w:spacing w:val="-2"/>
          <w:sz w:val="28"/>
          <w:szCs w:val="28"/>
          <w:highlight w:val="none"/>
        </w:rPr>
        <w:t>重汽集团</w:t>
      </w:r>
      <w:r>
        <w:rPr>
          <w:rFonts w:hint="eastAsia" w:ascii="楷体" w:hAnsi="楷体" w:eastAsia="楷体" w:cs="楷体"/>
          <w:spacing w:val="-2"/>
          <w:sz w:val="28"/>
          <w:szCs w:val="28"/>
          <w:highlight w:val="none"/>
        </w:rPr>
        <w:t>的</w:t>
      </w:r>
      <w:r>
        <w:rPr>
          <w:rFonts w:ascii="楷体" w:hAnsi="楷体" w:eastAsia="楷体" w:cs="楷体"/>
          <w:spacing w:val="-2"/>
          <w:sz w:val="28"/>
          <w:szCs w:val="28"/>
          <w:highlight w:val="none"/>
        </w:rPr>
        <w:t>纪委监察部</w:t>
      </w:r>
      <w:r>
        <w:rPr>
          <w:rFonts w:hint="eastAsia" w:ascii="楷体" w:hAnsi="楷体" w:eastAsia="楷体" w:cs="楷体"/>
          <w:spacing w:val="-2"/>
          <w:sz w:val="28"/>
          <w:szCs w:val="28"/>
          <w:highlight w:val="none"/>
        </w:rPr>
        <w:t>门</w:t>
      </w:r>
      <w:r>
        <w:rPr>
          <w:rFonts w:ascii="楷体" w:hAnsi="楷体" w:eastAsia="楷体" w:cs="楷体"/>
          <w:spacing w:val="-2"/>
          <w:sz w:val="28"/>
          <w:szCs w:val="28"/>
          <w:highlight w:val="none"/>
        </w:rPr>
        <w:t>备案）。</w:t>
      </w:r>
    </w:p>
    <w:p w14:paraId="13B3D9FA">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4.乙方承诺依法开展经营活动，不得有任何形式的商业贿赂行为。乙方一经发现其员工或其</w:t>
      </w:r>
      <w:r>
        <w:rPr>
          <w:rFonts w:hint="eastAsia" w:ascii="楷体" w:hAnsi="楷体" w:eastAsia="楷体" w:cs="楷体"/>
          <w:spacing w:val="-2"/>
          <w:sz w:val="28"/>
          <w:szCs w:val="28"/>
          <w:highlight w:val="none"/>
        </w:rPr>
        <w:t>配偶、子女及其配偶等亲属和其他特定关系人</w:t>
      </w:r>
      <w:r>
        <w:rPr>
          <w:rFonts w:ascii="楷体" w:hAnsi="楷体" w:eastAsia="楷体" w:cs="楷体"/>
          <w:spacing w:val="-2"/>
          <w:sz w:val="28"/>
          <w:szCs w:val="28"/>
          <w:highlight w:val="none"/>
        </w:rPr>
        <w:t>存在任何商业贿赂行为，应立即通知甲方并自行进行查处和整改。若甲方认为上述行为严重影响到甲方的利益，则甲方有权单方解除双方</w:t>
      </w:r>
      <w:r>
        <w:rPr>
          <w:rFonts w:hint="eastAsia" w:ascii="楷体" w:hAnsi="楷体" w:eastAsia="楷体" w:cs="楷体"/>
          <w:spacing w:val="-2"/>
          <w:sz w:val="28"/>
          <w:szCs w:val="28"/>
          <w:highlight w:val="none"/>
        </w:rPr>
        <w:t>已</w:t>
      </w:r>
      <w:r>
        <w:rPr>
          <w:rFonts w:ascii="楷体" w:hAnsi="楷体" w:eastAsia="楷体" w:cs="楷体"/>
          <w:spacing w:val="-2"/>
          <w:sz w:val="28"/>
          <w:szCs w:val="28"/>
          <w:highlight w:val="none"/>
        </w:rPr>
        <w:t>签订的</w:t>
      </w:r>
      <w:r>
        <w:rPr>
          <w:rFonts w:hint="eastAsia" w:ascii="楷体" w:hAnsi="楷体" w:eastAsia="楷体" w:cs="楷体"/>
          <w:spacing w:val="-2"/>
          <w:sz w:val="28"/>
          <w:szCs w:val="28"/>
          <w:highlight w:val="none"/>
        </w:rPr>
        <w:t>所有合同</w:t>
      </w:r>
      <w:r>
        <w:rPr>
          <w:rFonts w:ascii="楷体" w:hAnsi="楷体" w:eastAsia="楷体" w:cs="楷体"/>
          <w:spacing w:val="-2"/>
          <w:sz w:val="28"/>
          <w:szCs w:val="28"/>
          <w:highlight w:val="none"/>
        </w:rPr>
        <w:t>协议，并要求乙方赔偿。</w:t>
      </w:r>
    </w:p>
    <w:p w14:paraId="797A5F39">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5.乙方承诺不以任何理由为甲方人员及其</w:t>
      </w:r>
      <w:r>
        <w:rPr>
          <w:rFonts w:hint="eastAsia" w:ascii="楷体" w:hAnsi="楷体" w:eastAsia="楷体" w:cs="楷体"/>
          <w:spacing w:val="-2"/>
          <w:sz w:val="28"/>
          <w:szCs w:val="28"/>
          <w:highlight w:val="none"/>
        </w:rPr>
        <w:t>配偶、子女及其配偶等亲属和其他特定关系人提供如下：</w:t>
      </w:r>
    </w:p>
    <w:p w14:paraId="7D20BF57">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a)</w:t>
      </w:r>
      <w:r>
        <w:rPr>
          <w:rFonts w:ascii="楷体" w:hAnsi="楷体" w:eastAsia="楷体" w:cs="楷体"/>
          <w:spacing w:val="-2"/>
          <w:sz w:val="28"/>
          <w:szCs w:val="28"/>
          <w:highlight w:val="none"/>
        </w:rPr>
        <w:t>赠送</w:t>
      </w:r>
      <w:r>
        <w:rPr>
          <w:rFonts w:hint="eastAsia" w:ascii="楷体" w:hAnsi="楷体" w:eastAsia="楷体" w:cs="楷体"/>
          <w:spacing w:val="-2"/>
          <w:sz w:val="28"/>
          <w:szCs w:val="28"/>
          <w:highlight w:val="none"/>
        </w:rPr>
        <w:t>礼品、</w:t>
      </w:r>
      <w:r>
        <w:rPr>
          <w:rFonts w:ascii="楷体" w:hAnsi="楷体" w:eastAsia="楷体" w:cs="楷体"/>
          <w:spacing w:val="-2"/>
          <w:sz w:val="28"/>
          <w:szCs w:val="28"/>
          <w:highlight w:val="none"/>
        </w:rPr>
        <w:t>礼金、</w:t>
      </w:r>
      <w:r>
        <w:rPr>
          <w:rFonts w:hint="eastAsia" w:ascii="楷体" w:hAnsi="楷体" w:eastAsia="楷体" w:cs="楷体"/>
          <w:spacing w:val="-2"/>
          <w:sz w:val="28"/>
          <w:szCs w:val="28"/>
          <w:highlight w:val="none"/>
        </w:rPr>
        <w:t>消费卡（券）、</w:t>
      </w:r>
      <w:r>
        <w:rPr>
          <w:rFonts w:ascii="楷体" w:hAnsi="楷体" w:eastAsia="楷体" w:cs="楷体"/>
          <w:spacing w:val="-2"/>
          <w:sz w:val="28"/>
          <w:szCs w:val="28"/>
          <w:highlight w:val="none"/>
        </w:rPr>
        <w:t>购物卡、充值卡、信用卡</w:t>
      </w:r>
      <w:r>
        <w:rPr>
          <w:rFonts w:hint="eastAsia" w:ascii="楷体" w:hAnsi="楷体" w:eastAsia="楷体" w:cs="楷体"/>
          <w:spacing w:val="-2"/>
          <w:sz w:val="28"/>
          <w:szCs w:val="28"/>
          <w:highlight w:val="none"/>
        </w:rPr>
        <w:t>和</w:t>
      </w:r>
      <w:r>
        <w:rPr>
          <w:rFonts w:ascii="楷体" w:hAnsi="楷体" w:eastAsia="楷体" w:cs="楷体"/>
          <w:spacing w:val="-2"/>
          <w:sz w:val="28"/>
          <w:szCs w:val="28"/>
          <w:highlight w:val="none"/>
        </w:rPr>
        <w:t>有价证券</w:t>
      </w:r>
      <w:r>
        <w:rPr>
          <w:rFonts w:hint="eastAsia" w:ascii="楷体" w:hAnsi="楷体" w:eastAsia="楷体" w:cs="楷体"/>
          <w:spacing w:val="-2"/>
          <w:sz w:val="28"/>
          <w:szCs w:val="28"/>
          <w:highlight w:val="none"/>
        </w:rPr>
        <w:t>、股权、其他金融产品等财物</w:t>
      </w:r>
      <w:r>
        <w:rPr>
          <w:rFonts w:ascii="楷体" w:hAnsi="楷体" w:eastAsia="楷体" w:cs="楷体"/>
          <w:spacing w:val="-2"/>
          <w:sz w:val="28"/>
          <w:szCs w:val="28"/>
          <w:highlight w:val="none"/>
        </w:rPr>
        <w:t>和其他贵重物品；</w:t>
      </w:r>
    </w:p>
    <w:p w14:paraId="2AFF6A6D">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b)</w:t>
      </w:r>
      <w:r>
        <w:rPr>
          <w:rFonts w:ascii="楷体" w:hAnsi="楷体" w:eastAsia="楷体" w:cs="楷体"/>
          <w:spacing w:val="-2"/>
          <w:sz w:val="28"/>
          <w:szCs w:val="28"/>
          <w:highlight w:val="none"/>
        </w:rPr>
        <w:t>报销个人费用</w:t>
      </w:r>
      <w:r>
        <w:rPr>
          <w:rFonts w:hint="eastAsia" w:ascii="楷体" w:hAnsi="楷体" w:eastAsia="楷体" w:cs="楷体"/>
          <w:spacing w:val="-2"/>
          <w:sz w:val="28"/>
          <w:szCs w:val="28"/>
          <w:highlight w:val="none"/>
        </w:rPr>
        <w:t>或以讲课费、课题费、咨询费等名义支付费用</w:t>
      </w:r>
      <w:r>
        <w:rPr>
          <w:rFonts w:ascii="楷体" w:hAnsi="楷体" w:eastAsia="楷体" w:cs="楷体"/>
          <w:spacing w:val="-2"/>
          <w:sz w:val="28"/>
          <w:szCs w:val="28"/>
          <w:highlight w:val="none"/>
        </w:rPr>
        <w:t>；</w:t>
      </w:r>
    </w:p>
    <w:p w14:paraId="748AB869">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c)</w:t>
      </w:r>
      <w:r>
        <w:rPr>
          <w:rFonts w:ascii="楷体" w:hAnsi="楷体" w:eastAsia="楷体" w:cs="楷体"/>
          <w:spacing w:val="-2"/>
          <w:sz w:val="28"/>
          <w:szCs w:val="28"/>
          <w:highlight w:val="none"/>
        </w:rPr>
        <w:t>以洽谈业务、签订合同等为借口宴请或邀请外出旅游</w:t>
      </w:r>
      <w:r>
        <w:rPr>
          <w:rFonts w:hint="eastAsia" w:ascii="楷体" w:hAnsi="楷体" w:eastAsia="楷体" w:cs="楷体"/>
          <w:spacing w:val="-2"/>
          <w:sz w:val="28"/>
          <w:szCs w:val="28"/>
          <w:highlight w:val="none"/>
        </w:rPr>
        <w:t>、健身、娱乐</w:t>
      </w:r>
      <w:r>
        <w:rPr>
          <w:rFonts w:ascii="楷体" w:hAnsi="楷体" w:eastAsia="楷体" w:cs="楷体"/>
          <w:spacing w:val="-2"/>
          <w:sz w:val="28"/>
          <w:szCs w:val="28"/>
          <w:highlight w:val="none"/>
        </w:rPr>
        <w:t>和进入营业性娱乐场所；</w:t>
      </w:r>
    </w:p>
    <w:p w14:paraId="42DF0C62">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d)</w:t>
      </w:r>
      <w:r>
        <w:rPr>
          <w:rFonts w:ascii="楷体" w:hAnsi="楷体" w:eastAsia="楷体" w:cs="楷体"/>
          <w:spacing w:val="-2"/>
          <w:sz w:val="28"/>
          <w:szCs w:val="28"/>
          <w:highlight w:val="none"/>
        </w:rPr>
        <w:t>购置或提供通讯、交通工具</w:t>
      </w:r>
      <w:r>
        <w:rPr>
          <w:rFonts w:hint="eastAsia" w:ascii="楷体" w:hAnsi="楷体" w:eastAsia="楷体" w:cs="楷体"/>
          <w:spacing w:val="-2"/>
          <w:sz w:val="28"/>
          <w:szCs w:val="28"/>
          <w:highlight w:val="none"/>
        </w:rPr>
        <w:t>、钱款、住房、车辆等或提供通过民间借贷等金融助其获得大额回报</w:t>
      </w:r>
      <w:r>
        <w:rPr>
          <w:rFonts w:ascii="楷体" w:hAnsi="楷体" w:eastAsia="楷体" w:cs="楷体"/>
          <w:spacing w:val="-2"/>
          <w:sz w:val="28"/>
          <w:szCs w:val="28"/>
          <w:highlight w:val="none"/>
        </w:rPr>
        <w:t>；</w:t>
      </w:r>
    </w:p>
    <w:p w14:paraId="6CA0A73C">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e)</w:t>
      </w:r>
      <w:r>
        <w:rPr>
          <w:rFonts w:ascii="楷体" w:hAnsi="楷体" w:eastAsia="楷体" w:cs="楷体"/>
          <w:spacing w:val="-2"/>
          <w:sz w:val="28"/>
          <w:szCs w:val="28"/>
          <w:highlight w:val="none"/>
        </w:rPr>
        <w:t>住房装修、婚丧嫁娶、家属和子女的工作安排以及出国等提供任何金钱或非金钱方式的资助或帮助</w:t>
      </w:r>
      <w:r>
        <w:rPr>
          <w:rFonts w:hint="eastAsia" w:ascii="楷体" w:hAnsi="楷体" w:eastAsia="楷体" w:cs="楷体"/>
          <w:spacing w:val="-2"/>
          <w:sz w:val="28"/>
          <w:szCs w:val="28"/>
          <w:highlight w:val="none"/>
        </w:rPr>
        <w:t>；</w:t>
      </w:r>
    </w:p>
    <w:p w14:paraId="65342DFD">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f)吸收存款、推销金融产品、经营名贵特产类资源等提供帮助谋取利益；</w:t>
      </w:r>
    </w:p>
    <w:p w14:paraId="66E7C560">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g)其他可能影响甲方人员公平、公正的履行职权或者履行职责的情形</w:t>
      </w:r>
      <w:r>
        <w:rPr>
          <w:rFonts w:ascii="楷体" w:hAnsi="楷体" w:eastAsia="楷体" w:cs="楷体"/>
          <w:spacing w:val="-2"/>
          <w:sz w:val="28"/>
          <w:szCs w:val="28"/>
          <w:highlight w:val="none"/>
        </w:rPr>
        <w:t>。</w:t>
      </w:r>
    </w:p>
    <w:p w14:paraId="68C1E158">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6.乙方应当通过正常途径开展相关业务，决不为谋取不正当利益诱使甲方人员就</w:t>
      </w:r>
      <w:r>
        <w:rPr>
          <w:rFonts w:hint="eastAsia" w:ascii="楷体" w:hAnsi="楷体" w:eastAsia="楷体" w:cs="楷体"/>
          <w:spacing w:val="-2"/>
          <w:sz w:val="28"/>
          <w:szCs w:val="28"/>
          <w:highlight w:val="none"/>
        </w:rPr>
        <w:t>采购、服务或销售、经销的物项种类</w:t>
      </w:r>
      <w:r>
        <w:rPr>
          <w:rFonts w:ascii="楷体" w:hAnsi="楷体" w:eastAsia="楷体" w:cs="楷体"/>
          <w:spacing w:val="-2"/>
          <w:sz w:val="28"/>
          <w:szCs w:val="28"/>
          <w:highlight w:val="none"/>
        </w:rPr>
        <w:t>、</w:t>
      </w:r>
      <w:r>
        <w:rPr>
          <w:rFonts w:hint="eastAsia" w:ascii="楷体" w:hAnsi="楷体" w:eastAsia="楷体" w:cs="楷体"/>
          <w:spacing w:val="-2"/>
          <w:sz w:val="28"/>
          <w:szCs w:val="28"/>
          <w:highlight w:val="none"/>
        </w:rPr>
        <w:t>物项</w:t>
      </w:r>
      <w:r>
        <w:rPr>
          <w:rFonts w:ascii="楷体" w:hAnsi="楷体" w:eastAsia="楷体" w:cs="楷体"/>
          <w:spacing w:val="-2"/>
          <w:sz w:val="28"/>
          <w:szCs w:val="28"/>
          <w:highlight w:val="none"/>
        </w:rPr>
        <w:t>数量、价格</w:t>
      </w:r>
      <w:r>
        <w:rPr>
          <w:rFonts w:hint="eastAsia" w:ascii="楷体" w:hAnsi="楷体" w:eastAsia="楷体" w:cs="楷体"/>
          <w:spacing w:val="-2"/>
          <w:sz w:val="28"/>
          <w:szCs w:val="28"/>
          <w:highlight w:val="none"/>
        </w:rPr>
        <w:t>条件</w:t>
      </w:r>
      <w:r>
        <w:rPr>
          <w:rFonts w:ascii="楷体" w:hAnsi="楷体" w:eastAsia="楷体" w:cs="楷体"/>
          <w:spacing w:val="-2"/>
          <w:sz w:val="28"/>
          <w:szCs w:val="28"/>
          <w:highlight w:val="none"/>
        </w:rPr>
        <w:t>、</w:t>
      </w:r>
      <w:r>
        <w:rPr>
          <w:rFonts w:hint="eastAsia" w:ascii="楷体" w:hAnsi="楷体" w:eastAsia="楷体" w:cs="楷体"/>
          <w:spacing w:val="-2"/>
          <w:sz w:val="28"/>
          <w:szCs w:val="28"/>
          <w:highlight w:val="none"/>
        </w:rPr>
        <w:t>付款条件、</w:t>
      </w:r>
      <w:r>
        <w:rPr>
          <w:rFonts w:ascii="楷体" w:hAnsi="楷体" w:eastAsia="楷体" w:cs="楷体"/>
          <w:spacing w:val="-2"/>
          <w:sz w:val="28"/>
          <w:szCs w:val="28"/>
          <w:highlight w:val="none"/>
        </w:rPr>
        <w:t>质量问题处理等方面私下商谈或达成默契</w:t>
      </w:r>
      <w:r>
        <w:rPr>
          <w:rFonts w:hint="eastAsia" w:ascii="楷体" w:hAnsi="楷体" w:eastAsia="楷体" w:cs="楷体"/>
          <w:spacing w:val="-2"/>
          <w:sz w:val="28"/>
          <w:szCs w:val="28"/>
          <w:highlight w:val="none"/>
        </w:rPr>
        <w:t>；</w:t>
      </w:r>
      <w:r>
        <w:rPr>
          <w:rFonts w:ascii="楷体" w:hAnsi="楷体" w:eastAsia="楷体" w:cs="楷体"/>
          <w:spacing w:val="-2"/>
          <w:sz w:val="28"/>
          <w:szCs w:val="28"/>
          <w:highlight w:val="none"/>
        </w:rPr>
        <w:t>决不以任何方式诱使甲方人员接受或共同编造虚假议价及质量资料、影响交易价格或交易之达成、违背职务、将合同权利义务转让给第三方及其它损害甲方利益的行为。</w:t>
      </w:r>
    </w:p>
    <w:p w14:paraId="33FDEC84">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7.若乙方发现甲方人员或其</w:t>
      </w:r>
      <w:r>
        <w:rPr>
          <w:rFonts w:hint="eastAsia" w:ascii="楷体" w:hAnsi="楷体" w:eastAsia="楷体" w:cs="楷体"/>
          <w:spacing w:val="-2"/>
          <w:sz w:val="28"/>
          <w:szCs w:val="28"/>
          <w:highlight w:val="none"/>
        </w:rPr>
        <w:t>配偶、子女及其配偶等亲属和其他特定关系人</w:t>
      </w:r>
      <w:r>
        <w:rPr>
          <w:rFonts w:ascii="楷体" w:hAnsi="楷体" w:eastAsia="楷体" w:cs="楷体"/>
          <w:spacing w:val="-2"/>
          <w:sz w:val="28"/>
          <w:szCs w:val="28"/>
          <w:highlight w:val="none"/>
        </w:rPr>
        <w:t>有任何形式的索贿受贿行为，乙方有责任向甲方</w:t>
      </w:r>
      <w:r>
        <w:rPr>
          <w:rFonts w:hint="eastAsia" w:ascii="楷体" w:hAnsi="楷体" w:eastAsia="楷体" w:cs="楷体"/>
          <w:spacing w:val="-2"/>
          <w:sz w:val="28"/>
          <w:szCs w:val="28"/>
          <w:highlight w:val="none"/>
        </w:rPr>
        <w:t>所属</w:t>
      </w:r>
      <w:r>
        <w:rPr>
          <w:rFonts w:ascii="楷体" w:hAnsi="楷体" w:eastAsia="楷体" w:cs="楷体"/>
          <w:spacing w:val="-2"/>
          <w:sz w:val="28"/>
          <w:szCs w:val="28"/>
          <w:highlight w:val="none"/>
        </w:rPr>
        <w:t>重汽集团</w:t>
      </w:r>
      <w:r>
        <w:rPr>
          <w:rFonts w:hint="eastAsia" w:ascii="楷体" w:hAnsi="楷体" w:eastAsia="楷体" w:cs="楷体"/>
          <w:spacing w:val="-2"/>
          <w:sz w:val="28"/>
          <w:szCs w:val="28"/>
          <w:highlight w:val="none"/>
        </w:rPr>
        <w:t>的</w:t>
      </w:r>
      <w:r>
        <w:rPr>
          <w:rFonts w:ascii="楷体" w:hAnsi="楷体" w:eastAsia="楷体" w:cs="楷体"/>
          <w:spacing w:val="-2"/>
          <w:sz w:val="28"/>
          <w:szCs w:val="28"/>
          <w:highlight w:val="none"/>
        </w:rPr>
        <w:t>纪委监察部门举报（举报电话：0531-58062233，举报邮箱：jianchabu@sinotruk.com）。甲方不得</w:t>
      </w:r>
      <w:r>
        <w:rPr>
          <w:rFonts w:hint="eastAsia" w:ascii="楷体" w:hAnsi="楷体" w:eastAsia="楷体" w:cs="楷体"/>
          <w:spacing w:val="-2"/>
          <w:sz w:val="28"/>
          <w:szCs w:val="28"/>
          <w:highlight w:val="none"/>
        </w:rPr>
        <w:t>以</w:t>
      </w:r>
      <w:r>
        <w:rPr>
          <w:rFonts w:ascii="楷体" w:hAnsi="楷体" w:eastAsia="楷体" w:cs="楷体"/>
          <w:spacing w:val="-2"/>
          <w:sz w:val="28"/>
          <w:szCs w:val="28"/>
          <w:highlight w:val="none"/>
        </w:rPr>
        <w:t>任何借口对乙方进行报复。对举报属实和严格遵守廉洁协议的乙方，在同等条件下甲方优先考虑与乙方继续合作并给予更优惠的商务合作条件。</w:t>
      </w:r>
    </w:p>
    <w:p w14:paraId="4D7F9BB1">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8.若乙方知悉其它与甲方合作的供应商</w:t>
      </w:r>
      <w:r>
        <w:rPr>
          <w:rFonts w:hint="eastAsia" w:ascii="楷体" w:hAnsi="楷体" w:eastAsia="楷体" w:cs="楷体"/>
          <w:spacing w:val="-2"/>
          <w:sz w:val="28"/>
          <w:szCs w:val="28"/>
          <w:highlight w:val="none"/>
        </w:rPr>
        <w:t>、服务商或采购商、经销商等合作伙伴</w:t>
      </w:r>
      <w:r>
        <w:rPr>
          <w:rFonts w:ascii="楷体" w:hAnsi="楷体" w:eastAsia="楷体" w:cs="楷体"/>
          <w:spacing w:val="-2"/>
          <w:sz w:val="28"/>
          <w:szCs w:val="28"/>
          <w:highlight w:val="none"/>
        </w:rPr>
        <w:t>存在违反本协议规定之行为，乙方应向甲方</w:t>
      </w:r>
      <w:r>
        <w:rPr>
          <w:rFonts w:hint="eastAsia" w:ascii="楷体" w:hAnsi="楷体" w:eastAsia="楷体" w:cs="楷体"/>
          <w:spacing w:val="-2"/>
          <w:sz w:val="28"/>
          <w:szCs w:val="28"/>
          <w:highlight w:val="none"/>
        </w:rPr>
        <w:t>或</w:t>
      </w:r>
      <w:r>
        <w:rPr>
          <w:rFonts w:ascii="楷体" w:hAnsi="楷体" w:eastAsia="楷体" w:cs="楷体"/>
          <w:spacing w:val="-2"/>
          <w:sz w:val="28"/>
          <w:szCs w:val="28"/>
          <w:highlight w:val="none"/>
        </w:rPr>
        <w:t>甲方</w:t>
      </w:r>
      <w:r>
        <w:rPr>
          <w:rFonts w:hint="eastAsia" w:ascii="楷体" w:hAnsi="楷体" w:eastAsia="楷体" w:cs="楷体"/>
          <w:spacing w:val="-2"/>
          <w:sz w:val="28"/>
          <w:szCs w:val="28"/>
          <w:highlight w:val="none"/>
        </w:rPr>
        <w:t>所属</w:t>
      </w:r>
      <w:r>
        <w:rPr>
          <w:rFonts w:ascii="楷体" w:hAnsi="楷体" w:eastAsia="楷体" w:cs="楷体"/>
          <w:spacing w:val="-2"/>
          <w:sz w:val="28"/>
          <w:szCs w:val="28"/>
          <w:highlight w:val="none"/>
        </w:rPr>
        <w:t>重汽集团</w:t>
      </w:r>
      <w:r>
        <w:rPr>
          <w:rFonts w:hint="eastAsia" w:ascii="楷体" w:hAnsi="楷体" w:eastAsia="楷体" w:cs="楷体"/>
          <w:spacing w:val="-2"/>
          <w:sz w:val="28"/>
          <w:szCs w:val="28"/>
          <w:highlight w:val="none"/>
        </w:rPr>
        <w:t>的</w:t>
      </w:r>
      <w:r>
        <w:rPr>
          <w:rFonts w:ascii="楷体" w:hAnsi="楷体" w:eastAsia="楷体" w:cs="楷体"/>
          <w:spacing w:val="-2"/>
          <w:sz w:val="28"/>
          <w:szCs w:val="28"/>
          <w:highlight w:val="none"/>
        </w:rPr>
        <w:t>纪委监察部门检举并提供证据。</w:t>
      </w:r>
    </w:p>
    <w:p w14:paraId="769E8000">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9.乙方承诺在双方业务往来期间，不得对甲方人员采取任何手段使其离开甲方到乙方或乙方关联企业任职，若出现上述情况，则属于乙方违约，应承担给甲方造成的一切损失。</w:t>
      </w:r>
    </w:p>
    <w:p w14:paraId="0087D656">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10.乙方承诺不聘任甲方内退领导干部或其他人员在乙方或乙方关联企业工作；乙方承诺不聘任甲方离职或退休三年内的领导干部或其他人员在乙方或乙方关联企业工作。</w:t>
      </w:r>
    </w:p>
    <w:p w14:paraId="4DCE8552">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11.若乙方违反本协议约定的任何一项，乙方自愿向甲方支付5万元至50万元人民币或违反协议约定事件发现的上年度采购额的10%作为违约金，给甲方造成损失的，还应承担全部赔偿责任。另外甲方还有权对乙方采取降低供货比例、取消供货资格、单方解除采购合同等措施。情节特别严重或触犯法律法规的，将交由甲方住所地司法机关依法进行处理。</w:t>
      </w:r>
    </w:p>
    <w:p w14:paraId="14483402">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12.关联企业是指：a）本企业的实际控制人，如甲方的实际控制人中国重型汽车集团有限公司或山东重工集团有限公司等；b）本企业实际控制人对外出资，拥有股权超过50%的各级子公司；c）本企业实际控制人直接或间接持股比例虽未超过50%，但为第一大股东，并且通过股东协议、公司章程、董事会决议或者其他协议安排</w:t>
      </w:r>
      <w:r>
        <w:rPr>
          <w:rFonts w:hint="eastAsia" w:ascii="楷体" w:hAnsi="楷体" w:eastAsia="楷体" w:cs="楷体"/>
          <w:spacing w:val="-2"/>
          <w:sz w:val="28"/>
          <w:szCs w:val="28"/>
          <w:highlight w:val="none"/>
        </w:rPr>
        <w:t>等</w:t>
      </w:r>
      <w:r>
        <w:rPr>
          <w:rFonts w:ascii="楷体" w:hAnsi="楷体" w:eastAsia="楷体" w:cs="楷体"/>
          <w:spacing w:val="-2"/>
          <w:sz w:val="28"/>
          <w:szCs w:val="28"/>
          <w:highlight w:val="none"/>
        </w:rPr>
        <w:t>能够对其实际支配的企业或单位。</w:t>
      </w:r>
    </w:p>
    <w:p w14:paraId="1FD07F0B">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hint="eastAsia" w:ascii="楷体" w:hAnsi="楷体" w:eastAsia="楷体" w:cs="楷体"/>
          <w:spacing w:val="-2"/>
          <w:sz w:val="28"/>
          <w:szCs w:val="28"/>
          <w:highlight w:val="none"/>
        </w:rPr>
        <w:t>本企业股东、管理人员及其配偶、子女及其配偶等亲属和其他特定关系人以及本企业实际控制人、实际控制人持股超过50%的各级子公司、实际控制人持股未超过50%但能够实际支配的企业或单位的股东、管理人员及其配偶、子女及其配偶等亲属和其他特定关系人，直接持股、间接持股或以其他形式投资的企业或单位，视同本企业的关联企业。</w:t>
      </w:r>
    </w:p>
    <w:p w14:paraId="4F2CB2AA">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13.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2CFD5895">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045A8B89">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14.本协议作为执行</w:t>
      </w:r>
      <w:r>
        <w:rPr>
          <w:rFonts w:hint="eastAsia" w:ascii="楷体" w:hAnsi="楷体" w:eastAsia="楷体" w:cs="楷体"/>
          <w:spacing w:val="-2"/>
          <w:sz w:val="28"/>
          <w:szCs w:val="28"/>
          <w:highlight w:val="none"/>
        </w:rPr>
        <w:t>甲乙双方</w:t>
      </w:r>
      <w:r>
        <w:rPr>
          <w:rFonts w:ascii="楷体" w:hAnsi="楷体" w:eastAsia="楷体" w:cs="楷体"/>
          <w:spacing w:val="-2"/>
          <w:sz w:val="28"/>
          <w:szCs w:val="28"/>
          <w:highlight w:val="none"/>
        </w:rPr>
        <w:t>采购协议</w:t>
      </w:r>
      <w:r>
        <w:rPr>
          <w:rFonts w:hint="eastAsia" w:ascii="楷体" w:hAnsi="楷体" w:eastAsia="楷体" w:cs="楷体"/>
          <w:spacing w:val="-2"/>
          <w:sz w:val="28"/>
          <w:szCs w:val="28"/>
          <w:highlight w:val="none"/>
        </w:rPr>
        <w:t>或其他合作合同、协议</w:t>
      </w:r>
      <w:r>
        <w:rPr>
          <w:rFonts w:ascii="楷体" w:hAnsi="楷体" w:eastAsia="楷体" w:cs="楷体"/>
          <w:spacing w:val="-2"/>
          <w:sz w:val="28"/>
          <w:szCs w:val="28"/>
          <w:highlight w:val="none"/>
        </w:rPr>
        <w:t>的附件，自双方签署之日起生效，此协议在</w:t>
      </w:r>
      <w:r>
        <w:rPr>
          <w:rFonts w:hint="eastAsia" w:ascii="楷体" w:hAnsi="楷体" w:eastAsia="楷体" w:cs="楷体"/>
          <w:spacing w:val="-2"/>
          <w:sz w:val="28"/>
          <w:szCs w:val="28"/>
          <w:highlight w:val="none"/>
        </w:rPr>
        <w:t>甲乙</w:t>
      </w:r>
      <w:r>
        <w:rPr>
          <w:rFonts w:ascii="楷体" w:hAnsi="楷体" w:eastAsia="楷体" w:cs="楷体"/>
          <w:spacing w:val="-2"/>
          <w:sz w:val="28"/>
          <w:szCs w:val="28"/>
          <w:highlight w:val="none"/>
        </w:rPr>
        <w:t>双方</w:t>
      </w:r>
      <w:r>
        <w:rPr>
          <w:rFonts w:hint="eastAsia" w:ascii="楷体" w:hAnsi="楷体" w:eastAsia="楷体" w:cs="楷体"/>
          <w:spacing w:val="-2"/>
          <w:sz w:val="28"/>
          <w:szCs w:val="28"/>
          <w:highlight w:val="none"/>
        </w:rPr>
        <w:t>业务</w:t>
      </w:r>
      <w:r>
        <w:rPr>
          <w:rFonts w:ascii="楷体" w:hAnsi="楷体" w:eastAsia="楷体" w:cs="楷体"/>
          <w:spacing w:val="-2"/>
          <w:sz w:val="28"/>
          <w:szCs w:val="28"/>
          <w:highlight w:val="none"/>
        </w:rPr>
        <w:t>合作期间有效</w:t>
      </w:r>
      <w:r>
        <w:rPr>
          <w:rFonts w:hint="eastAsia" w:ascii="楷体" w:hAnsi="楷体" w:eastAsia="楷体" w:cs="楷体"/>
          <w:spacing w:val="-2"/>
          <w:sz w:val="28"/>
          <w:szCs w:val="28"/>
          <w:highlight w:val="none"/>
        </w:rPr>
        <w:t>；本协议生效后将自动替代生效日之前双方已签订的《供应商廉洁诚信协议》或类同协议约定；本协议生效前甲乙双方未签署《供应商廉洁诚信协议》或类同协议约定等但实际已存在供应采购等业务合作关系的，甲乙双方同意有关业务合作适用本协议的所有条款约定。</w:t>
      </w:r>
    </w:p>
    <w:p w14:paraId="007FA713">
      <w:pPr>
        <w:pStyle w:val="43"/>
        <w:pageBreakBefore w:val="0"/>
        <w:widowControl w:val="0"/>
        <w:tabs>
          <w:tab w:val="left" w:pos="1244"/>
        </w:tabs>
        <w:kinsoku/>
        <w:wordWrap/>
        <w:overflowPunct/>
        <w:topLinePunct w:val="0"/>
        <w:autoSpaceDE/>
        <w:autoSpaceDN/>
        <w:bidi w:val="0"/>
        <w:adjustRightInd w:val="0"/>
        <w:spacing w:line="305" w:lineRule="auto"/>
        <w:ind w:firstLine="552"/>
        <w:textAlignment w:val="auto"/>
        <w:outlineLvl w:val="9"/>
        <w:rPr>
          <w:rFonts w:ascii="楷体" w:hAnsi="楷体" w:eastAsia="楷体" w:cs="楷体"/>
          <w:spacing w:val="-2"/>
          <w:sz w:val="28"/>
          <w:szCs w:val="28"/>
          <w:highlight w:val="none"/>
        </w:rPr>
      </w:pPr>
      <w:r>
        <w:rPr>
          <w:rFonts w:ascii="楷体" w:hAnsi="楷体" w:eastAsia="楷体" w:cs="楷体"/>
          <w:spacing w:val="-2"/>
          <w:sz w:val="28"/>
          <w:szCs w:val="28"/>
          <w:highlight w:val="none"/>
        </w:rPr>
        <w:t>1</w:t>
      </w:r>
      <w:r>
        <w:rPr>
          <w:rFonts w:hint="eastAsia" w:ascii="楷体" w:hAnsi="楷体" w:eastAsia="楷体" w:cs="楷体"/>
          <w:spacing w:val="-2"/>
          <w:sz w:val="28"/>
          <w:szCs w:val="28"/>
          <w:highlight w:val="none"/>
        </w:rPr>
        <w:t>5</w:t>
      </w:r>
      <w:r>
        <w:rPr>
          <w:rFonts w:ascii="楷体" w:hAnsi="楷体" w:eastAsia="楷体" w:cs="楷体"/>
          <w:spacing w:val="-2"/>
          <w:sz w:val="28"/>
          <w:szCs w:val="28"/>
          <w:highlight w:val="none"/>
        </w:rPr>
        <w:t>.本协议一式二份，双方各执一份，具有同等法律效力。若产生争议，双方协商解决，协商不成的在甲方所在地有管辖权的法院诉讼解决。</w:t>
      </w:r>
    </w:p>
    <w:p w14:paraId="3B9B47D6">
      <w:pPr>
        <w:pStyle w:val="7"/>
        <w:pageBreakBefore w:val="0"/>
        <w:widowControl w:val="0"/>
        <w:kinsoku/>
        <w:wordWrap/>
        <w:overflowPunct/>
        <w:topLinePunct w:val="0"/>
        <w:autoSpaceDE/>
        <w:autoSpaceDN/>
        <w:bidi w:val="0"/>
        <w:spacing w:before="9"/>
        <w:textAlignment w:val="auto"/>
        <w:outlineLvl w:val="9"/>
        <w:rPr>
          <w:rFonts w:ascii="楷体" w:hAnsi="楷体" w:eastAsia="楷体" w:cs="楷体"/>
          <w:sz w:val="40"/>
          <w:szCs w:val="28"/>
          <w:highlight w:val="none"/>
        </w:rPr>
      </w:pPr>
    </w:p>
    <w:p w14:paraId="3F0BAFCC">
      <w:pPr>
        <w:pageBreakBefore w:val="0"/>
        <w:widowControl w:val="0"/>
        <w:tabs>
          <w:tab w:val="left" w:pos="5457"/>
        </w:tabs>
        <w:kinsoku/>
        <w:wordWrap/>
        <w:overflowPunct/>
        <w:topLinePunct w:val="0"/>
        <w:autoSpaceDE/>
        <w:autoSpaceDN/>
        <w:bidi w:val="0"/>
        <w:spacing w:before="1"/>
        <w:ind w:left="117"/>
        <w:textAlignment w:val="auto"/>
        <w:outlineLvl w:val="9"/>
        <w:rPr>
          <w:rFonts w:ascii="楷体" w:hAnsi="楷体" w:eastAsia="楷体" w:cs="楷体"/>
          <w:b/>
          <w:sz w:val="24"/>
          <w:szCs w:val="21"/>
          <w:highlight w:val="none"/>
        </w:rPr>
      </w:pPr>
      <w:bookmarkStart w:id="30" w:name="_Toc3301"/>
      <w:r>
        <w:rPr>
          <w:rFonts w:hint="eastAsia" w:ascii="楷体" w:hAnsi="楷体" w:eastAsia="楷体" w:cs="楷体"/>
          <w:b/>
          <w:spacing w:val="-1"/>
          <w:w w:val="99"/>
          <w:sz w:val="24"/>
          <w:szCs w:val="21"/>
          <w:highlight w:val="none"/>
        </w:rPr>
        <w:t>甲方（盖章</w:t>
      </w:r>
      <w:r>
        <w:rPr>
          <w:rFonts w:hint="eastAsia" w:ascii="楷体" w:hAnsi="楷体" w:eastAsia="楷体" w:cs="楷体"/>
          <w:b/>
          <w:spacing w:val="-140"/>
          <w:w w:val="99"/>
          <w:sz w:val="24"/>
          <w:szCs w:val="21"/>
          <w:highlight w:val="none"/>
        </w:rPr>
        <w:t>）</w:t>
      </w:r>
      <w:r>
        <w:rPr>
          <w:rFonts w:hint="eastAsia" w:ascii="楷体" w:hAnsi="楷体" w:eastAsia="楷体" w:cs="楷体"/>
          <w:b/>
          <w:w w:val="99"/>
          <w:sz w:val="24"/>
          <w:szCs w:val="21"/>
          <w:highlight w:val="none"/>
        </w:rPr>
        <w:t>：</w:t>
      </w:r>
      <w:r>
        <w:rPr>
          <w:rFonts w:hint="eastAsia" w:ascii="楷体" w:hAnsi="楷体" w:eastAsia="楷体" w:cs="楷体"/>
          <w:b/>
          <w:sz w:val="24"/>
          <w:szCs w:val="21"/>
          <w:highlight w:val="none"/>
        </w:rPr>
        <w:tab/>
      </w:r>
      <w:r>
        <w:rPr>
          <w:rFonts w:hint="eastAsia" w:ascii="楷体" w:hAnsi="楷体" w:eastAsia="楷体" w:cs="楷体"/>
          <w:b/>
          <w:spacing w:val="-1"/>
          <w:w w:val="99"/>
          <w:sz w:val="24"/>
          <w:szCs w:val="21"/>
          <w:highlight w:val="none"/>
        </w:rPr>
        <w:t>乙方（盖</w:t>
      </w:r>
      <w:r>
        <w:rPr>
          <w:rFonts w:hint="eastAsia" w:ascii="楷体" w:hAnsi="楷体" w:eastAsia="楷体" w:cs="楷体"/>
          <w:b/>
          <w:spacing w:val="2"/>
          <w:w w:val="99"/>
          <w:sz w:val="24"/>
          <w:szCs w:val="21"/>
          <w:highlight w:val="none"/>
        </w:rPr>
        <w:t>章</w:t>
      </w:r>
      <w:r>
        <w:rPr>
          <w:rFonts w:hint="eastAsia" w:ascii="楷体" w:hAnsi="楷体" w:eastAsia="楷体" w:cs="楷体"/>
          <w:b/>
          <w:spacing w:val="-142"/>
          <w:w w:val="99"/>
          <w:sz w:val="24"/>
          <w:szCs w:val="21"/>
          <w:highlight w:val="none"/>
        </w:rPr>
        <w:t>）</w:t>
      </w:r>
      <w:r>
        <w:rPr>
          <w:rFonts w:hint="eastAsia" w:ascii="楷体" w:hAnsi="楷体" w:eastAsia="楷体" w:cs="楷体"/>
          <w:b/>
          <w:w w:val="99"/>
          <w:sz w:val="24"/>
          <w:szCs w:val="21"/>
          <w:highlight w:val="none"/>
        </w:rPr>
        <w:t>：</w:t>
      </w:r>
      <w:bookmarkEnd w:id="30"/>
    </w:p>
    <w:p w14:paraId="47BABD10">
      <w:pPr>
        <w:pStyle w:val="7"/>
        <w:pageBreakBefore w:val="0"/>
        <w:widowControl w:val="0"/>
        <w:kinsoku/>
        <w:wordWrap/>
        <w:overflowPunct/>
        <w:topLinePunct w:val="0"/>
        <w:autoSpaceDE/>
        <w:autoSpaceDN/>
        <w:bidi w:val="0"/>
        <w:textAlignment w:val="auto"/>
        <w:outlineLvl w:val="9"/>
        <w:rPr>
          <w:rFonts w:ascii="楷体" w:hAnsi="楷体" w:eastAsia="楷体" w:cs="楷体"/>
          <w:b/>
          <w:sz w:val="24"/>
          <w:szCs w:val="28"/>
          <w:highlight w:val="none"/>
        </w:rPr>
      </w:pPr>
    </w:p>
    <w:p w14:paraId="6FB080BE">
      <w:pPr>
        <w:pStyle w:val="7"/>
        <w:pageBreakBefore w:val="0"/>
        <w:widowControl w:val="0"/>
        <w:kinsoku/>
        <w:wordWrap/>
        <w:overflowPunct/>
        <w:topLinePunct w:val="0"/>
        <w:autoSpaceDE/>
        <w:autoSpaceDN/>
        <w:bidi w:val="0"/>
        <w:spacing w:before="1"/>
        <w:textAlignment w:val="auto"/>
        <w:outlineLvl w:val="9"/>
        <w:rPr>
          <w:rFonts w:ascii="楷体" w:hAnsi="楷体" w:eastAsia="楷体" w:cs="楷体"/>
          <w:b/>
          <w:sz w:val="24"/>
          <w:szCs w:val="28"/>
          <w:highlight w:val="none"/>
        </w:rPr>
      </w:pPr>
    </w:p>
    <w:p w14:paraId="44008D1C">
      <w:pPr>
        <w:pageBreakBefore w:val="0"/>
        <w:widowControl w:val="0"/>
        <w:tabs>
          <w:tab w:val="left" w:pos="5457"/>
        </w:tabs>
        <w:kinsoku/>
        <w:wordWrap/>
        <w:overflowPunct/>
        <w:topLinePunct w:val="0"/>
        <w:autoSpaceDE/>
        <w:autoSpaceDN/>
        <w:bidi w:val="0"/>
        <w:ind w:left="117"/>
        <w:textAlignment w:val="auto"/>
        <w:outlineLvl w:val="9"/>
        <w:rPr>
          <w:rFonts w:ascii="楷体" w:hAnsi="楷体" w:eastAsia="楷体" w:cs="楷体"/>
          <w:b/>
          <w:sz w:val="24"/>
          <w:szCs w:val="21"/>
          <w:highlight w:val="none"/>
        </w:rPr>
      </w:pPr>
      <w:bookmarkStart w:id="31" w:name="_Toc5270"/>
      <w:r>
        <w:rPr>
          <w:rFonts w:hint="eastAsia" w:ascii="楷体" w:hAnsi="楷体" w:eastAsia="楷体" w:cs="楷体"/>
          <w:b/>
          <w:sz w:val="24"/>
          <w:szCs w:val="21"/>
          <w:highlight w:val="none"/>
        </w:rPr>
        <w:t>法定代表/授权代表</w:t>
      </w:r>
      <w:r>
        <w:rPr>
          <w:rFonts w:hint="eastAsia" w:ascii="楷体" w:hAnsi="楷体" w:eastAsia="楷体" w:cs="楷体"/>
          <w:b/>
          <w:sz w:val="24"/>
          <w:szCs w:val="21"/>
          <w:highlight w:val="none"/>
        </w:rPr>
        <w:tab/>
      </w:r>
      <w:r>
        <w:rPr>
          <w:rFonts w:hint="eastAsia" w:ascii="楷体" w:hAnsi="楷体" w:eastAsia="楷体" w:cs="楷体"/>
          <w:b/>
          <w:sz w:val="24"/>
          <w:szCs w:val="21"/>
          <w:highlight w:val="none"/>
        </w:rPr>
        <w:t>法定代表/授权代表</w:t>
      </w:r>
      <w:bookmarkEnd w:id="31"/>
    </w:p>
    <w:p w14:paraId="426FE208">
      <w:pPr>
        <w:pStyle w:val="7"/>
        <w:pageBreakBefore w:val="0"/>
        <w:widowControl w:val="0"/>
        <w:kinsoku/>
        <w:wordWrap/>
        <w:overflowPunct/>
        <w:topLinePunct w:val="0"/>
        <w:autoSpaceDE/>
        <w:autoSpaceDN/>
        <w:bidi w:val="0"/>
        <w:textAlignment w:val="auto"/>
        <w:outlineLvl w:val="9"/>
        <w:rPr>
          <w:rFonts w:ascii="楷体" w:hAnsi="楷体" w:eastAsia="楷体" w:cs="楷体"/>
          <w:b/>
          <w:sz w:val="24"/>
          <w:szCs w:val="28"/>
          <w:highlight w:val="none"/>
        </w:rPr>
      </w:pPr>
    </w:p>
    <w:p w14:paraId="1F624737">
      <w:pPr>
        <w:pStyle w:val="7"/>
        <w:pageBreakBefore w:val="0"/>
        <w:widowControl w:val="0"/>
        <w:kinsoku/>
        <w:wordWrap/>
        <w:overflowPunct/>
        <w:topLinePunct w:val="0"/>
        <w:autoSpaceDE/>
        <w:autoSpaceDN/>
        <w:bidi w:val="0"/>
        <w:spacing w:before="4"/>
        <w:textAlignment w:val="auto"/>
        <w:outlineLvl w:val="9"/>
        <w:rPr>
          <w:rFonts w:ascii="楷体" w:hAnsi="楷体" w:eastAsia="楷体" w:cs="楷体"/>
          <w:b/>
          <w:sz w:val="24"/>
          <w:szCs w:val="28"/>
          <w:highlight w:val="none"/>
        </w:rPr>
      </w:pPr>
    </w:p>
    <w:p w14:paraId="7E5CE49B">
      <w:pPr>
        <w:pageBreakBefore w:val="0"/>
        <w:widowControl w:val="0"/>
        <w:tabs>
          <w:tab w:val="left" w:pos="5457"/>
        </w:tabs>
        <w:kinsoku/>
        <w:wordWrap/>
        <w:overflowPunct/>
        <w:topLinePunct w:val="0"/>
        <w:autoSpaceDE/>
        <w:autoSpaceDN/>
        <w:bidi w:val="0"/>
        <w:ind w:left="117"/>
        <w:textAlignment w:val="auto"/>
        <w:outlineLvl w:val="9"/>
        <w:rPr>
          <w:rFonts w:ascii="Calibri" w:hAnsi="Calibri"/>
          <w:b/>
          <w:bCs/>
          <w:kern w:val="44"/>
          <w:sz w:val="36"/>
          <w:szCs w:val="44"/>
          <w:highlight w:val="none"/>
        </w:rPr>
        <w:sectPr>
          <w:pgSz w:w="11906" w:h="16838"/>
          <w:pgMar w:top="1587" w:right="1417" w:bottom="1134" w:left="1417" w:header="851" w:footer="992" w:gutter="0"/>
          <w:pgNumType w:fmt="decimal"/>
          <w:cols w:space="0" w:num="1"/>
          <w:titlePg/>
          <w:rtlGutter w:val="0"/>
          <w:docGrid w:type="lines" w:linePitch="312" w:charSpace="0"/>
        </w:sectPr>
      </w:pPr>
      <w:bookmarkStart w:id="32" w:name="_Toc4135"/>
      <w:r>
        <w:rPr>
          <w:rFonts w:hint="eastAsia" w:ascii="楷体" w:hAnsi="楷体" w:eastAsia="楷体" w:cs="楷体"/>
          <w:b/>
          <w:sz w:val="24"/>
          <w:szCs w:val="21"/>
          <w:highlight w:val="none"/>
        </w:rPr>
        <w:t>日</w:t>
      </w:r>
      <w:r>
        <w:rPr>
          <w:rFonts w:hint="eastAsia" w:ascii="楷体" w:hAnsi="楷体" w:eastAsia="楷体" w:cs="楷体"/>
          <w:b/>
          <w:spacing w:val="-4"/>
          <w:sz w:val="24"/>
          <w:szCs w:val="21"/>
          <w:highlight w:val="none"/>
        </w:rPr>
        <w:t xml:space="preserve"> </w:t>
      </w:r>
      <w:r>
        <w:rPr>
          <w:rFonts w:hint="eastAsia" w:ascii="楷体" w:hAnsi="楷体" w:eastAsia="楷体" w:cs="楷体"/>
          <w:b/>
          <w:sz w:val="24"/>
          <w:szCs w:val="21"/>
          <w:highlight w:val="none"/>
        </w:rPr>
        <w:t>期:</w:t>
      </w:r>
      <w:r>
        <w:rPr>
          <w:rFonts w:hint="eastAsia" w:ascii="楷体" w:hAnsi="楷体" w:eastAsia="楷体" w:cs="楷体"/>
          <w:b/>
          <w:sz w:val="24"/>
          <w:szCs w:val="21"/>
          <w:highlight w:val="none"/>
        </w:rPr>
        <w:tab/>
      </w:r>
      <w:r>
        <w:rPr>
          <w:rFonts w:hint="eastAsia" w:ascii="楷体" w:hAnsi="楷体" w:eastAsia="楷体" w:cs="楷体"/>
          <w:b/>
          <w:sz w:val="24"/>
          <w:szCs w:val="21"/>
          <w:highlight w:val="none"/>
        </w:rPr>
        <w:t>日 期:</w:t>
      </w:r>
      <w:bookmarkEnd w:id="32"/>
    </w:p>
    <w:p w14:paraId="418E6E05">
      <w:pPr>
        <w:keepNext w:val="0"/>
        <w:keepLines w:val="0"/>
        <w:pageBreakBefore w:val="0"/>
        <w:widowControl w:val="0"/>
        <w:kinsoku/>
        <w:wordWrap/>
        <w:overflowPunct/>
        <w:topLinePunct w:val="0"/>
        <w:autoSpaceDE/>
        <w:autoSpaceDN/>
        <w:bidi w:val="0"/>
        <w:spacing w:line="500" w:lineRule="exact"/>
        <w:jc w:val="both"/>
        <w:textAlignment w:val="auto"/>
        <w:outlineLvl w:val="9"/>
        <w:rPr>
          <w:rFonts w:ascii="宋体" w:hAnsi="Courier New"/>
          <w:highlight w:val="none"/>
        </w:rPr>
      </w:pPr>
    </w:p>
    <w:p w14:paraId="770A78C8">
      <w:pPr>
        <w:pStyle w:val="10"/>
        <w:keepNext w:val="0"/>
        <w:keepLines w:val="0"/>
        <w:pageBreakBefore w:val="0"/>
        <w:widowControl w:val="0"/>
        <w:kinsoku/>
        <w:wordWrap/>
        <w:overflowPunct/>
        <w:topLinePunct w:val="0"/>
        <w:autoSpaceDE/>
        <w:autoSpaceDN/>
        <w:bidi w:val="0"/>
        <w:spacing w:line="500" w:lineRule="exact"/>
        <w:jc w:val="center"/>
        <w:textAlignment w:val="auto"/>
        <w:outlineLvl w:val="9"/>
        <w:rPr>
          <w:rFonts w:ascii="Times New Roman" w:hAnsi="Times New Roman" w:eastAsia="黑体" w:cs="Times New Roman"/>
          <w:b/>
          <w:bCs/>
          <w:sz w:val="36"/>
          <w:highlight w:val="none"/>
        </w:rPr>
      </w:pPr>
      <w:r>
        <w:rPr>
          <w:rFonts w:hint="eastAsia" w:ascii="Times New Roman" w:hAnsi="Times New Roman" w:eastAsia="黑体" w:cs="Times New Roman"/>
          <w:b/>
          <w:bCs/>
          <w:sz w:val="36"/>
          <w:highlight w:val="none"/>
        </w:rPr>
        <w:t>SRM非生产供应商注册操作手册</w:t>
      </w:r>
    </w:p>
    <w:p w14:paraId="1D1E5BB6">
      <w:pPr>
        <w:pStyle w:val="10"/>
        <w:keepNext w:val="0"/>
        <w:keepLines w:val="0"/>
        <w:pageBreakBefore w:val="0"/>
        <w:widowControl w:val="0"/>
        <w:kinsoku/>
        <w:wordWrap/>
        <w:overflowPunct/>
        <w:topLinePunct w:val="0"/>
        <w:autoSpaceDE/>
        <w:autoSpaceDN/>
        <w:bidi w:val="0"/>
        <w:spacing w:line="500" w:lineRule="exact"/>
        <w:jc w:val="center"/>
        <w:textAlignment w:val="auto"/>
        <w:outlineLvl w:val="9"/>
        <w:rPr>
          <w:highlight w:val="none"/>
        </w:rPr>
      </w:pPr>
    </w:p>
    <w:p w14:paraId="26E8979A">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outlineLvl w:val="9"/>
        <w:rPr>
          <w:rFonts w:ascii="宋体" w:hAnsi="宋体" w:cs="宋体"/>
          <w:sz w:val="24"/>
          <w:szCs w:val="24"/>
          <w:highlight w:val="none"/>
        </w:rPr>
      </w:pPr>
      <w:r>
        <w:rPr>
          <w:rFonts w:ascii="宋体" w:hAnsi="宋体" w:cs="宋体"/>
          <w:sz w:val="24"/>
          <w:szCs w:val="24"/>
          <w:highlight w:val="none"/>
        </w:rPr>
        <w:t>浏览器中输入地址;</w:t>
      </w:r>
    </w:p>
    <w:p w14:paraId="16E77F11">
      <w:pPr>
        <w:keepNext w:val="0"/>
        <w:keepLines w:val="0"/>
        <w:pageBreakBefore w:val="0"/>
        <w:widowControl w:val="0"/>
        <w:kinsoku/>
        <w:wordWrap/>
        <w:overflowPunct/>
        <w:topLinePunct w:val="0"/>
        <w:autoSpaceDE/>
        <w:autoSpaceDN/>
        <w:bidi w:val="0"/>
        <w:adjustRightInd w:val="0"/>
        <w:snapToGrid w:val="0"/>
        <w:spacing w:line="500" w:lineRule="exact"/>
        <w:jc w:val="left"/>
        <w:textAlignment w:val="auto"/>
        <w:outlineLvl w:val="9"/>
        <w:rPr>
          <w:rFonts w:ascii="宋体" w:hAnsi="宋体" w:cs="宋体"/>
          <w:sz w:val="24"/>
          <w:szCs w:val="24"/>
          <w:highlight w:val="none"/>
        </w:rPr>
      </w:pPr>
      <w:r>
        <w:rPr>
          <w:highlight w:val="none"/>
        </w:rPr>
        <w:fldChar w:fldCharType="begin"/>
      </w:r>
      <w:r>
        <w:rPr>
          <w:highlight w:val="none"/>
        </w:rPr>
        <w:instrText xml:space="preserve"> HYPERLINK "http://ecaitong.sinotruk.com:8012/#/login" \t "dlt" </w:instrText>
      </w:r>
      <w:r>
        <w:rPr>
          <w:highlight w:val="none"/>
        </w:rPr>
        <w:fldChar w:fldCharType="separate"/>
      </w:r>
      <w:r>
        <w:rPr>
          <w:rFonts w:ascii="宋体" w:hAnsi="宋体" w:cs="宋体"/>
          <w:sz w:val="24"/>
          <w:szCs w:val="24"/>
          <w:highlight w:val="none"/>
        </w:rPr>
        <w:t>http</w:t>
      </w:r>
      <w:r>
        <w:rPr>
          <w:rFonts w:hint="eastAsia" w:ascii="宋体" w:hAnsi="宋体" w:cs="宋体"/>
          <w:sz w:val="24"/>
          <w:szCs w:val="24"/>
          <w:highlight w:val="none"/>
        </w:rPr>
        <w:t>s</w:t>
      </w:r>
      <w:r>
        <w:rPr>
          <w:rFonts w:ascii="宋体" w:hAnsi="宋体" w:cs="宋体"/>
          <w:sz w:val="24"/>
          <w:szCs w:val="24"/>
          <w:highlight w:val="none"/>
        </w:rPr>
        <w:t>://ecaitong.sinotruk.com:8012/#/login</w:t>
      </w:r>
      <w:r>
        <w:rPr>
          <w:rFonts w:ascii="宋体" w:hAnsi="宋体" w:cs="宋体"/>
          <w:sz w:val="24"/>
          <w:szCs w:val="24"/>
          <w:highlight w:val="none"/>
        </w:rPr>
        <w:fldChar w:fldCharType="end"/>
      </w:r>
    </w:p>
    <w:p w14:paraId="51C18C75">
      <w:pPr>
        <w:pageBreakBefore w:val="0"/>
        <w:widowControl w:val="0"/>
        <w:kinsoku/>
        <w:wordWrap/>
        <w:overflowPunct/>
        <w:topLinePunct w:val="0"/>
        <w:autoSpaceDE/>
        <w:autoSpaceDN/>
        <w:bidi w:val="0"/>
        <w:adjustRightInd w:val="0"/>
        <w:snapToGrid w:val="0"/>
        <w:spacing w:line="360" w:lineRule="auto"/>
        <w:jc w:val="left"/>
        <w:textAlignment w:val="auto"/>
        <w:outlineLvl w:val="9"/>
        <w:rPr>
          <w:rFonts w:ascii="宋体" w:hAnsi="宋体" w:cs="宋体"/>
          <w:sz w:val="24"/>
          <w:szCs w:val="24"/>
          <w:highlight w:val="none"/>
        </w:rPr>
      </w:pPr>
      <w:r>
        <w:rPr>
          <w:rFonts w:ascii="宋体" w:hAnsi="宋体" w:cs="宋体"/>
          <w:sz w:val="24"/>
          <w:szCs w:val="24"/>
          <w:highlight w:val="none"/>
        </w:rPr>
        <w:t>1.点击立即注册</w:t>
      </w:r>
    </w:p>
    <w:p w14:paraId="216776EA">
      <w:pPr>
        <w:pageBreakBefore w:val="0"/>
        <w:widowControl w:val="0"/>
        <w:kinsoku/>
        <w:wordWrap/>
        <w:overflowPunct/>
        <w:topLinePunct w:val="0"/>
        <w:autoSpaceDE/>
        <w:autoSpaceDN/>
        <w:bidi w:val="0"/>
        <w:snapToGrid w:val="0"/>
        <w:spacing w:line="312" w:lineRule="auto"/>
        <w:textAlignment w:val="auto"/>
        <w:outlineLvl w:val="9"/>
        <w:rPr>
          <w:highlight w:val="none"/>
        </w:rPr>
      </w:pPr>
      <w:r>
        <w:rPr>
          <w:highlight w:val="none"/>
        </w:rPr>
        <w:drawing>
          <wp:inline distT="0" distB="0" distL="0" distR="0">
            <wp:extent cx="5760085" cy="2933065"/>
            <wp:effectExtent l="0" t="0" r="635" b="825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8"/>
                    <a:stretch>
                      <a:fillRect/>
                    </a:stretch>
                  </pic:blipFill>
                  <pic:spPr>
                    <a:xfrm>
                      <a:off x="0" y="0"/>
                      <a:ext cx="5760085" cy="2933377"/>
                    </a:xfrm>
                    <a:prstGeom prst="rect">
                      <a:avLst/>
                    </a:prstGeom>
                  </pic:spPr>
                </pic:pic>
              </a:graphicData>
            </a:graphic>
          </wp:inline>
        </w:drawing>
      </w:r>
    </w:p>
    <w:p w14:paraId="0307CC15">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8"/>
          <w:highlight w:val="none"/>
        </w:rPr>
      </w:pPr>
      <w:r>
        <w:rPr>
          <w:rFonts w:hint="eastAsia" w:ascii="宋体" w:hAnsi="宋体" w:cs="宋体"/>
          <w:color w:val="000000"/>
          <w:sz w:val="24"/>
          <w:szCs w:val="28"/>
          <w:highlight w:val="none"/>
        </w:rPr>
        <w:t>2.</w:t>
      </w:r>
      <w:r>
        <w:rPr>
          <w:rFonts w:ascii="宋体" w:hAnsi="宋体" w:cs="宋体"/>
          <w:color w:val="000000"/>
          <w:sz w:val="24"/>
          <w:szCs w:val="28"/>
          <w:highlight w:val="none"/>
        </w:rPr>
        <w:t>填写手机号码（没有注册过的）</w:t>
      </w:r>
    </w:p>
    <w:p w14:paraId="58036964">
      <w:pPr>
        <w:pageBreakBefore w:val="0"/>
        <w:widowControl w:val="0"/>
        <w:kinsoku/>
        <w:wordWrap/>
        <w:overflowPunct/>
        <w:topLinePunct w:val="0"/>
        <w:autoSpaceDE/>
        <w:autoSpaceDN/>
        <w:bidi w:val="0"/>
        <w:snapToGrid w:val="0"/>
        <w:spacing w:line="312" w:lineRule="auto"/>
        <w:textAlignment w:val="auto"/>
        <w:outlineLvl w:val="9"/>
        <w:rPr>
          <w:highlight w:val="none"/>
        </w:rPr>
      </w:pPr>
      <w:r>
        <w:rPr>
          <w:highlight w:val="none"/>
        </w:rPr>
        <w:drawing>
          <wp:inline distT="0" distB="0" distL="0" distR="0">
            <wp:extent cx="5760085" cy="2766695"/>
            <wp:effectExtent l="0" t="0" r="635" b="698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9"/>
                    <a:stretch>
                      <a:fillRect/>
                    </a:stretch>
                  </pic:blipFill>
                  <pic:spPr>
                    <a:xfrm>
                      <a:off x="0" y="0"/>
                      <a:ext cx="5760085" cy="2766707"/>
                    </a:xfrm>
                    <a:prstGeom prst="rect">
                      <a:avLst/>
                    </a:prstGeom>
                  </pic:spPr>
                </pic:pic>
              </a:graphicData>
            </a:graphic>
          </wp:inline>
        </w:drawing>
      </w:r>
    </w:p>
    <w:p w14:paraId="34FB5DF5">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8"/>
          <w:highlight w:val="none"/>
        </w:rPr>
      </w:pPr>
      <w:r>
        <w:rPr>
          <w:rFonts w:hint="eastAsia" w:ascii="宋体" w:hAnsi="宋体" w:cs="宋体"/>
          <w:color w:val="000000"/>
          <w:sz w:val="24"/>
          <w:szCs w:val="28"/>
          <w:highlight w:val="none"/>
        </w:rPr>
        <w:t>3.</w:t>
      </w:r>
      <w:r>
        <w:rPr>
          <w:rFonts w:ascii="宋体" w:hAnsi="宋体" w:cs="宋体"/>
          <w:color w:val="000000"/>
          <w:sz w:val="24"/>
          <w:szCs w:val="28"/>
          <w:highlight w:val="none"/>
        </w:rPr>
        <w:t>注册成功登录这个手机号码的账号进入系统，点击供应商注册</w:t>
      </w:r>
    </w:p>
    <w:p w14:paraId="16C3956B">
      <w:pPr>
        <w:pageBreakBefore w:val="0"/>
        <w:widowControl w:val="0"/>
        <w:kinsoku/>
        <w:wordWrap/>
        <w:overflowPunct/>
        <w:topLinePunct w:val="0"/>
        <w:autoSpaceDE/>
        <w:autoSpaceDN/>
        <w:bidi w:val="0"/>
        <w:snapToGrid w:val="0"/>
        <w:spacing w:line="312" w:lineRule="auto"/>
        <w:textAlignment w:val="auto"/>
        <w:outlineLvl w:val="9"/>
        <w:rPr>
          <w:highlight w:val="none"/>
        </w:rPr>
      </w:pPr>
      <w:r>
        <w:rPr>
          <w:highlight w:val="none"/>
        </w:rPr>
        <w:drawing>
          <wp:inline distT="0" distB="0" distL="0" distR="0">
            <wp:extent cx="5760085" cy="2869565"/>
            <wp:effectExtent l="0" t="0" r="635" b="1079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0"/>
                    <a:stretch>
                      <a:fillRect/>
                    </a:stretch>
                  </pic:blipFill>
                  <pic:spPr>
                    <a:xfrm>
                      <a:off x="0" y="0"/>
                      <a:ext cx="5760085" cy="2870054"/>
                    </a:xfrm>
                    <a:prstGeom prst="rect">
                      <a:avLst/>
                    </a:prstGeom>
                  </pic:spPr>
                </pic:pic>
              </a:graphicData>
            </a:graphic>
          </wp:inline>
        </w:drawing>
      </w:r>
    </w:p>
    <w:p w14:paraId="0D61877C">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8"/>
          <w:highlight w:val="none"/>
        </w:rPr>
      </w:pPr>
      <w:r>
        <w:rPr>
          <w:rFonts w:hint="eastAsia" w:ascii="宋体" w:hAnsi="宋体" w:cs="宋体"/>
          <w:color w:val="000000"/>
          <w:sz w:val="24"/>
          <w:szCs w:val="28"/>
          <w:highlight w:val="none"/>
        </w:rPr>
        <w:t>4.</w:t>
      </w:r>
      <w:r>
        <w:rPr>
          <w:rFonts w:ascii="宋体" w:hAnsi="宋体" w:cs="宋体"/>
          <w:color w:val="000000"/>
          <w:sz w:val="24"/>
          <w:szCs w:val="28"/>
          <w:highlight w:val="none"/>
        </w:rPr>
        <w:t>点击新增</w:t>
      </w:r>
    </w:p>
    <w:p w14:paraId="2C09CD70">
      <w:pPr>
        <w:pageBreakBefore w:val="0"/>
        <w:widowControl w:val="0"/>
        <w:kinsoku/>
        <w:wordWrap/>
        <w:overflowPunct/>
        <w:topLinePunct w:val="0"/>
        <w:autoSpaceDE/>
        <w:autoSpaceDN/>
        <w:bidi w:val="0"/>
        <w:snapToGrid w:val="0"/>
        <w:spacing w:line="312" w:lineRule="auto"/>
        <w:textAlignment w:val="auto"/>
        <w:outlineLvl w:val="9"/>
        <w:rPr>
          <w:highlight w:val="none"/>
        </w:rPr>
      </w:pPr>
      <w:r>
        <w:rPr>
          <w:highlight w:val="none"/>
        </w:rPr>
        <w:drawing>
          <wp:inline distT="0" distB="0" distL="0" distR="0">
            <wp:extent cx="5760085" cy="2853055"/>
            <wp:effectExtent l="0" t="0" r="635" b="1206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1"/>
                    <a:stretch>
                      <a:fillRect/>
                    </a:stretch>
                  </pic:blipFill>
                  <pic:spPr>
                    <a:xfrm>
                      <a:off x="0" y="0"/>
                      <a:ext cx="5760085" cy="2853375"/>
                    </a:xfrm>
                    <a:prstGeom prst="rect">
                      <a:avLst/>
                    </a:prstGeom>
                  </pic:spPr>
                </pic:pic>
              </a:graphicData>
            </a:graphic>
          </wp:inline>
        </w:drawing>
      </w:r>
    </w:p>
    <w:p w14:paraId="68B91FB2">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8"/>
          <w:highlight w:val="none"/>
        </w:rPr>
      </w:pPr>
      <w:r>
        <w:rPr>
          <w:rFonts w:hint="eastAsia" w:ascii="宋体" w:hAnsi="宋体" w:cs="宋体"/>
          <w:sz w:val="24"/>
          <w:szCs w:val="28"/>
          <w:highlight w:val="none"/>
        </w:rPr>
        <w:t>5</w:t>
      </w:r>
      <w:r>
        <w:rPr>
          <w:rFonts w:hint="eastAsia" w:ascii="宋体" w:hAnsi="宋体" w:cs="宋体"/>
          <w:color w:val="000000"/>
          <w:sz w:val="24"/>
          <w:szCs w:val="28"/>
          <w:highlight w:val="none"/>
        </w:rPr>
        <w:t>.</w:t>
      </w:r>
      <w:r>
        <w:rPr>
          <w:rFonts w:ascii="宋体" w:hAnsi="宋体" w:cs="宋体"/>
          <w:color w:val="000000"/>
          <w:sz w:val="24"/>
          <w:szCs w:val="28"/>
          <w:highlight w:val="none"/>
        </w:rPr>
        <w:t>按要求填写所有信息，注意非生产类要填写合作单位，最后提交审批</w:t>
      </w:r>
    </w:p>
    <w:p w14:paraId="0C045047">
      <w:pPr>
        <w:pStyle w:val="10"/>
        <w:pageBreakBefore w:val="0"/>
        <w:widowControl w:val="0"/>
        <w:kinsoku/>
        <w:wordWrap/>
        <w:overflowPunct/>
        <w:topLinePunct w:val="0"/>
        <w:autoSpaceDE/>
        <w:autoSpaceDN/>
        <w:bidi w:val="0"/>
        <w:textAlignment w:val="auto"/>
        <w:outlineLvl w:val="9"/>
        <w:rPr>
          <w:highlight w:val="none"/>
        </w:rPr>
      </w:pPr>
    </w:p>
    <w:p w14:paraId="1BDC7C4A">
      <w:pPr>
        <w:pageBreakBefore w:val="0"/>
        <w:widowControl w:val="0"/>
        <w:kinsoku/>
        <w:wordWrap/>
        <w:overflowPunct/>
        <w:topLinePunct w:val="0"/>
        <w:autoSpaceDE/>
        <w:autoSpaceDN/>
        <w:bidi w:val="0"/>
        <w:textAlignment w:val="auto"/>
        <w:outlineLvl w:val="9"/>
        <w:rPr>
          <w:highlight w:val="none"/>
        </w:rPr>
      </w:pPr>
      <w:r>
        <w:rPr>
          <w:highlight w:val="none"/>
        </w:rPr>
        <w:drawing>
          <wp:inline distT="0" distB="0" distL="0" distR="0">
            <wp:extent cx="5760085" cy="2809875"/>
            <wp:effectExtent l="0" t="0" r="63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2"/>
                    <a:stretch>
                      <a:fillRect/>
                    </a:stretch>
                  </pic:blipFill>
                  <pic:spPr>
                    <a:xfrm>
                      <a:off x="0" y="0"/>
                      <a:ext cx="5760085" cy="2810122"/>
                    </a:xfrm>
                    <a:prstGeom prst="rect">
                      <a:avLst/>
                    </a:prstGeom>
                  </pic:spPr>
                </pic:pic>
              </a:graphicData>
            </a:graphic>
          </wp:inline>
        </w:drawing>
      </w:r>
    </w:p>
    <w:p w14:paraId="32E4E905">
      <w:pPr>
        <w:pStyle w:val="10"/>
        <w:pageBreakBefore w:val="0"/>
        <w:widowControl w:val="0"/>
        <w:kinsoku/>
        <w:wordWrap/>
        <w:overflowPunct/>
        <w:topLinePunct w:val="0"/>
        <w:autoSpaceDE/>
        <w:autoSpaceDN/>
        <w:bidi w:val="0"/>
        <w:textAlignment w:val="auto"/>
        <w:outlineLvl w:val="9"/>
        <w:rPr>
          <w:highlight w:val="none"/>
        </w:rPr>
      </w:pPr>
      <w:r>
        <w:rPr>
          <w:highlight w:val="none"/>
        </w:rPr>
        <w:drawing>
          <wp:inline distT="0" distB="0" distL="0" distR="0">
            <wp:extent cx="5760085" cy="2820035"/>
            <wp:effectExtent l="0" t="0" r="635" b="1460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3"/>
                    <a:stretch>
                      <a:fillRect/>
                    </a:stretch>
                  </pic:blipFill>
                  <pic:spPr>
                    <a:xfrm>
                      <a:off x="0" y="0"/>
                      <a:ext cx="5760085" cy="2820042"/>
                    </a:xfrm>
                    <a:prstGeom prst="rect">
                      <a:avLst/>
                    </a:prstGeom>
                  </pic:spPr>
                </pic:pic>
              </a:graphicData>
            </a:graphic>
          </wp:inline>
        </w:drawing>
      </w:r>
    </w:p>
    <w:p w14:paraId="3912A533">
      <w:pPr>
        <w:pStyle w:val="10"/>
        <w:pageBreakBefore w:val="0"/>
        <w:widowControl w:val="0"/>
        <w:kinsoku/>
        <w:wordWrap/>
        <w:overflowPunct/>
        <w:topLinePunct w:val="0"/>
        <w:autoSpaceDE/>
        <w:autoSpaceDN/>
        <w:bidi w:val="0"/>
        <w:textAlignment w:val="auto"/>
        <w:outlineLvl w:val="9"/>
        <w:rPr>
          <w:highlight w:val="none"/>
        </w:rPr>
      </w:pPr>
    </w:p>
    <w:p w14:paraId="3123772F">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2A5F9393">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22B85A7D">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4E6B491B">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0B948C32">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0EC973DC">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126E01B8">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71DCE94F">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12645FBC">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2B0190ED">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415CE456">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122453D7">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71F6C781">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172B50AF">
      <w:pPr>
        <w:pStyle w:val="10"/>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Ansi="宋体" w:cs="Times New Roman"/>
          <w:b/>
          <w:color w:val="000000"/>
          <w:sz w:val="24"/>
          <w:szCs w:val="24"/>
          <w:highlight w:val="none"/>
        </w:rPr>
      </w:pPr>
    </w:p>
    <w:p w14:paraId="1DE8BCD6">
      <w:pPr>
        <w:pStyle w:val="10"/>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Times New Roman" w:hAnsi="Times New Roman" w:eastAsia="黑体" w:cs="Times New Roman"/>
          <w:b/>
          <w:bCs/>
          <w:sz w:val="36"/>
          <w:highlight w:val="none"/>
        </w:rPr>
      </w:pPr>
      <w:r>
        <w:rPr>
          <w:rFonts w:hint="eastAsia" w:ascii="Times New Roman" w:hAnsi="Times New Roman" w:eastAsia="黑体" w:cs="Times New Roman"/>
          <w:b/>
          <w:bCs/>
          <w:sz w:val="36"/>
          <w:highlight w:val="none"/>
        </w:rPr>
        <w:t>SRM系统供应商用户手册</w:t>
      </w:r>
    </w:p>
    <w:p w14:paraId="2263DF26">
      <w:pPr>
        <w:pStyle w:val="10"/>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Times New Roman" w:hAnsi="Times New Roman" w:eastAsia="黑体" w:cs="Times New Roman"/>
          <w:b/>
          <w:bCs/>
          <w:sz w:val="36"/>
          <w:highlight w:val="none"/>
        </w:rPr>
      </w:pPr>
    </w:p>
    <w:p w14:paraId="626237FE">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hint="eastAsia" w:ascii="宋体" w:hAnsi="宋体" w:cs="宋体"/>
          <w:color w:val="000000"/>
          <w:sz w:val="24"/>
          <w:szCs w:val="24"/>
          <w:highlight w:val="none"/>
        </w:rPr>
        <w:t>系统网址：</w:t>
      </w:r>
      <w:r>
        <w:rPr>
          <w:highlight w:val="none"/>
        </w:rPr>
        <w:fldChar w:fldCharType="begin"/>
      </w:r>
      <w:r>
        <w:rPr>
          <w:highlight w:val="none"/>
        </w:rPr>
        <w:instrText xml:space="preserve"> HYPERLINK "http://ecaitong.sinotruk.com:8012/" \t "dlt" </w:instrText>
      </w:r>
      <w:r>
        <w:rPr>
          <w:highlight w:val="none"/>
        </w:rPr>
        <w:fldChar w:fldCharType="separate"/>
      </w:r>
      <w:r>
        <w:rPr>
          <w:rStyle w:val="24"/>
          <w:rFonts w:hint="eastAsia" w:ascii="宋体" w:hAnsi="宋体" w:cs="宋体"/>
          <w:sz w:val="24"/>
          <w:szCs w:val="24"/>
          <w:highlight w:val="none"/>
        </w:rPr>
        <w:t>https://ecaitong.sinotruk.com:8012/</w:t>
      </w:r>
      <w:r>
        <w:rPr>
          <w:rStyle w:val="24"/>
          <w:rFonts w:hint="eastAsia" w:ascii="宋体" w:hAnsi="宋体" w:cs="宋体"/>
          <w:sz w:val="24"/>
          <w:szCs w:val="24"/>
          <w:highlight w:val="none"/>
        </w:rPr>
        <w:fldChar w:fldCharType="end"/>
      </w:r>
    </w:p>
    <w:p w14:paraId="5D9BD696">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hint="eastAsia" w:ascii="宋体" w:hAnsi="宋体" w:cs="宋体"/>
          <w:color w:val="000000"/>
          <w:sz w:val="24"/>
          <w:szCs w:val="24"/>
          <w:highlight w:val="none"/>
        </w:rPr>
        <w:t>用 户 名：gys+供应商代码（</w:t>
      </w:r>
      <w:r>
        <w:rPr>
          <w:rFonts w:hint="eastAsia" w:ascii="宋体" w:hAnsi="宋体" w:cs="宋体"/>
          <w:color w:val="FF0000"/>
          <w:sz w:val="24"/>
          <w:szCs w:val="24"/>
          <w:highlight w:val="none"/>
        </w:rPr>
        <w:t>注意：注册完毕后，用户名不要用手机号登录</w:t>
      </w:r>
      <w:r>
        <w:rPr>
          <w:rFonts w:hint="eastAsia" w:ascii="宋体" w:hAnsi="宋体" w:cs="宋体"/>
          <w:color w:val="000000"/>
          <w:sz w:val="24"/>
          <w:szCs w:val="24"/>
          <w:highlight w:val="none"/>
        </w:rPr>
        <w:t>）</w:t>
      </w:r>
    </w:p>
    <w:p w14:paraId="7AB80747">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hint="eastAsia" w:ascii="宋体" w:hAnsi="宋体" w:cs="宋体"/>
          <w:color w:val="000000"/>
          <w:sz w:val="24"/>
          <w:szCs w:val="24"/>
          <w:highlight w:val="none"/>
        </w:rPr>
        <w:t>初始密码：scm@2022</w:t>
      </w:r>
    </w:p>
    <w:p w14:paraId="55A7050F">
      <w:pPr>
        <w:pageBreakBefore w:val="0"/>
        <w:widowControl w:val="0"/>
        <w:kinsoku/>
        <w:wordWrap/>
        <w:overflowPunct/>
        <w:topLinePunct w:val="0"/>
        <w:autoSpaceDE/>
        <w:autoSpaceDN/>
        <w:bidi w:val="0"/>
        <w:spacing w:line="360" w:lineRule="auto"/>
        <w:textAlignment w:val="auto"/>
        <w:outlineLvl w:val="9"/>
        <w:rPr>
          <w:rFonts w:ascii="宋体" w:hAnsi="宋体" w:cs="宋体"/>
          <w:b/>
          <w:bCs/>
          <w:color w:val="000000"/>
          <w:sz w:val="24"/>
          <w:szCs w:val="24"/>
          <w:highlight w:val="none"/>
        </w:rPr>
      </w:pPr>
      <w:bookmarkStart w:id="33" w:name="_Toc3323"/>
      <w:r>
        <w:rPr>
          <w:rFonts w:hint="eastAsia" w:ascii="宋体" w:hAnsi="宋体" w:cs="宋体"/>
          <w:b/>
          <w:bCs/>
          <w:color w:val="000000"/>
          <w:sz w:val="24"/>
          <w:szCs w:val="24"/>
          <w:highlight w:val="none"/>
        </w:rPr>
        <w:t>1.供应商应标</w:t>
      </w:r>
      <w:bookmarkEnd w:id="33"/>
    </w:p>
    <w:p w14:paraId="5739BDB5">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供应商应标</w:t>
      </w:r>
    </w:p>
    <w:p w14:paraId="0D87262B">
      <w:pPr>
        <w:pageBreakBefore w:val="0"/>
        <w:widowControl w:val="0"/>
        <w:kinsoku/>
        <w:wordWrap/>
        <w:overflowPunct/>
        <w:topLinePunct w:val="0"/>
        <w:autoSpaceDE/>
        <w:autoSpaceDN/>
        <w:bidi w:val="0"/>
        <w:spacing w:line="360" w:lineRule="auto"/>
        <w:textAlignment w:val="auto"/>
        <w:outlineLvl w:val="9"/>
        <w:rPr>
          <w:rFonts w:ascii="宋体" w:hAnsi="宋体" w:cs="宋体"/>
          <w:color w:val="000000"/>
          <w:sz w:val="24"/>
          <w:szCs w:val="24"/>
          <w:highlight w:val="none"/>
        </w:rPr>
      </w:pPr>
      <w:r>
        <w:rPr>
          <w:rFonts w:ascii="宋体" w:hAnsi="宋体" w:cs="宋体"/>
          <w:color w:val="000000"/>
          <w:sz w:val="24"/>
          <w:szCs w:val="24"/>
          <w:highlight w:val="none"/>
        </w:rPr>
        <w:t>点击应标，上传文件之后点击提交。</w:t>
      </w:r>
    </w:p>
    <w:p w14:paraId="4CD9076F">
      <w:pPr>
        <w:pageBreakBefore w:val="0"/>
        <w:widowControl w:val="0"/>
        <w:kinsoku/>
        <w:wordWrap/>
        <w:overflowPunct/>
        <w:topLinePunct w:val="0"/>
        <w:autoSpaceDE/>
        <w:autoSpaceDN/>
        <w:bidi w:val="0"/>
        <w:textAlignment w:val="auto"/>
        <w:outlineLvl w:val="9"/>
        <w:rPr>
          <w:highlight w:val="none"/>
        </w:rPr>
      </w:pPr>
      <w:r>
        <w:rPr>
          <w:highlight w:val="none"/>
        </w:rPr>
        <w:drawing>
          <wp:inline distT="0" distB="0" distL="0" distR="0">
            <wp:extent cx="5760085" cy="2269490"/>
            <wp:effectExtent l="0" t="0" r="635" b="127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4"/>
                    <a:stretch>
                      <a:fillRect/>
                    </a:stretch>
                  </pic:blipFill>
                  <pic:spPr>
                    <a:xfrm>
                      <a:off x="0" y="0"/>
                      <a:ext cx="5760085" cy="2269864"/>
                    </a:xfrm>
                    <a:prstGeom prst="rect">
                      <a:avLst/>
                    </a:prstGeom>
                  </pic:spPr>
                </pic:pic>
              </a:graphicData>
            </a:graphic>
          </wp:inline>
        </w:drawing>
      </w:r>
    </w:p>
    <w:p w14:paraId="6A947636">
      <w:pPr>
        <w:pageBreakBefore w:val="0"/>
        <w:widowControl w:val="0"/>
        <w:kinsoku/>
        <w:wordWrap/>
        <w:overflowPunct/>
        <w:topLinePunct w:val="0"/>
        <w:autoSpaceDE/>
        <w:autoSpaceDN/>
        <w:bidi w:val="0"/>
        <w:textAlignment w:val="auto"/>
        <w:outlineLvl w:val="9"/>
        <w:rPr>
          <w:highlight w:val="none"/>
        </w:rPr>
      </w:pPr>
    </w:p>
    <w:p w14:paraId="20789426">
      <w:pPr>
        <w:pageBreakBefore w:val="0"/>
        <w:widowControl w:val="0"/>
        <w:kinsoku/>
        <w:wordWrap/>
        <w:overflowPunct/>
        <w:topLinePunct w:val="0"/>
        <w:autoSpaceDE/>
        <w:autoSpaceDN/>
        <w:bidi w:val="0"/>
        <w:spacing w:line="360" w:lineRule="auto"/>
        <w:textAlignment w:val="auto"/>
        <w:outlineLvl w:val="9"/>
        <w:rPr>
          <w:rFonts w:ascii="宋体" w:hAnsi="宋体" w:cs="宋体"/>
          <w:b/>
          <w:bCs/>
          <w:color w:val="000000"/>
          <w:sz w:val="24"/>
          <w:szCs w:val="24"/>
          <w:highlight w:val="none"/>
        </w:rPr>
      </w:pPr>
      <w:bookmarkStart w:id="34" w:name="_Toc4507"/>
      <w:r>
        <w:rPr>
          <w:rFonts w:hint="eastAsia" w:ascii="宋体" w:hAnsi="宋体" w:cs="宋体"/>
          <w:b/>
          <w:bCs/>
          <w:color w:val="000000"/>
          <w:sz w:val="24"/>
          <w:szCs w:val="24"/>
          <w:highlight w:val="none"/>
        </w:rPr>
        <w:t>2.供应商投标</w:t>
      </w:r>
      <w:bookmarkEnd w:id="34"/>
    </w:p>
    <w:p w14:paraId="128FAABC">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供应商投标</w:t>
      </w:r>
    </w:p>
    <w:p w14:paraId="3EBDAA46">
      <w:pPr>
        <w:pageBreakBefore w:val="0"/>
        <w:widowControl w:val="0"/>
        <w:kinsoku/>
        <w:wordWrap/>
        <w:overflowPunct/>
        <w:topLinePunct w:val="0"/>
        <w:autoSpaceDE/>
        <w:autoSpaceDN/>
        <w:bidi w:val="0"/>
        <w:textAlignment w:val="auto"/>
        <w:outlineLvl w:val="9"/>
        <w:rPr>
          <w:rFonts w:ascii="宋体" w:hAnsi="宋体" w:cs="宋体"/>
          <w:color w:val="000000"/>
          <w:highlight w:val="none"/>
        </w:rPr>
      </w:pPr>
      <w:r>
        <w:rPr>
          <w:rFonts w:ascii="宋体" w:hAnsi="宋体" w:cs="宋体"/>
          <w:color w:val="000000"/>
          <w:highlight w:val="none"/>
        </w:rPr>
        <w:drawing>
          <wp:inline distT="0" distB="0" distL="0" distR="0">
            <wp:extent cx="5760085" cy="2125345"/>
            <wp:effectExtent l="0" t="0" r="63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5"/>
                    <a:stretch>
                      <a:fillRect/>
                    </a:stretch>
                  </pic:blipFill>
                  <pic:spPr>
                    <a:xfrm>
                      <a:off x="0" y="0"/>
                      <a:ext cx="5760085" cy="2125673"/>
                    </a:xfrm>
                    <a:prstGeom prst="rect">
                      <a:avLst/>
                    </a:prstGeom>
                  </pic:spPr>
                </pic:pic>
              </a:graphicData>
            </a:graphic>
          </wp:inline>
        </w:drawing>
      </w:r>
    </w:p>
    <w:p w14:paraId="2CAAD949">
      <w:pPr>
        <w:pageBreakBefore w:val="0"/>
        <w:widowControl w:val="0"/>
        <w:kinsoku/>
        <w:wordWrap/>
        <w:overflowPunct/>
        <w:topLinePunct w:val="0"/>
        <w:autoSpaceDE/>
        <w:autoSpaceDN/>
        <w:bidi w:val="0"/>
        <w:spacing w:line="360" w:lineRule="auto"/>
        <w:textAlignment w:val="auto"/>
        <w:outlineLvl w:val="9"/>
        <w:rPr>
          <w:rFonts w:ascii="宋体" w:hAnsi="宋体" w:cs="宋体"/>
          <w:color w:val="000000"/>
          <w:sz w:val="24"/>
          <w:szCs w:val="28"/>
          <w:highlight w:val="none"/>
        </w:rPr>
      </w:pPr>
      <w:r>
        <w:rPr>
          <w:rFonts w:ascii="宋体" w:hAnsi="宋体" w:cs="宋体"/>
          <w:color w:val="000000"/>
          <w:sz w:val="24"/>
          <w:szCs w:val="28"/>
          <w:highlight w:val="none"/>
        </w:rPr>
        <w:t>点击投标按钮，进入详情页，输入投标报价并上传相应的附件。</w:t>
      </w:r>
    </w:p>
    <w:p w14:paraId="6FF8BA1B">
      <w:pPr>
        <w:pStyle w:val="10"/>
        <w:pageBreakBefore w:val="0"/>
        <w:widowControl w:val="0"/>
        <w:kinsoku/>
        <w:wordWrap/>
        <w:overflowPunct/>
        <w:topLinePunct w:val="0"/>
        <w:autoSpaceDE/>
        <w:autoSpaceDN/>
        <w:bidi w:val="0"/>
        <w:textAlignment w:val="auto"/>
        <w:outlineLvl w:val="9"/>
        <w:rPr>
          <w:highlight w:val="none"/>
        </w:rPr>
      </w:pPr>
      <w:r>
        <w:rPr>
          <w:rFonts w:hint="eastAsia" w:hAnsi="宋体" w:cs="宋体"/>
          <w:color w:val="000000"/>
          <w:sz w:val="24"/>
          <w:szCs w:val="28"/>
          <w:highlight w:val="none"/>
        </w:rPr>
        <w:t>注意：系统内的投标报价单位为“万元”，如开标现场发现填错报价，即直接淘汰。</w:t>
      </w:r>
    </w:p>
    <w:p w14:paraId="683CE859">
      <w:pPr>
        <w:pageBreakBefore w:val="0"/>
        <w:widowControl w:val="0"/>
        <w:numPr>
          <w:ilvl w:val="0"/>
          <w:numId w:val="0"/>
        </w:numPr>
        <w:kinsoku/>
        <w:wordWrap/>
        <w:overflowPunct/>
        <w:topLinePunct w:val="0"/>
        <w:autoSpaceDE/>
        <w:autoSpaceDN/>
        <w:bidi w:val="0"/>
        <w:textAlignment w:val="auto"/>
        <w:outlineLvl w:val="9"/>
        <w:rPr>
          <w:rFonts w:eastAsia="Arial" w:cs="Arial"/>
          <w:color w:val="000000"/>
          <w:highlight w:val="none"/>
        </w:rPr>
      </w:pPr>
      <w:r>
        <w:rPr>
          <w:rFonts w:eastAsia="Arial" w:cs="Arial"/>
          <w:color w:val="000000"/>
          <w:highlight w:val="none"/>
        </w:rPr>
        <w:drawing>
          <wp:inline distT="0" distB="0" distL="0" distR="0">
            <wp:extent cx="5490210" cy="2668905"/>
            <wp:effectExtent l="0" t="0" r="11430" b="1333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6"/>
                    <a:stretch>
                      <a:fillRect/>
                    </a:stretch>
                  </pic:blipFill>
                  <pic:spPr>
                    <a:xfrm>
                      <a:off x="0" y="0"/>
                      <a:ext cx="5490210" cy="2669498"/>
                    </a:xfrm>
                    <a:prstGeom prst="rect">
                      <a:avLst/>
                    </a:prstGeom>
                  </pic:spPr>
                </pic:pic>
              </a:graphicData>
            </a:graphic>
          </wp:inline>
        </w:drawing>
      </w:r>
    </w:p>
    <w:p w14:paraId="7BCFD73C">
      <w:pPr>
        <w:pageBreakBefore w:val="0"/>
        <w:widowControl w:val="0"/>
        <w:kinsoku/>
        <w:wordWrap/>
        <w:overflowPunct/>
        <w:topLinePunct w:val="0"/>
        <w:autoSpaceDE/>
        <w:autoSpaceDN/>
        <w:bidi w:val="0"/>
        <w:spacing w:line="360" w:lineRule="auto"/>
        <w:textAlignment w:val="auto"/>
        <w:outlineLvl w:val="9"/>
        <w:rPr>
          <w:rFonts w:ascii="宋体" w:hAnsi="宋体" w:cs="宋体"/>
          <w:b/>
          <w:bCs/>
          <w:color w:val="000000"/>
          <w:sz w:val="24"/>
          <w:szCs w:val="24"/>
          <w:highlight w:val="none"/>
        </w:rPr>
      </w:pPr>
      <w:bookmarkStart w:id="35" w:name="_Toc30037"/>
      <w:r>
        <w:rPr>
          <w:rFonts w:hint="eastAsia" w:ascii="宋体" w:hAnsi="宋体" w:cs="宋体"/>
          <w:b/>
          <w:bCs/>
          <w:color w:val="000000"/>
          <w:sz w:val="24"/>
          <w:szCs w:val="24"/>
          <w:highlight w:val="none"/>
        </w:rPr>
        <w:t>3.供应商技术标澄清函</w:t>
      </w:r>
      <w:bookmarkEnd w:id="35"/>
    </w:p>
    <w:p w14:paraId="2559FDBD">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供应商技术标澄清函</w:t>
      </w:r>
    </w:p>
    <w:p w14:paraId="32D2CC89">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ascii="宋体" w:hAnsi="宋体" w:cs="宋体"/>
          <w:color w:val="000000"/>
          <w:sz w:val="24"/>
          <w:szCs w:val="24"/>
          <w:highlight w:val="none"/>
        </w:rPr>
        <w:t>点击编辑按钮进入系统，上传技术标澄清函。</w:t>
      </w:r>
    </w:p>
    <w:p w14:paraId="15B48090">
      <w:pPr>
        <w:pageBreakBefore w:val="0"/>
        <w:widowControl w:val="0"/>
        <w:kinsoku/>
        <w:wordWrap/>
        <w:overflowPunct/>
        <w:topLinePunct w:val="0"/>
        <w:autoSpaceDE/>
        <w:autoSpaceDN/>
        <w:bidi w:val="0"/>
        <w:spacing w:line="360" w:lineRule="auto"/>
        <w:textAlignment w:val="auto"/>
        <w:outlineLvl w:val="9"/>
        <w:rPr>
          <w:rFonts w:ascii="Arial" w:hAnsi="Arial" w:eastAsia="Arial" w:cs="Arial"/>
          <w:color w:val="000000"/>
          <w:sz w:val="28"/>
          <w:highlight w:val="none"/>
        </w:rPr>
      </w:pPr>
      <w:r>
        <w:rPr>
          <w:rFonts w:ascii="宋体" w:hAnsi="宋体" w:cs="宋体"/>
          <w:color w:val="000000"/>
          <w:sz w:val="24"/>
          <w:szCs w:val="24"/>
          <w:highlight w:val="none"/>
        </w:rPr>
        <w:t>开标之后所有投标的供应商都可编辑提交，技术标入围之后</w:t>
      </w:r>
      <w:r>
        <w:rPr>
          <w:rFonts w:hint="eastAsia" w:ascii="宋体" w:hAnsi="宋体" w:cs="宋体"/>
          <w:color w:val="000000"/>
          <w:sz w:val="24"/>
          <w:szCs w:val="24"/>
          <w:highlight w:val="none"/>
        </w:rPr>
        <w:t xml:space="preserve"> </w:t>
      </w:r>
      <w:r>
        <w:rPr>
          <w:rFonts w:ascii="宋体" w:hAnsi="宋体" w:cs="宋体"/>
          <w:color w:val="000000"/>
          <w:sz w:val="24"/>
          <w:szCs w:val="24"/>
          <w:highlight w:val="none"/>
        </w:rPr>
        <w:t>都不可编辑</w:t>
      </w:r>
      <w:r>
        <w:rPr>
          <w:rFonts w:ascii="Arial" w:hAnsi="Arial" w:eastAsia="Arial" w:cs="Arial"/>
          <w:color w:val="000000"/>
          <w:sz w:val="28"/>
          <w:highlight w:val="none"/>
        </w:rPr>
        <w:drawing>
          <wp:inline distT="0" distB="0" distL="0" distR="0">
            <wp:extent cx="5490210" cy="1992630"/>
            <wp:effectExtent l="0" t="0" r="11430" b="381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17"/>
                    <a:stretch>
                      <a:fillRect/>
                    </a:stretch>
                  </pic:blipFill>
                  <pic:spPr>
                    <a:xfrm>
                      <a:off x="0" y="0"/>
                      <a:ext cx="5490210" cy="1992743"/>
                    </a:xfrm>
                    <a:prstGeom prst="rect">
                      <a:avLst/>
                    </a:prstGeom>
                  </pic:spPr>
                </pic:pic>
              </a:graphicData>
            </a:graphic>
          </wp:inline>
        </w:drawing>
      </w:r>
    </w:p>
    <w:p w14:paraId="5565014E">
      <w:pPr>
        <w:pageBreakBefore w:val="0"/>
        <w:widowControl w:val="0"/>
        <w:kinsoku/>
        <w:wordWrap/>
        <w:overflowPunct/>
        <w:topLinePunct w:val="0"/>
        <w:autoSpaceDE/>
        <w:autoSpaceDN/>
        <w:bidi w:val="0"/>
        <w:spacing w:line="360" w:lineRule="auto"/>
        <w:textAlignment w:val="auto"/>
        <w:outlineLvl w:val="9"/>
        <w:rPr>
          <w:rFonts w:ascii="宋体" w:hAnsi="宋体" w:cs="宋体"/>
          <w:b/>
          <w:bCs/>
          <w:color w:val="000000"/>
          <w:sz w:val="24"/>
          <w:szCs w:val="24"/>
          <w:highlight w:val="none"/>
        </w:rPr>
      </w:pPr>
      <w:bookmarkStart w:id="36" w:name="_Toc3204"/>
      <w:r>
        <w:rPr>
          <w:rFonts w:hint="eastAsia" w:ascii="宋体" w:hAnsi="宋体" w:cs="宋体"/>
          <w:b/>
          <w:bCs/>
          <w:color w:val="000000"/>
          <w:sz w:val="24"/>
          <w:szCs w:val="24"/>
          <w:highlight w:val="none"/>
        </w:rPr>
        <w:t>4.供应商报价</w:t>
      </w:r>
      <w:bookmarkEnd w:id="36"/>
    </w:p>
    <w:p w14:paraId="5FABB5E3">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供应商报价</w:t>
      </w:r>
    </w:p>
    <w:p w14:paraId="0930DEE9">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ascii="宋体" w:hAnsi="宋体" w:cs="宋体"/>
          <w:color w:val="000000"/>
          <w:sz w:val="24"/>
          <w:szCs w:val="24"/>
          <w:highlight w:val="none"/>
        </w:rPr>
        <w:t>点击报价按钮进入报价详情界面，请在此轮报价起止时间内报价，否则无法报价。</w:t>
      </w:r>
    </w:p>
    <w:p w14:paraId="7A837318">
      <w:pPr>
        <w:pageBreakBefore w:val="0"/>
        <w:widowControl w:val="0"/>
        <w:kinsoku/>
        <w:wordWrap/>
        <w:overflowPunct/>
        <w:topLinePunct w:val="0"/>
        <w:autoSpaceDE/>
        <w:autoSpaceDN/>
        <w:bidi w:val="0"/>
        <w:spacing w:line="360" w:lineRule="auto"/>
        <w:textAlignment w:val="auto"/>
        <w:outlineLvl w:val="9"/>
        <w:rPr>
          <w:rFonts w:ascii="宋体" w:hAnsi="宋体" w:cs="宋体"/>
          <w:b/>
          <w:bCs/>
          <w:color w:val="000000"/>
          <w:sz w:val="24"/>
          <w:szCs w:val="24"/>
          <w:highlight w:val="none"/>
        </w:rPr>
      </w:pPr>
      <w:bookmarkStart w:id="37" w:name="_Toc31317"/>
      <w:r>
        <w:rPr>
          <w:rFonts w:hint="eastAsia" w:ascii="宋体" w:hAnsi="宋体" w:cs="宋体"/>
          <w:b/>
          <w:bCs/>
          <w:color w:val="000000"/>
          <w:sz w:val="24"/>
          <w:szCs w:val="24"/>
          <w:highlight w:val="none"/>
        </w:rPr>
        <w:t>5.供应商澄清报价</w:t>
      </w:r>
      <w:bookmarkEnd w:id="37"/>
    </w:p>
    <w:p w14:paraId="747B75AB">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供应商澄清报价</w:t>
      </w:r>
    </w:p>
    <w:p w14:paraId="7E1AA56A">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ascii="宋体" w:hAnsi="宋体" w:cs="宋体"/>
          <w:color w:val="000000"/>
          <w:sz w:val="24"/>
          <w:szCs w:val="24"/>
          <w:highlight w:val="none"/>
        </w:rPr>
        <w:t>招标发起人接收建议价的同时会给供应商发送澄清报价，供应商在此界面进行澄清报价，点击编辑按钮进入澄清报价详细界面，输入价格并上传澄清函，之后点击提交。</w:t>
      </w:r>
    </w:p>
    <w:p w14:paraId="6F6A1732">
      <w:pPr>
        <w:pageBreakBefore w:val="0"/>
        <w:widowControl w:val="0"/>
        <w:numPr>
          <w:ilvl w:val="0"/>
          <w:numId w:val="0"/>
        </w:numPr>
        <w:kinsoku/>
        <w:wordWrap/>
        <w:overflowPunct/>
        <w:topLinePunct w:val="0"/>
        <w:autoSpaceDE/>
        <w:autoSpaceDN/>
        <w:bidi w:val="0"/>
        <w:textAlignment w:val="auto"/>
        <w:outlineLvl w:val="9"/>
        <w:rPr>
          <w:rFonts w:eastAsia="Arial" w:cs="Arial"/>
          <w:color w:val="000000"/>
          <w:highlight w:val="none"/>
        </w:rPr>
      </w:pPr>
      <w:r>
        <w:rPr>
          <w:rFonts w:eastAsia="Arial" w:cs="Arial"/>
          <w:color w:val="000000"/>
          <w:highlight w:val="none"/>
        </w:rPr>
        <w:drawing>
          <wp:inline distT="0" distB="0" distL="0" distR="0">
            <wp:extent cx="5490210" cy="2544445"/>
            <wp:effectExtent l="0" t="0" r="11430" b="63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18"/>
                    <a:stretch>
                      <a:fillRect/>
                    </a:stretch>
                  </pic:blipFill>
                  <pic:spPr>
                    <a:xfrm>
                      <a:off x="0" y="0"/>
                      <a:ext cx="5490210" cy="2544669"/>
                    </a:xfrm>
                    <a:prstGeom prst="rect">
                      <a:avLst/>
                    </a:prstGeom>
                  </pic:spPr>
                </pic:pic>
              </a:graphicData>
            </a:graphic>
          </wp:inline>
        </w:drawing>
      </w:r>
    </w:p>
    <w:p w14:paraId="5E92003A">
      <w:pPr>
        <w:pageBreakBefore w:val="0"/>
        <w:widowControl w:val="0"/>
        <w:kinsoku/>
        <w:wordWrap/>
        <w:overflowPunct/>
        <w:topLinePunct w:val="0"/>
        <w:autoSpaceDE/>
        <w:autoSpaceDN/>
        <w:bidi w:val="0"/>
        <w:spacing w:line="360" w:lineRule="auto"/>
        <w:textAlignment w:val="auto"/>
        <w:outlineLvl w:val="9"/>
        <w:rPr>
          <w:rFonts w:ascii="宋体" w:hAnsi="宋体" w:cs="宋体"/>
          <w:b/>
          <w:bCs/>
          <w:color w:val="000000"/>
          <w:sz w:val="24"/>
          <w:szCs w:val="24"/>
          <w:highlight w:val="none"/>
        </w:rPr>
      </w:pPr>
      <w:bookmarkStart w:id="38" w:name="_Toc26492"/>
      <w:r>
        <w:rPr>
          <w:rFonts w:hint="eastAsia" w:ascii="宋体" w:hAnsi="宋体" w:cs="宋体"/>
          <w:b/>
          <w:bCs/>
          <w:color w:val="000000"/>
          <w:sz w:val="24"/>
          <w:szCs w:val="24"/>
          <w:highlight w:val="none"/>
        </w:rPr>
        <w:t>6.供应商查看中标通知</w:t>
      </w:r>
      <w:bookmarkEnd w:id="38"/>
    </w:p>
    <w:p w14:paraId="6DBC83F2">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ascii="宋体" w:hAnsi="宋体" w:cs="宋体"/>
          <w:color w:val="000000"/>
          <w:sz w:val="24"/>
          <w:szCs w:val="24"/>
          <w:highlight w:val="none"/>
        </w:rPr>
        <w:t>路径：招投标中心</w:t>
      </w:r>
      <w:r>
        <w:rPr>
          <w:rFonts w:hint="eastAsia" w:ascii="宋体" w:hAnsi="宋体" w:cs="宋体"/>
          <w:color w:val="000000"/>
          <w:sz w:val="24"/>
          <w:szCs w:val="24"/>
          <w:highlight w:val="none"/>
        </w:rPr>
        <w:t>-</w:t>
      </w:r>
      <w:r>
        <w:rPr>
          <w:rFonts w:ascii="宋体" w:hAnsi="宋体" w:cs="宋体"/>
          <w:color w:val="000000"/>
          <w:sz w:val="24"/>
          <w:szCs w:val="24"/>
          <w:highlight w:val="none"/>
        </w:rPr>
        <w:t>非生产类招投标</w:t>
      </w:r>
      <w:r>
        <w:rPr>
          <w:rFonts w:hint="eastAsia" w:ascii="宋体" w:hAnsi="宋体" w:cs="宋体"/>
          <w:color w:val="000000"/>
          <w:sz w:val="24"/>
          <w:szCs w:val="24"/>
          <w:highlight w:val="none"/>
        </w:rPr>
        <w:t>-</w:t>
      </w:r>
      <w:r>
        <w:rPr>
          <w:rFonts w:ascii="宋体" w:hAnsi="宋体" w:cs="宋体"/>
          <w:color w:val="000000"/>
          <w:sz w:val="24"/>
          <w:szCs w:val="24"/>
          <w:highlight w:val="none"/>
        </w:rPr>
        <w:t>中标项目</w:t>
      </w:r>
    </w:p>
    <w:p w14:paraId="15452DC8">
      <w:pPr>
        <w:pageBreakBefore w:val="0"/>
        <w:widowControl w:val="0"/>
        <w:kinsoku/>
        <w:wordWrap/>
        <w:overflowPunct/>
        <w:topLinePunct w:val="0"/>
        <w:autoSpaceDE/>
        <w:autoSpaceDN/>
        <w:bidi w:val="0"/>
        <w:spacing w:line="360" w:lineRule="auto"/>
        <w:textAlignment w:val="auto"/>
        <w:outlineLvl w:val="9"/>
        <w:rPr>
          <w:rFonts w:ascii="宋体" w:hAnsi="宋体" w:cs="宋体"/>
          <w:sz w:val="24"/>
          <w:szCs w:val="24"/>
          <w:highlight w:val="none"/>
        </w:rPr>
      </w:pPr>
      <w:r>
        <w:rPr>
          <w:rFonts w:ascii="宋体" w:hAnsi="宋体" w:cs="宋体"/>
          <w:color w:val="000000"/>
          <w:sz w:val="24"/>
          <w:szCs w:val="24"/>
          <w:highlight w:val="none"/>
        </w:rPr>
        <w:t>点击查看进入查看中标项目详情</w:t>
      </w:r>
    </w:p>
    <w:p w14:paraId="7EC5B441">
      <w:pPr>
        <w:pageBreakBefore w:val="0"/>
        <w:widowControl w:val="0"/>
        <w:kinsoku/>
        <w:wordWrap/>
        <w:overflowPunct/>
        <w:topLinePunct w:val="0"/>
        <w:autoSpaceDE/>
        <w:autoSpaceDN/>
        <w:bidi w:val="0"/>
        <w:textAlignment w:val="auto"/>
        <w:outlineLvl w:val="9"/>
        <w:rPr>
          <w:highlight w:val="none"/>
        </w:rPr>
      </w:pPr>
      <w:r>
        <w:rPr>
          <w:highlight w:val="none"/>
        </w:rPr>
        <w:drawing>
          <wp:inline distT="0" distB="0" distL="0" distR="0">
            <wp:extent cx="5760085" cy="2489835"/>
            <wp:effectExtent l="0" t="0" r="635" b="952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19"/>
                    <a:stretch>
                      <a:fillRect/>
                    </a:stretch>
                  </pic:blipFill>
                  <pic:spPr>
                    <a:xfrm>
                      <a:off x="0" y="0"/>
                      <a:ext cx="5760085" cy="2489835"/>
                    </a:xfrm>
                    <a:prstGeom prst="rect">
                      <a:avLst/>
                    </a:prstGeom>
                  </pic:spPr>
                </pic:pic>
              </a:graphicData>
            </a:graphic>
          </wp:inline>
        </w:drawing>
      </w:r>
    </w:p>
    <w:p w14:paraId="1707729C">
      <w:pPr>
        <w:pStyle w:val="10"/>
        <w:pageBreakBefore w:val="0"/>
        <w:widowControl w:val="0"/>
        <w:kinsoku/>
        <w:wordWrap/>
        <w:overflowPunct/>
        <w:topLinePunct w:val="0"/>
        <w:autoSpaceDE/>
        <w:autoSpaceDN/>
        <w:bidi w:val="0"/>
        <w:textAlignment w:val="auto"/>
        <w:outlineLvl w:val="9"/>
        <w:rPr>
          <w:rFonts w:hAnsi="宋体" w:cs="Times New Roman"/>
          <w:b/>
          <w:color w:val="000000"/>
          <w:sz w:val="24"/>
          <w:szCs w:val="24"/>
          <w:highlight w:val="none"/>
        </w:rPr>
      </w:pPr>
    </w:p>
    <w:p w14:paraId="18C6D490">
      <w:pPr>
        <w:pageBreakBefore w:val="0"/>
        <w:widowControl w:val="0"/>
        <w:kinsoku/>
        <w:wordWrap/>
        <w:overflowPunct/>
        <w:topLinePunct w:val="0"/>
        <w:autoSpaceDE/>
        <w:autoSpaceDN/>
        <w:bidi w:val="0"/>
        <w:spacing w:line="440" w:lineRule="exact"/>
        <w:ind w:firstLine="420" w:firstLineChars="200"/>
        <w:textAlignment w:val="auto"/>
        <w:outlineLvl w:val="9"/>
        <w:rPr>
          <w:rFonts w:ascii="宋体" w:hAnsi="Courier New"/>
          <w:highlight w:val="none"/>
        </w:rPr>
      </w:pPr>
    </w:p>
    <w:p w14:paraId="56E175A2">
      <w:pPr>
        <w:pStyle w:val="7"/>
        <w:pageBreakBefore w:val="0"/>
        <w:widowControl w:val="0"/>
        <w:kinsoku/>
        <w:wordWrap/>
        <w:overflowPunct/>
        <w:topLinePunct w:val="0"/>
        <w:autoSpaceDE/>
        <w:autoSpaceDN/>
        <w:bidi w:val="0"/>
        <w:textAlignment w:val="auto"/>
        <w:outlineLvl w:val="9"/>
        <w:rPr>
          <w:rFonts w:ascii="宋体" w:hAnsi="宋体"/>
          <w:sz w:val="24"/>
          <w:highlight w:val="none"/>
        </w:rPr>
      </w:pPr>
    </w:p>
    <w:p w14:paraId="2D027593">
      <w:pPr>
        <w:pStyle w:val="7"/>
        <w:pageBreakBefore w:val="0"/>
        <w:widowControl w:val="0"/>
        <w:kinsoku/>
        <w:wordWrap/>
        <w:overflowPunct/>
        <w:topLinePunct w:val="0"/>
        <w:autoSpaceDE/>
        <w:autoSpaceDN/>
        <w:bidi w:val="0"/>
        <w:textAlignment w:val="auto"/>
        <w:outlineLvl w:val="9"/>
        <w:rPr>
          <w:highlight w:val="none"/>
        </w:rPr>
      </w:pPr>
    </w:p>
    <w:p w14:paraId="7548A8B5">
      <w:pPr>
        <w:rPr>
          <w:highlight w:val="none"/>
        </w:rPr>
      </w:pPr>
    </w:p>
    <w:sectPr>
      <w:pgSz w:w="11906" w:h="16838"/>
      <w:pgMar w:top="1587" w:right="1417" w:bottom="1134" w:left="1417" w:header="851" w:footer="992" w:gutter="0"/>
      <w:pgNumType w:fmt="decimal"/>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F3437">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65EA7">
    <w:pPr>
      <w:pStyle w:val="13"/>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F74046">
                          <w:pPr>
                            <w:pStyle w:val="13"/>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0F74046">
                    <w:pPr>
                      <w:pStyle w:val="13"/>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1C240">
    <w:pPr>
      <w:pStyle w:val="13"/>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722439">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3D722439">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D18C3">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A03BC2"/>
    <w:multiLevelType w:val="singleLevel"/>
    <w:tmpl w:val="AAA03BC2"/>
    <w:lvl w:ilvl="0" w:tentative="0">
      <w:start w:val="1"/>
      <w:numFmt w:val="decimal"/>
      <w:pStyle w:val="4"/>
      <w:lvlText w:val="%1."/>
      <w:lvlJc w:val="left"/>
      <w:pPr>
        <w:ind w:left="425" w:hanging="425"/>
      </w:pPr>
      <w:rPr>
        <w:rFonts w:hint="default"/>
      </w:rPr>
    </w:lvl>
  </w:abstractNum>
  <w:abstractNum w:abstractNumId="1">
    <w:nsid w:val="C5D83CA2"/>
    <w:multiLevelType w:val="singleLevel"/>
    <w:tmpl w:val="C5D83CA2"/>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hkMGM3MmM4NzExZDMyMDAwZjczNTM5Nzg4MzI5YTcifQ=="/>
  </w:docVars>
  <w:rsids>
    <w:rsidRoot w:val="00172A27"/>
    <w:rsid w:val="000039FD"/>
    <w:rsid w:val="00015299"/>
    <w:rsid w:val="00015E0D"/>
    <w:rsid w:val="000244B3"/>
    <w:rsid w:val="00037FEA"/>
    <w:rsid w:val="00040CDD"/>
    <w:rsid w:val="00054BC1"/>
    <w:rsid w:val="00066BC6"/>
    <w:rsid w:val="000918C3"/>
    <w:rsid w:val="000A08F6"/>
    <w:rsid w:val="000A6C1D"/>
    <w:rsid w:val="000D030F"/>
    <w:rsid w:val="000D6816"/>
    <w:rsid w:val="000D7E43"/>
    <w:rsid w:val="000E11DF"/>
    <w:rsid w:val="000E1D6A"/>
    <w:rsid w:val="000E1EB0"/>
    <w:rsid w:val="000F74C7"/>
    <w:rsid w:val="001054BC"/>
    <w:rsid w:val="001111A1"/>
    <w:rsid w:val="001160A0"/>
    <w:rsid w:val="00124B86"/>
    <w:rsid w:val="00125A4C"/>
    <w:rsid w:val="0014725F"/>
    <w:rsid w:val="00161153"/>
    <w:rsid w:val="00176A3F"/>
    <w:rsid w:val="00181E01"/>
    <w:rsid w:val="00182A00"/>
    <w:rsid w:val="00187025"/>
    <w:rsid w:val="00196A2A"/>
    <w:rsid w:val="001B3716"/>
    <w:rsid w:val="001E2456"/>
    <w:rsid w:val="001E2654"/>
    <w:rsid w:val="001E2EDF"/>
    <w:rsid w:val="001F0C50"/>
    <w:rsid w:val="001F739D"/>
    <w:rsid w:val="00202D2A"/>
    <w:rsid w:val="00213DA4"/>
    <w:rsid w:val="00214C54"/>
    <w:rsid w:val="00224E70"/>
    <w:rsid w:val="00225CB4"/>
    <w:rsid w:val="00236C19"/>
    <w:rsid w:val="00255A5F"/>
    <w:rsid w:val="00257531"/>
    <w:rsid w:val="00262E60"/>
    <w:rsid w:val="00263E3C"/>
    <w:rsid w:val="00281627"/>
    <w:rsid w:val="00295568"/>
    <w:rsid w:val="00296943"/>
    <w:rsid w:val="002A46AD"/>
    <w:rsid w:val="002B42E4"/>
    <w:rsid w:val="002C4231"/>
    <w:rsid w:val="002D071B"/>
    <w:rsid w:val="002D6C16"/>
    <w:rsid w:val="002E2654"/>
    <w:rsid w:val="002E3BFB"/>
    <w:rsid w:val="00301417"/>
    <w:rsid w:val="003140E9"/>
    <w:rsid w:val="00317394"/>
    <w:rsid w:val="0032767B"/>
    <w:rsid w:val="003351E4"/>
    <w:rsid w:val="003414D2"/>
    <w:rsid w:val="00341BD2"/>
    <w:rsid w:val="00343BE5"/>
    <w:rsid w:val="00353674"/>
    <w:rsid w:val="0035570A"/>
    <w:rsid w:val="00366263"/>
    <w:rsid w:val="00367B34"/>
    <w:rsid w:val="00375545"/>
    <w:rsid w:val="0038116C"/>
    <w:rsid w:val="00381C08"/>
    <w:rsid w:val="003A0656"/>
    <w:rsid w:val="003A7560"/>
    <w:rsid w:val="003C64EB"/>
    <w:rsid w:val="003D1BDF"/>
    <w:rsid w:val="004063DD"/>
    <w:rsid w:val="00420506"/>
    <w:rsid w:val="004261A7"/>
    <w:rsid w:val="004365F7"/>
    <w:rsid w:val="00441012"/>
    <w:rsid w:val="0046389B"/>
    <w:rsid w:val="00465A2D"/>
    <w:rsid w:val="0047546E"/>
    <w:rsid w:val="00482A3B"/>
    <w:rsid w:val="00486F05"/>
    <w:rsid w:val="00487E03"/>
    <w:rsid w:val="004B546C"/>
    <w:rsid w:val="005012AB"/>
    <w:rsid w:val="00514C62"/>
    <w:rsid w:val="00530E26"/>
    <w:rsid w:val="005559C2"/>
    <w:rsid w:val="0056559A"/>
    <w:rsid w:val="00572F5C"/>
    <w:rsid w:val="00573F5B"/>
    <w:rsid w:val="00587F93"/>
    <w:rsid w:val="005B6585"/>
    <w:rsid w:val="005B6F2C"/>
    <w:rsid w:val="0060686A"/>
    <w:rsid w:val="00607BC2"/>
    <w:rsid w:val="00610597"/>
    <w:rsid w:val="006159F9"/>
    <w:rsid w:val="00620178"/>
    <w:rsid w:val="00624856"/>
    <w:rsid w:val="00650980"/>
    <w:rsid w:val="006531A5"/>
    <w:rsid w:val="006648FD"/>
    <w:rsid w:val="00664D1E"/>
    <w:rsid w:val="00673CCD"/>
    <w:rsid w:val="0068717A"/>
    <w:rsid w:val="00696583"/>
    <w:rsid w:val="00697EA2"/>
    <w:rsid w:val="006A1773"/>
    <w:rsid w:val="006A4830"/>
    <w:rsid w:val="006A7C26"/>
    <w:rsid w:val="006B1916"/>
    <w:rsid w:val="006B45EA"/>
    <w:rsid w:val="006E22DF"/>
    <w:rsid w:val="006F2D1D"/>
    <w:rsid w:val="006F4C09"/>
    <w:rsid w:val="006F7257"/>
    <w:rsid w:val="00730521"/>
    <w:rsid w:val="007407D7"/>
    <w:rsid w:val="00741A30"/>
    <w:rsid w:val="007A66C5"/>
    <w:rsid w:val="007E1D25"/>
    <w:rsid w:val="007E7530"/>
    <w:rsid w:val="00805D91"/>
    <w:rsid w:val="00826C1B"/>
    <w:rsid w:val="00833CE3"/>
    <w:rsid w:val="0083414B"/>
    <w:rsid w:val="00873E3A"/>
    <w:rsid w:val="008861E0"/>
    <w:rsid w:val="0088706A"/>
    <w:rsid w:val="00896D21"/>
    <w:rsid w:val="008B4C89"/>
    <w:rsid w:val="008F002C"/>
    <w:rsid w:val="008F4A28"/>
    <w:rsid w:val="00905806"/>
    <w:rsid w:val="00917EDB"/>
    <w:rsid w:val="009275EE"/>
    <w:rsid w:val="0095269E"/>
    <w:rsid w:val="009641E2"/>
    <w:rsid w:val="009A24A5"/>
    <w:rsid w:val="009D39EF"/>
    <w:rsid w:val="009D706A"/>
    <w:rsid w:val="009E21EB"/>
    <w:rsid w:val="00A118B9"/>
    <w:rsid w:val="00A15446"/>
    <w:rsid w:val="00A52DC5"/>
    <w:rsid w:val="00A6747D"/>
    <w:rsid w:val="00A7293D"/>
    <w:rsid w:val="00A87200"/>
    <w:rsid w:val="00A9121B"/>
    <w:rsid w:val="00A93987"/>
    <w:rsid w:val="00A94E4E"/>
    <w:rsid w:val="00AA31BE"/>
    <w:rsid w:val="00AA3A13"/>
    <w:rsid w:val="00AA7B2B"/>
    <w:rsid w:val="00AD2690"/>
    <w:rsid w:val="00AE3E17"/>
    <w:rsid w:val="00AE5556"/>
    <w:rsid w:val="00B014B0"/>
    <w:rsid w:val="00B04952"/>
    <w:rsid w:val="00B27112"/>
    <w:rsid w:val="00B30BF4"/>
    <w:rsid w:val="00B4039D"/>
    <w:rsid w:val="00B47C6E"/>
    <w:rsid w:val="00B562B0"/>
    <w:rsid w:val="00B71897"/>
    <w:rsid w:val="00B71E1F"/>
    <w:rsid w:val="00B81D55"/>
    <w:rsid w:val="00B860B4"/>
    <w:rsid w:val="00B91B85"/>
    <w:rsid w:val="00B95837"/>
    <w:rsid w:val="00B97D41"/>
    <w:rsid w:val="00BB30E9"/>
    <w:rsid w:val="00BB4839"/>
    <w:rsid w:val="00C257DD"/>
    <w:rsid w:val="00C26C15"/>
    <w:rsid w:val="00C32311"/>
    <w:rsid w:val="00C55D77"/>
    <w:rsid w:val="00CE04CF"/>
    <w:rsid w:val="00CE4EB9"/>
    <w:rsid w:val="00D03851"/>
    <w:rsid w:val="00D047CB"/>
    <w:rsid w:val="00D21473"/>
    <w:rsid w:val="00D43562"/>
    <w:rsid w:val="00D5154E"/>
    <w:rsid w:val="00D56F7E"/>
    <w:rsid w:val="00D626B3"/>
    <w:rsid w:val="00D6684E"/>
    <w:rsid w:val="00D70EB3"/>
    <w:rsid w:val="00D72C39"/>
    <w:rsid w:val="00D95ED4"/>
    <w:rsid w:val="00DB02C7"/>
    <w:rsid w:val="00DC2D3B"/>
    <w:rsid w:val="00DF14F4"/>
    <w:rsid w:val="00E03EDC"/>
    <w:rsid w:val="00E0425B"/>
    <w:rsid w:val="00E05644"/>
    <w:rsid w:val="00E0592B"/>
    <w:rsid w:val="00E13231"/>
    <w:rsid w:val="00E15CD1"/>
    <w:rsid w:val="00E305E2"/>
    <w:rsid w:val="00E375E6"/>
    <w:rsid w:val="00E4366F"/>
    <w:rsid w:val="00E51036"/>
    <w:rsid w:val="00E51F56"/>
    <w:rsid w:val="00E67661"/>
    <w:rsid w:val="00E756A6"/>
    <w:rsid w:val="00E871EE"/>
    <w:rsid w:val="00E9166E"/>
    <w:rsid w:val="00E9543F"/>
    <w:rsid w:val="00E95900"/>
    <w:rsid w:val="00E97E73"/>
    <w:rsid w:val="00EF5FCA"/>
    <w:rsid w:val="00F05D31"/>
    <w:rsid w:val="00F22435"/>
    <w:rsid w:val="00F2273D"/>
    <w:rsid w:val="00F25542"/>
    <w:rsid w:val="00F25F15"/>
    <w:rsid w:val="00F40D51"/>
    <w:rsid w:val="00F50A8B"/>
    <w:rsid w:val="00F8614E"/>
    <w:rsid w:val="00FA4D06"/>
    <w:rsid w:val="00FC5B3D"/>
    <w:rsid w:val="00FE438B"/>
    <w:rsid w:val="00FF11E7"/>
    <w:rsid w:val="00FF5AA9"/>
    <w:rsid w:val="010B22B0"/>
    <w:rsid w:val="011C0A03"/>
    <w:rsid w:val="014F4893"/>
    <w:rsid w:val="016139CC"/>
    <w:rsid w:val="01767B23"/>
    <w:rsid w:val="01774D6C"/>
    <w:rsid w:val="01831488"/>
    <w:rsid w:val="018E7819"/>
    <w:rsid w:val="019604A9"/>
    <w:rsid w:val="01AF0612"/>
    <w:rsid w:val="01C51910"/>
    <w:rsid w:val="01DA2E6C"/>
    <w:rsid w:val="01DB7ED5"/>
    <w:rsid w:val="0224187C"/>
    <w:rsid w:val="02395F2F"/>
    <w:rsid w:val="02436043"/>
    <w:rsid w:val="02611E54"/>
    <w:rsid w:val="0261662C"/>
    <w:rsid w:val="026933C1"/>
    <w:rsid w:val="02755FB4"/>
    <w:rsid w:val="0279651D"/>
    <w:rsid w:val="028A0530"/>
    <w:rsid w:val="02B0568A"/>
    <w:rsid w:val="02D149AD"/>
    <w:rsid w:val="02D46657"/>
    <w:rsid w:val="02DA2949"/>
    <w:rsid w:val="02DB52BD"/>
    <w:rsid w:val="02DC2D3E"/>
    <w:rsid w:val="02E958D7"/>
    <w:rsid w:val="03273887"/>
    <w:rsid w:val="032853BC"/>
    <w:rsid w:val="0341249E"/>
    <w:rsid w:val="034858F1"/>
    <w:rsid w:val="035A4CAD"/>
    <w:rsid w:val="036A5588"/>
    <w:rsid w:val="036A712A"/>
    <w:rsid w:val="037D56E7"/>
    <w:rsid w:val="03827B14"/>
    <w:rsid w:val="039203FC"/>
    <w:rsid w:val="039E11BA"/>
    <w:rsid w:val="03AB4C62"/>
    <w:rsid w:val="03D3663B"/>
    <w:rsid w:val="03E7552B"/>
    <w:rsid w:val="03EC63C9"/>
    <w:rsid w:val="0425785D"/>
    <w:rsid w:val="04361CF6"/>
    <w:rsid w:val="04637AA8"/>
    <w:rsid w:val="048B7990"/>
    <w:rsid w:val="048C0506"/>
    <w:rsid w:val="04A17265"/>
    <w:rsid w:val="04AE64BD"/>
    <w:rsid w:val="04B163D7"/>
    <w:rsid w:val="04B32944"/>
    <w:rsid w:val="04EE3948"/>
    <w:rsid w:val="04F311AF"/>
    <w:rsid w:val="05011ADD"/>
    <w:rsid w:val="05133C63"/>
    <w:rsid w:val="05177476"/>
    <w:rsid w:val="051D6770"/>
    <w:rsid w:val="052778F4"/>
    <w:rsid w:val="05690B31"/>
    <w:rsid w:val="05776166"/>
    <w:rsid w:val="057876ED"/>
    <w:rsid w:val="05860158"/>
    <w:rsid w:val="05885E20"/>
    <w:rsid w:val="059267A3"/>
    <w:rsid w:val="05B3073B"/>
    <w:rsid w:val="05BB5375"/>
    <w:rsid w:val="05CE10C1"/>
    <w:rsid w:val="05D07899"/>
    <w:rsid w:val="05F509D2"/>
    <w:rsid w:val="05F62280"/>
    <w:rsid w:val="0622059D"/>
    <w:rsid w:val="065345EF"/>
    <w:rsid w:val="06815AFC"/>
    <w:rsid w:val="06A665F7"/>
    <w:rsid w:val="06B5558D"/>
    <w:rsid w:val="06D575E9"/>
    <w:rsid w:val="06E11DAC"/>
    <w:rsid w:val="06FB3B03"/>
    <w:rsid w:val="06FE205F"/>
    <w:rsid w:val="070752C8"/>
    <w:rsid w:val="070B2161"/>
    <w:rsid w:val="07123242"/>
    <w:rsid w:val="0715212E"/>
    <w:rsid w:val="071B07B5"/>
    <w:rsid w:val="071F0E51"/>
    <w:rsid w:val="073D1FEE"/>
    <w:rsid w:val="074E1599"/>
    <w:rsid w:val="07532B5F"/>
    <w:rsid w:val="077965D0"/>
    <w:rsid w:val="077E0AE9"/>
    <w:rsid w:val="079B438E"/>
    <w:rsid w:val="07B4177C"/>
    <w:rsid w:val="07CF4DE0"/>
    <w:rsid w:val="07DF75F9"/>
    <w:rsid w:val="07E43A81"/>
    <w:rsid w:val="07E84685"/>
    <w:rsid w:val="081952B3"/>
    <w:rsid w:val="081F675F"/>
    <w:rsid w:val="08215F31"/>
    <w:rsid w:val="082F287B"/>
    <w:rsid w:val="083A27B3"/>
    <w:rsid w:val="08521B36"/>
    <w:rsid w:val="0859085C"/>
    <w:rsid w:val="087864F3"/>
    <w:rsid w:val="0885360A"/>
    <w:rsid w:val="08A27337"/>
    <w:rsid w:val="08AD4471"/>
    <w:rsid w:val="08BB245F"/>
    <w:rsid w:val="08D77648"/>
    <w:rsid w:val="08E510A5"/>
    <w:rsid w:val="08E82938"/>
    <w:rsid w:val="08FD1FCF"/>
    <w:rsid w:val="08FF7955"/>
    <w:rsid w:val="091A12E3"/>
    <w:rsid w:val="0922698B"/>
    <w:rsid w:val="092E3A4F"/>
    <w:rsid w:val="096F3207"/>
    <w:rsid w:val="098E4FA0"/>
    <w:rsid w:val="099111BE"/>
    <w:rsid w:val="09916177"/>
    <w:rsid w:val="09991E4D"/>
    <w:rsid w:val="09B207F9"/>
    <w:rsid w:val="09BD4F56"/>
    <w:rsid w:val="09CE47AD"/>
    <w:rsid w:val="09EA5159"/>
    <w:rsid w:val="09F124DC"/>
    <w:rsid w:val="0A0124A3"/>
    <w:rsid w:val="0A062BA1"/>
    <w:rsid w:val="0A095331"/>
    <w:rsid w:val="0A156FE1"/>
    <w:rsid w:val="0A2B13BC"/>
    <w:rsid w:val="0A573505"/>
    <w:rsid w:val="0A641E54"/>
    <w:rsid w:val="0A8B17BD"/>
    <w:rsid w:val="0A937AE7"/>
    <w:rsid w:val="0AC018B0"/>
    <w:rsid w:val="0AD35BED"/>
    <w:rsid w:val="0AD61B81"/>
    <w:rsid w:val="0AFF4C34"/>
    <w:rsid w:val="0B45790A"/>
    <w:rsid w:val="0B484401"/>
    <w:rsid w:val="0B4C3874"/>
    <w:rsid w:val="0B5843AD"/>
    <w:rsid w:val="0B6017B9"/>
    <w:rsid w:val="0B646908"/>
    <w:rsid w:val="0B8373EF"/>
    <w:rsid w:val="0B971913"/>
    <w:rsid w:val="0BB53545"/>
    <w:rsid w:val="0BDE31B6"/>
    <w:rsid w:val="0BE51013"/>
    <w:rsid w:val="0C0E7438"/>
    <w:rsid w:val="0C1A0BD1"/>
    <w:rsid w:val="0C1D0382"/>
    <w:rsid w:val="0C31628E"/>
    <w:rsid w:val="0C3C7EA2"/>
    <w:rsid w:val="0C4B11C9"/>
    <w:rsid w:val="0C853B1A"/>
    <w:rsid w:val="0C8602EC"/>
    <w:rsid w:val="0C88659A"/>
    <w:rsid w:val="0C8E2713"/>
    <w:rsid w:val="0C924DEE"/>
    <w:rsid w:val="0CB3547B"/>
    <w:rsid w:val="0CD343D7"/>
    <w:rsid w:val="0CEA2D36"/>
    <w:rsid w:val="0CF10C4B"/>
    <w:rsid w:val="0CF84B54"/>
    <w:rsid w:val="0D011AF9"/>
    <w:rsid w:val="0D015662"/>
    <w:rsid w:val="0D053F9C"/>
    <w:rsid w:val="0D1036FE"/>
    <w:rsid w:val="0D18082E"/>
    <w:rsid w:val="0D1A191A"/>
    <w:rsid w:val="0D3E2F48"/>
    <w:rsid w:val="0D466D19"/>
    <w:rsid w:val="0D5044E7"/>
    <w:rsid w:val="0D5613D5"/>
    <w:rsid w:val="0D731580"/>
    <w:rsid w:val="0D77682B"/>
    <w:rsid w:val="0D7A532C"/>
    <w:rsid w:val="0D836704"/>
    <w:rsid w:val="0DC63892"/>
    <w:rsid w:val="0DD40A08"/>
    <w:rsid w:val="0DE7465B"/>
    <w:rsid w:val="0DE97B5E"/>
    <w:rsid w:val="0DEB5944"/>
    <w:rsid w:val="0DED1503"/>
    <w:rsid w:val="0DF33CF1"/>
    <w:rsid w:val="0E1A3BB0"/>
    <w:rsid w:val="0E1B19B0"/>
    <w:rsid w:val="0E552513"/>
    <w:rsid w:val="0E5E3999"/>
    <w:rsid w:val="0E722A7E"/>
    <w:rsid w:val="0EB360DE"/>
    <w:rsid w:val="0EB918B7"/>
    <w:rsid w:val="0ECE1DFE"/>
    <w:rsid w:val="0EEC54CF"/>
    <w:rsid w:val="0EFC5A27"/>
    <w:rsid w:val="0EFD592E"/>
    <w:rsid w:val="0F0B47BD"/>
    <w:rsid w:val="0F0D2236"/>
    <w:rsid w:val="0F1550CD"/>
    <w:rsid w:val="0F2365E1"/>
    <w:rsid w:val="0F423C5D"/>
    <w:rsid w:val="0F793CA1"/>
    <w:rsid w:val="0F8372E0"/>
    <w:rsid w:val="0F8F3712"/>
    <w:rsid w:val="0FC477AC"/>
    <w:rsid w:val="0FEE632A"/>
    <w:rsid w:val="10094131"/>
    <w:rsid w:val="100C62CC"/>
    <w:rsid w:val="101A3B79"/>
    <w:rsid w:val="102A2868"/>
    <w:rsid w:val="104D064D"/>
    <w:rsid w:val="10574D0E"/>
    <w:rsid w:val="10662971"/>
    <w:rsid w:val="1074723A"/>
    <w:rsid w:val="107E484D"/>
    <w:rsid w:val="108C1EAE"/>
    <w:rsid w:val="109936C0"/>
    <w:rsid w:val="109E0C3D"/>
    <w:rsid w:val="109E6D51"/>
    <w:rsid w:val="10A27D57"/>
    <w:rsid w:val="10A40F46"/>
    <w:rsid w:val="10B503BE"/>
    <w:rsid w:val="10C14E82"/>
    <w:rsid w:val="10DA5576"/>
    <w:rsid w:val="11212A0C"/>
    <w:rsid w:val="11422A71"/>
    <w:rsid w:val="11426303"/>
    <w:rsid w:val="1149506D"/>
    <w:rsid w:val="115D3D0D"/>
    <w:rsid w:val="11891F6A"/>
    <w:rsid w:val="119D105F"/>
    <w:rsid w:val="11EE1165"/>
    <w:rsid w:val="11EF7262"/>
    <w:rsid w:val="11F55185"/>
    <w:rsid w:val="12025766"/>
    <w:rsid w:val="1231003F"/>
    <w:rsid w:val="123C1304"/>
    <w:rsid w:val="123D4149"/>
    <w:rsid w:val="125E74E2"/>
    <w:rsid w:val="12712DC5"/>
    <w:rsid w:val="12787CDD"/>
    <w:rsid w:val="128E407F"/>
    <w:rsid w:val="1295180B"/>
    <w:rsid w:val="129B6A1F"/>
    <w:rsid w:val="12A34203"/>
    <w:rsid w:val="12C46AD7"/>
    <w:rsid w:val="12D85778"/>
    <w:rsid w:val="12E144B4"/>
    <w:rsid w:val="12FC2E1F"/>
    <w:rsid w:val="13031357"/>
    <w:rsid w:val="131A6F25"/>
    <w:rsid w:val="13255180"/>
    <w:rsid w:val="13270D7A"/>
    <w:rsid w:val="136C6BDF"/>
    <w:rsid w:val="13791B85"/>
    <w:rsid w:val="13A33CA4"/>
    <w:rsid w:val="13A36145"/>
    <w:rsid w:val="13A9603D"/>
    <w:rsid w:val="13AA5AD0"/>
    <w:rsid w:val="13AF1D43"/>
    <w:rsid w:val="13B82867"/>
    <w:rsid w:val="13CA1B57"/>
    <w:rsid w:val="13CA3E07"/>
    <w:rsid w:val="13CD6F8A"/>
    <w:rsid w:val="13D15990"/>
    <w:rsid w:val="13D502B6"/>
    <w:rsid w:val="13D7311C"/>
    <w:rsid w:val="13E9022F"/>
    <w:rsid w:val="13EB044B"/>
    <w:rsid w:val="14250C9D"/>
    <w:rsid w:val="142B0E90"/>
    <w:rsid w:val="146F4594"/>
    <w:rsid w:val="14990D3A"/>
    <w:rsid w:val="14A127E5"/>
    <w:rsid w:val="14B02E00"/>
    <w:rsid w:val="14B51486"/>
    <w:rsid w:val="14BA1191"/>
    <w:rsid w:val="15030AD9"/>
    <w:rsid w:val="15090F10"/>
    <w:rsid w:val="15267814"/>
    <w:rsid w:val="15273D43"/>
    <w:rsid w:val="15602773"/>
    <w:rsid w:val="156712A9"/>
    <w:rsid w:val="15695ACC"/>
    <w:rsid w:val="156F6E5A"/>
    <w:rsid w:val="157629DC"/>
    <w:rsid w:val="157D344D"/>
    <w:rsid w:val="15A03E6A"/>
    <w:rsid w:val="15B21729"/>
    <w:rsid w:val="15B43F4C"/>
    <w:rsid w:val="15C23B9A"/>
    <w:rsid w:val="15DA10F2"/>
    <w:rsid w:val="16397206"/>
    <w:rsid w:val="16612C47"/>
    <w:rsid w:val="168A398A"/>
    <w:rsid w:val="16A3229C"/>
    <w:rsid w:val="16B207CA"/>
    <w:rsid w:val="16C624EA"/>
    <w:rsid w:val="16C92C9F"/>
    <w:rsid w:val="16DC5ED4"/>
    <w:rsid w:val="16FE00C6"/>
    <w:rsid w:val="1702234F"/>
    <w:rsid w:val="17081026"/>
    <w:rsid w:val="170D59F4"/>
    <w:rsid w:val="171844F3"/>
    <w:rsid w:val="17255D87"/>
    <w:rsid w:val="173A48D6"/>
    <w:rsid w:val="173C59AC"/>
    <w:rsid w:val="17457E73"/>
    <w:rsid w:val="1767588B"/>
    <w:rsid w:val="17692FF8"/>
    <w:rsid w:val="1776488C"/>
    <w:rsid w:val="17825F6C"/>
    <w:rsid w:val="17912EB8"/>
    <w:rsid w:val="17D450D9"/>
    <w:rsid w:val="17DF5199"/>
    <w:rsid w:val="17E4768B"/>
    <w:rsid w:val="180026D3"/>
    <w:rsid w:val="18176D37"/>
    <w:rsid w:val="184616E2"/>
    <w:rsid w:val="18550589"/>
    <w:rsid w:val="185F480A"/>
    <w:rsid w:val="18617D0D"/>
    <w:rsid w:val="188E5DDF"/>
    <w:rsid w:val="18D53478"/>
    <w:rsid w:val="18DB462D"/>
    <w:rsid w:val="18EB1E70"/>
    <w:rsid w:val="18EF137B"/>
    <w:rsid w:val="18F44CFE"/>
    <w:rsid w:val="19180BFF"/>
    <w:rsid w:val="19343E52"/>
    <w:rsid w:val="193F66C8"/>
    <w:rsid w:val="1964413C"/>
    <w:rsid w:val="19782D58"/>
    <w:rsid w:val="19923106"/>
    <w:rsid w:val="19A22534"/>
    <w:rsid w:val="19A54B21"/>
    <w:rsid w:val="19AE3232"/>
    <w:rsid w:val="19B06735"/>
    <w:rsid w:val="19C72DC1"/>
    <w:rsid w:val="19FE0A33"/>
    <w:rsid w:val="1A141D7E"/>
    <w:rsid w:val="1A357F21"/>
    <w:rsid w:val="1A551442"/>
    <w:rsid w:val="1AA11864"/>
    <w:rsid w:val="1AC35C7E"/>
    <w:rsid w:val="1AD80FFE"/>
    <w:rsid w:val="1AEC4E38"/>
    <w:rsid w:val="1B253925"/>
    <w:rsid w:val="1B2D351A"/>
    <w:rsid w:val="1B492231"/>
    <w:rsid w:val="1B4A2C53"/>
    <w:rsid w:val="1B75731B"/>
    <w:rsid w:val="1BA67AEA"/>
    <w:rsid w:val="1BDC7FC4"/>
    <w:rsid w:val="1BDF56C5"/>
    <w:rsid w:val="1BEC6B0F"/>
    <w:rsid w:val="1BF252AE"/>
    <w:rsid w:val="1C07688A"/>
    <w:rsid w:val="1C0E2142"/>
    <w:rsid w:val="1C104F9B"/>
    <w:rsid w:val="1C117199"/>
    <w:rsid w:val="1C2C7FE2"/>
    <w:rsid w:val="1C3715D7"/>
    <w:rsid w:val="1C4B73E9"/>
    <w:rsid w:val="1C816553"/>
    <w:rsid w:val="1C865AAB"/>
    <w:rsid w:val="1CAF5D9E"/>
    <w:rsid w:val="1CC2453B"/>
    <w:rsid w:val="1CD55894"/>
    <w:rsid w:val="1CD96BE2"/>
    <w:rsid w:val="1CDF436F"/>
    <w:rsid w:val="1CE83979"/>
    <w:rsid w:val="1CF62125"/>
    <w:rsid w:val="1CFE13A0"/>
    <w:rsid w:val="1D201555"/>
    <w:rsid w:val="1D3F2158"/>
    <w:rsid w:val="1D436612"/>
    <w:rsid w:val="1D73466D"/>
    <w:rsid w:val="1D9C4722"/>
    <w:rsid w:val="1DA069AB"/>
    <w:rsid w:val="1DFD34C1"/>
    <w:rsid w:val="1E0B27D7"/>
    <w:rsid w:val="1E117F64"/>
    <w:rsid w:val="1E287B89"/>
    <w:rsid w:val="1E2C4463"/>
    <w:rsid w:val="1E314C15"/>
    <w:rsid w:val="1E856ED3"/>
    <w:rsid w:val="1EAB5EF7"/>
    <w:rsid w:val="1ECD2CE2"/>
    <w:rsid w:val="1EDC7DA8"/>
    <w:rsid w:val="1EEF62CD"/>
    <w:rsid w:val="1EF14F9B"/>
    <w:rsid w:val="1F0869EA"/>
    <w:rsid w:val="1F137E76"/>
    <w:rsid w:val="1F1C3919"/>
    <w:rsid w:val="1F3025BA"/>
    <w:rsid w:val="1F58785A"/>
    <w:rsid w:val="1F7A1CD0"/>
    <w:rsid w:val="1FC803E8"/>
    <w:rsid w:val="1FCA4D36"/>
    <w:rsid w:val="1FF548C8"/>
    <w:rsid w:val="1FFF212D"/>
    <w:rsid w:val="200C6AA5"/>
    <w:rsid w:val="202D5948"/>
    <w:rsid w:val="20334D0F"/>
    <w:rsid w:val="206E6027"/>
    <w:rsid w:val="208D46B8"/>
    <w:rsid w:val="20913154"/>
    <w:rsid w:val="20942D66"/>
    <w:rsid w:val="209B043C"/>
    <w:rsid w:val="20AE082C"/>
    <w:rsid w:val="20B65C39"/>
    <w:rsid w:val="20E93CF9"/>
    <w:rsid w:val="20FD3E2F"/>
    <w:rsid w:val="21170748"/>
    <w:rsid w:val="21332A32"/>
    <w:rsid w:val="213A0410"/>
    <w:rsid w:val="213A6642"/>
    <w:rsid w:val="21457AA6"/>
    <w:rsid w:val="21460B22"/>
    <w:rsid w:val="216A315E"/>
    <w:rsid w:val="217B6997"/>
    <w:rsid w:val="219D5F36"/>
    <w:rsid w:val="21A62FC3"/>
    <w:rsid w:val="21B96760"/>
    <w:rsid w:val="21BD5166"/>
    <w:rsid w:val="21E360C5"/>
    <w:rsid w:val="21EC5CB5"/>
    <w:rsid w:val="22004907"/>
    <w:rsid w:val="2206685F"/>
    <w:rsid w:val="223031EB"/>
    <w:rsid w:val="2230760B"/>
    <w:rsid w:val="22422E41"/>
    <w:rsid w:val="2254540E"/>
    <w:rsid w:val="225C2514"/>
    <w:rsid w:val="225E4CF0"/>
    <w:rsid w:val="225F1FCF"/>
    <w:rsid w:val="226546C9"/>
    <w:rsid w:val="226C1A87"/>
    <w:rsid w:val="22A51891"/>
    <w:rsid w:val="22AA736D"/>
    <w:rsid w:val="22AD41D9"/>
    <w:rsid w:val="22AE0FC2"/>
    <w:rsid w:val="22AF1419"/>
    <w:rsid w:val="22B84105"/>
    <w:rsid w:val="22C8691D"/>
    <w:rsid w:val="22EC56A6"/>
    <w:rsid w:val="22EF2384"/>
    <w:rsid w:val="230022FA"/>
    <w:rsid w:val="23222C5F"/>
    <w:rsid w:val="233E2EB1"/>
    <w:rsid w:val="234C2589"/>
    <w:rsid w:val="23527219"/>
    <w:rsid w:val="235B53E0"/>
    <w:rsid w:val="238B0A63"/>
    <w:rsid w:val="239A0082"/>
    <w:rsid w:val="23D70CD9"/>
    <w:rsid w:val="23DA1C5E"/>
    <w:rsid w:val="23E435FF"/>
    <w:rsid w:val="23FB5A15"/>
    <w:rsid w:val="24140B3E"/>
    <w:rsid w:val="241D144D"/>
    <w:rsid w:val="24233357"/>
    <w:rsid w:val="243512C2"/>
    <w:rsid w:val="24885842"/>
    <w:rsid w:val="24983315"/>
    <w:rsid w:val="249B43C3"/>
    <w:rsid w:val="24AA6D8B"/>
    <w:rsid w:val="24D81B80"/>
    <w:rsid w:val="24F43A2F"/>
    <w:rsid w:val="25024F43"/>
    <w:rsid w:val="250F3174"/>
    <w:rsid w:val="251145CB"/>
    <w:rsid w:val="25361F1A"/>
    <w:rsid w:val="255911D5"/>
    <w:rsid w:val="256E58F7"/>
    <w:rsid w:val="25702FF9"/>
    <w:rsid w:val="25832019"/>
    <w:rsid w:val="25C34EA0"/>
    <w:rsid w:val="25DA0320"/>
    <w:rsid w:val="25E642BC"/>
    <w:rsid w:val="25EB42DB"/>
    <w:rsid w:val="25ED1E01"/>
    <w:rsid w:val="25FC2044"/>
    <w:rsid w:val="26241BA3"/>
    <w:rsid w:val="26261045"/>
    <w:rsid w:val="262650A6"/>
    <w:rsid w:val="263578BE"/>
    <w:rsid w:val="26361ABD"/>
    <w:rsid w:val="265448F0"/>
    <w:rsid w:val="268F74A1"/>
    <w:rsid w:val="26B81248"/>
    <w:rsid w:val="26C40427"/>
    <w:rsid w:val="26CC32B5"/>
    <w:rsid w:val="26ED37EA"/>
    <w:rsid w:val="26F9507E"/>
    <w:rsid w:val="270657F8"/>
    <w:rsid w:val="271414AB"/>
    <w:rsid w:val="271C4469"/>
    <w:rsid w:val="271C4BC8"/>
    <w:rsid w:val="272A364F"/>
    <w:rsid w:val="272D447F"/>
    <w:rsid w:val="273370CF"/>
    <w:rsid w:val="27551F14"/>
    <w:rsid w:val="2759091B"/>
    <w:rsid w:val="27705CAA"/>
    <w:rsid w:val="27826986"/>
    <w:rsid w:val="278674BE"/>
    <w:rsid w:val="279D398E"/>
    <w:rsid w:val="27A22014"/>
    <w:rsid w:val="27B21B89"/>
    <w:rsid w:val="27B775BB"/>
    <w:rsid w:val="27C8781B"/>
    <w:rsid w:val="27CC3C98"/>
    <w:rsid w:val="27F42F5B"/>
    <w:rsid w:val="280F0246"/>
    <w:rsid w:val="281A0EA7"/>
    <w:rsid w:val="283F2399"/>
    <w:rsid w:val="2846729E"/>
    <w:rsid w:val="28634650"/>
    <w:rsid w:val="28652094"/>
    <w:rsid w:val="287265EE"/>
    <w:rsid w:val="287C2ACA"/>
    <w:rsid w:val="287C7778"/>
    <w:rsid w:val="28956124"/>
    <w:rsid w:val="2899001E"/>
    <w:rsid w:val="289D572F"/>
    <w:rsid w:val="28B1347D"/>
    <w:rsid w:val="28BB0CDC"/>
    <w:rsid w:val="28DE3F9A"/>
    <w:rsid w:val="290618DB"/>
    <w:rsid w:val="293B69F3"/>
    <w:rsid w:val="294739C9"/>
    <w:rsid w:val="296F4668"/>
    <w:rsid w:val="297D6603"/>
    <w:rsid w:val="298734E1"/>
    <w:rsid w:val="29A7676B"/>
    <w:rsid w:val="29B042F2"/>
    <w:rsid w:val="29E37FC4"/>
    <w:rsid w:val="2A06727F"/>
    <w:rsid w:val="2A0D248D"/>
    <w:rsid w:val="2A276A0A"/>
    <w:rsid w:val="2A497822"/>
    <w:rsid w:val="2A524E42"/>
    <w:rsid w:val="2A573E05"/>
    <w:rsid w:val="2A8F62DB"/>
    <w:rsid w:val="2A9F6179"/>
    <w:rsid w:val="2AA529EA"/>
    <w:rsid w:val="2AAE58D7"/>
    <w:rsid w:val="2ACE2709"/>
    <w:rsid w:val="2AD44455"/>
    <w:rsid w:val="2AE546EF"/>
    <w:rsid w:val="2AF6240B"/>
    <w:rsid w:val="2B0D6C28"/>
    <w:rsid w:val="2B172940"/>
    <w:rsid w:val="2B1E22C0"/>
    <w:rsid w:val="2B255FBA"/>
    <w:rsid w:val="2B27334F"/>
    <w:rsid w:val="2B361147"/>
    <w:rsid w:val="2B510813"/>
    <w:rsid w:val="2B690FE4"/>
    <w:rsid w:val="2B7B3A0B"/>
    <w:rsid w:val="2B7D0CDF"/>
    <w:rsid w:val="2B85488A"/>
    <w:rsid w:val="2B8A2873"/>
    <w:rsid w:val="2B8B7A2B"/>
    <w:rsid w:val="2BAF21A8"/>
    <w:rsid w:val="2BB304C5"/>
    <w:rsid w:val="2BB70AC7"/>
    <w:rsid w:val="2BD63C77"/>
    <w:rsid w:val="2BE47802"/>
    <w:rsid w:val="2C01033F"/>
    <w:rsid w:val="2C292DC5"/>
    <w:rsid w:val="2C320B0E"/>
    <w:rsid w:val="2C6D3C9C"/>
    <w:rsid w:val="2C73669D"/>
    <w:rsid w:val="2C830D32"/>
    <w:rsid w:val="2C852F1B"/>
    <w:rsid w:val="2C8B24A1"/>
    <w:rsid w:val="2C923702"/>
    <w:rsid w:val="2C9A25B7"/>
    <w:rsid w:val="2CAC615D"/>
    <w:rsid w:val="2CBA556F"/>
    <w:rsid w:val="2CC82306"/>
    <w:rsid w:val="2CDE41A9"/>
    <w:rsid w:val="2CEA2186"/>
    <w:rsid w:val="2CF2314A"/>
    <w:rsid w:val="2D214C54"/>
    <w:rsid w:val="2D2E5194"/>
    <w:rsid w:val="2D3A63C1"/>
    <w:rsid w:val="2D4609D6"/>
    <w:rsid w:val="2D586372"/>
    <w:rsid w:val="2D5E1836"/>
    <w:rsid w:val="2DED4667"/>
    <w:rsid w:val="2E047B0F"/>
    <w:rsid w:val="2E203BBC"/>
    <w:rsid w:val="2E2D22C4"/>
    <w:rsid w:val="2E32193B"/>
    <w:rsid w:val="2E456552"/>
    <w:rsid w:val="2E56209C"/>
    <w:rsid w:val="2E8337A2"/>
    <w:rsid w:val="2E8A57EA"/>
    <w:rsid w:val="2EB07E70"/>
    <w:rsid w:val="2EB4662E"/>
    <w:rsid w:val="2EEA5313"/>
    <w:rsid w:val="2F1A1856"/>
    <w:rsid w:val="2F25085E"/>
    <w:rsid w:val="2F397A40"/>
    <w:rsid w:val="2F3A4309"/>
    <w:rsid w:val="2F5B483E"/>
    <w:rsid w:val="2F5D35C4"/>
    <w:rsid w:val="2F643CCA"/>
    <w:rsid w:val="2F666B63"/>
    <w:rsid w:val="2F8B269D"/>
    <w:rsid w:val="2F8D6311"/>
    <w:rsid w:val="2F9F78B1"/>
    <w:rsid w:val="2FEA3FFE"/>
    <w:rsid w:val="2FF10740"/>
    <w:rsid w:val="2FFB00F8"/>
    <w:rsid w:val="30042AC7"/>
    <w:rsid w:val="300D1CFE"/>
    <w:rsid w:val="300F55E6"/>
    <w:rsid w:val="30285E63"/>
    <w:rsid w:val="30305B1B"/>
    <w:rsid w:val="30611B6D"/>
    <w:rsid w:val="30612B5B"/>
    <w:rsid w:val="306C7EFE"/>
    <w:rsid w:val="30810353"/>
    <w:rsid w:val="30811F78"/>
    <w:rsid w:val="308952B0"/>
    <w:rsid w:val="308A4F2F"/>
    <w:rsid w:val="30902D45"/>
    <w:rsid w:val="3092460A"/>
    <w:rsid w:val="309918E9"/>
    <w:rsid w:val="309C64CF"/>
    <w:rsid w:val="30A26212"/>
    <w:rsid w:val="30A91A2E"/>
    <w:rsid w:val="30B20672"/>
    <w:rsid w:val="312E16A3"/>
    <w:rsid w:val="31416C5C"/>
    <w:rsid w:val="316200E4"/>
    <w:rsid w:val="316D0DA5"/>
    <w:rsid w:val="31A56C28"/>
    <w:rsid w:val="31B3151A"/>
    <w:rsid w:val="31BA0EA5"/>
    <w:rsid w:val="31BD1E29"/>
    <w:rsid w:val="31BE6E53"/>
    <w:rsid w:val="31C02DAE"/>
    <w:rsid w:val="31CB333D"/>
    <w:rsid w:val="31F36A80"/>
    <w:rsid w:val="32354F6B"/>
    <w:rsid w:val="32406B7F"/>
    <w:rsid w:val="326B1AE0"/>
    <w:rsid w:val="32812E6C"/>
    <w:rsid w:val="32904003"/>
    <w:rsid w:val="32990513"/>
    <w:rsid w:val="32CA3CCA"/>
    <w:rsid w:val="330865C8"/>
    <w:rsid w:val="330B779A"/>
    <w:rsid w:val="33205E2B"/>
    <w:rsid w:val="333C359F"/>
    <w:rsid w:val="335F3C12"/>
    <w:rsid w:val="338F274A"/>
    <w:rsid w:val="339367E0"/>
    <w:rsid w:val="339935C8"/>
    <w:rsid w:val="339F6038"/>
    <w:rsid w:val="33B45F7E"/>
    <w:rsid w:val="33D91F25"/>
    <w:rsid w:val="3402116D"/>
    <w:rsid w:val="34192013"/>
    <w:rsid w:val="343018AE"/>
    <w:rsid w:val="34324DB1"/>
    <w:rsid w:val="343F692D"/>
    <w:rsid w:val="34411D1D"/>
    <w:rsid w:val="344219DC"/>
    <w:rsid w:val="345073E6"/>
    <w:rsid w:val="34866A39"/>
    <w:rsid w:val="348817B1"/>
    <w:rsid w:val="349B3370"/>
    <w:rsid w:val="34DE5317"/>
    <w:rsid w:val="34EE524E"/>
    <w:rsid w:val="34F442A9"/>
    <w:rsid w:val="3507608E"/>
    <w:rsid w:val="3511441F"/>
    <w:rsid w:val="352E5F4D"/>
    <w:rsid w:val="35301D0A"/>
    <w:rsid w:val="3543266F"/>
    <w:rsid w:val="354632DC"/>
    <w:rsid w:val="358805AB"/>
    <w:rsid w:val="359A007B"/>
    <w:rsid w:val="359A34CC"/>
    <w:rsid w:val="35C031DF"/>
    <w:rsid w:val="35C24D96"/>
    <w:rsid w:val="35D703D8"/>
    <w:rsid w:val="35DE3665"/>
    <w:rsid w:val="35DF02EF"/>
    <w:rsid w:val="35EB1B74"/>
    <w:rsid w:val="36071A43"/>
    <w:rsid w:val="360F7B72"/>
    <w:rsid w:val="36346539"/>
    <w:rsid w:val="36656A49"/>
    <w:rsid w:val="366E25F0"/>
    <w:rsid w:val="366E68DA"/>
    <w:rsid w:val="36737EBE"/>
    <w:rsid w:val="36756265"/>
    <w:rsid w:val="368262AA"/>
    <w:rsid w:val="36D049E0"/>
    <w:rsid w:val="36E865A3"/>
    <w:rsid w:val="36F05BAE"/>
    <w:rsid w:val="36F71555"/>
    <w:rsid w:val="36F853A7"/>
    <w:rsid w:val="36FC151F"/>
    <w:rsid w:val="371A5359"/>
    <w:rsid w:val="37496F7A"/>
    <w:rsid w:val="374E39C9"/>
    <w:rsid w:val="376D6F23"/>
    <w:rsid w:val="37935876"/>
    <w:rsid w:val="37A147F9"/>
    <w:rsid w:val="37A814B8"/>
    <w:rsid w:val="37B3452D"/>
    <w:rsid w:val="37C16EFA"/>
    <w:rsid w:val="37E32842"/>
    <w:rsid w:val="37F84C01"/>
    <w:rsid w:val="38037FF5"/>
    <w:rsid w:val="3828112E"/>
    <w:rsid w:val="385851E1"/>
    <w:rsid w:val="387F672B"/>
    <w:rsid w:val="3880534A"/>
    <w:rsid w:val="3894625F"/>
    <w:rsid w:val="38A02C28"/>
    <w:rsid w:val="38A57162"/>
    <w:rsid w:val="38AA60D6"/>
    <w:rsid w:val="38F60882"/>
    <w:rsid w:val="38FC020D"/>
    <w:rsid w:val="39022116"/>
    <w:rsid w:val="39137E32"/>
    <w:rsid w:val="39241B86"/>
    <w:rsid w:val="394250FE"/>
    <w:rsid w:val="39451C2E"/>
    <w:rsid w:val="394E275F"/>
    <w:rsid w:val="39573D9E"/>
    <w:rsid w:val="397865C9"/>
    <w:rsid w:val="39BA18C5"/>
    <w:rsid w:val="39F32D23"/>
    <w:rsid w:val="3A1B3A32"/>
    <w:rsid w:val="3A235A71"/>
    <w:rsid w:val="3A377697"/>
    <w:rsid w:val="3A3D661B"/>
    <w:rsid w:val="3A4614A9"/>
    <w:rsid w:val="3A4B4A64"/>
    <w:rsid w:val="3A602029"/>
    <w:rsid w:val="3A6E018B"/>
    <w:rsid w:val="3A7374AB"/>
    <w:rsid w:val="3AA70B7D"/>
    <w:rsid w:val="3AB358D0"/>
    <w:rsid w:val="3ACC045B"/>
    <w:rsid w:val="3AD71050"/>
    <w:rsid w:val="3AE7433D"/>
    <w:rsid w:val="3AEA41B5"/>
    <w:rsid w:val="3AF743EB"/>
    <w:rsid w:val="3AF92745"/>
    <w:rsid w:val="3B27401A"/>
    <w:rsid w:val="3B351E28"/>
    <w:rsid w:val="3B522666"/>
    <w:rsid w:val="3B605478"/>
    <w:rsid w:val="3B887290"/>
    <w:rsid w:val="3B95318F"/>
    <w:rsid w:val="3BA64AD4"/>
    <w:rsid w:val="3BA96B71"/>
    <w:rsid w:val="3BAF3DF0"/>
    <w:rsid w:val="3BD426C1"/>
    <w:rsid w:val="3BD57296"/>
    <w:rsid w:val="3BE36841"/>
    <w:rsid w:val="3C034C82"/>
    <w:rsid w:val="3C2B179C"/>
    <w:rsid w:val="3C461E13"/>
    <w:rsid w:val="3C516B3D"/>
    <w:rsid w:val="3C522FC2"/>
    <w:rsid w:val="3C546447"/>
    <w:rsid w:val="3C5B6745"/>
    <w:rsid w:val="3C8B38E1"/>
    <w:rsid w:val="3C8E0152"/>
    <w:rsid w:val="3C97441D"/>
    <w:rsid w:val="3C980980"/>
    <w:rsid w:val="3CFD37EC"/>
    <w:rsid w:val="3D6574A6"/>
    <w:rsid w:val="3D700DED"/>
    <w:rsid w:val="3D8C6D07"/>
    <w:rsid w:val="3D9106FF"/>
    <w:rsid w:val="3D9378F2"/>
    <w:rsid w:val="3DA556B2"/>
    <w:rsid w:val="3DB76351"/>
    <w:rsid w:val="3DFA2BBE"/>
    <w:rsid w:val="3E0F7557"/>
    <w:rsid w:val="3E1B0B74"/>
    <w:rsid w:val="3E37533F"/>
    <w:rsid w:val="3E526C9A"/>
    <w:rsid w:val="3E5E705F"/>
    <w:rsid w:val="3E6D222C"/>
    <w:rsid w:val="3E9912FE"/>
    <w:rsid w:val="3EA861DA"/>
    <w:rsid w:val="3EAF165A"/>
    <w:rsid w:val="3EE31B9B"/>
    <w:rsid w:val="3F125FDD"/>
    <w:rsid w:val="3F782C2D"/>
    <w:rsid w:val="3F87539D"/>
    <w:rsid w:val="3F8D5553"/>
    <w:rsid w:val="3F9E7BA5"/>
    <w:rsid w:val="3FF46C1E"/>
    <w:rsid w:val="3FF638FD"/>
    <w:rsid w:val="40154B29"/>
    <w:rsid w:val="40271D55"/>
    <w:rsid w:val="4039566C"/>
    <w:rsid w:val="403F7575"/>
    <w:rsid w:val="40533F5C"/>
    <w:rsid w:val="40775150"/>
    <w:rsid w:val="40803861"/>
    <w:rsid w:val="409316FF"/>
    <w:rsid w:val="409370B0"/>
    <w:rsid w:val="40980F08"/>
    <w:rsid w:val="40A84917"/>
    <w:rsid w:val="40AB0F3D"/>
    <w:rsid w:val="40B14030"/>
    <w:rsid w:val="40B32BB9"/>
    <w:rsid w:val="40C120CD"/>
    <w:rsid w:val="40D54329"/>
    <w:rsid w:val="40E13A86"/>
    <w:rsid w:val="40F869A3"/>
    <w:rsid w:val="40FD6DCE"/>
    <w:rsid w:val="412A0C9C"/>
    <w:rsid w:val="41415E9E"/>
    <w:rsid w:val="414867C0"/>
    <w:rsid w:val="414A2F2A"/>
    <w:rsid w:val="416E4E06"/>
    <w:rsid w:val="417D6E29"/>
    <w:rsid w:val="418238EE"/>
    <w:rsid w:val="418B5764"/>
    <w:rsid w:val="419D77EE"/>
    <w:rsid w:val="41A75842"/>
    <w:rsid w:val="41C37A62"/>
    <w:rsid w:val="41C62F9F"/>
    <w:rsid w:val="41CF2CDA"/>
    <w:rsid w:val="41DA2351"/>
    <w:rsid w:val="420267DC"/>
    <w:rsid w:val="42092064"/>
    <w:rsid w:val="42552336"/>
    <w:rsid w:val="425E290D"/>
    <w:rsid w:val="427A6373"/>
    <w:rsid w:val="427E4891"/>
    <w:rsid w:val="427F1A20"/>
    <w:rsid w:val="42814AA1"/>
    <w:rsid w:val="429F2D3C"/>
    <w:rsid w:val="42B559FF"/>
    <w:rsid w:val="42C83C9E"/>
    <w:rsid w:val="42CA46A0"/>
    <w:rsid w:val="43090C3D"/>
    <w:rsid w:val="4310261D"/>
    <w:rsid w:val="43316941"/>
    <w:rsid w:val="43392C9A"/>
    <w:rsid w:val="434652EE"/>
    <w:rsid w:val="43537423"/>
    <w:rsid w:val="436F0D42"/>
    <w:rsid w:val="4374370A"/>
    <w:rsid w:val="438C7FE1"/>
    <w:rsid w:val="43B1111A"/>
    <w:rsid w:val="43D745D9"/>
    <w:rsid w:val="43DE6767"/>
    <w:rsid w:val="43E42FB9"/>
    <w:rsid w:val="43E560F1"/>
    <w:rsid w:val="44060F86"/>
    <w:rsid w:val="4406131F"/>
    <w:rsid w:val="44256EDB"/>
    <w:rsid w:val="44360F15"/>
    <w:rsid w:val="44395B7B"/>
    <w:rsid w:val="44497B98"/>
    <w:rsid w:val="445157F9"/>
    <w:rsid w:val="44564BBE"/>
    <w:rsid w:val="44651EC3"/>
    <w:rsid w:val="449175A0"/>
    <w:rsid w:val="449D39F5"/>
    <w:rsid w:val="44A377A9"/>
    <w:rsid w:val="44A55215"/>
    <w:rsid w:val="44C53AE2"/>
    <w:rsid w:val="44D51F86"/>
    <w:rsid w:val="45004161"/>
    <w:rsid w:val="450A37AA"/>
    <w:rsid w:val="452138FB"/>
    <w:rsid w:val="454F3145"/>
    <w:rsid w:val="45546485"/>
    <w:rsid w:val="45570552"/>
    <w:rsid w:val="4562042C"/>
    <w:rsid w:val="45631DE6"/>
    <w:rsid w:val="456F5A46"/>
    <w:rsid w:val="45852C0D"/>
    <w:rsid w:val="459D3528"/>
    <w:rsid w:val="45A523A1"/>
    <w:rsid w:val="45DD7B84"/>
    <w:rsid w:val="45E40FD1"/>
    <w:rsid w:val="460951E5"/>
    <w:rsid w:val="462078FF"/>
    <w:rsid w:val="46367BC0"/>
    <w:rsid w:val="46695D9C"/>
    <w:rsid w:val="46941ED9"/>
    <w:rsid w:val="46962EBD"/>
    <w:rsid w:val="46C235B1"/>
    <w:rsid w:val="46C77B24"/>
    <w:rsid w:val="46D01E3A"/>
    <w:rsid w:val="46F76979"/>
    <w:rsid w:val="46F81F5C"/>
    <w:rsid w:val="47046B43"/>
    <w:rsid w:val="47095999"/>
    <w:rsid w:val="47236543"/>
    <w:rsid w:val="47257848"/>
    <w:rsid w:val="473B3050"/>
    <w:rsid w:val="474E4E09"/>
    <w:rsid w:val="474F288B"/>
    <w:rsid w:val="47737835"/>
    <w:rsid w:val="478234F8"/>
    <w:rsid w:val="47831DE0"/>
    <w:rsid w:val="478B71FD"/>
    <w:rsid w:val="47AD0F98"/>
    <w:rsid w:val="47B93A3E"/>
    <w:rsid w:val="47E54403"/>
    <w:rsid w:val="47E82E09"/>
    <w:rsid w:val="47F06A54"/>
    <w:rsid w:val="47F77BA0"/>
    <w:rsid w:val="47F941DE"/>
    <w:rsid w:val="48182B77"/>
    <w:rsid w:val="48520700"/>
    <w:rsid w:val="486024AF"/>
    <w:rsid w:val="48637FD6"/>
    <w:rsid w:val="486E0728"/>
    <w:rsid w:val="488E0DCA"/>
    <w:rsid w:val="48A36EB3"/>
    <w:rsid w:val="48A8119E"/>
    <w:rsid w:val="48BD0863"/>
    <w:rsid w:val="48C77FB2"/>
    <w:rsid w:val="48DE6819"/>
    <w:rsid w:val="48EB00AD"/>
    <w:rsid w:val="48F30C2D"/>
    <w:rsid w:val="49061A89"/>
    <w:rsid w:val="490F4DEA"/>
    <w:rsid w:val="49316623"/>
    <w:rsid w:val="493B5C19"/>
    <w:rsid w:val="493E070A"/>
    <w:rsid w:val="494C4797"/>
    <w:rsid w:val="49836455"/>
    <w:rsid w:val="49AF33A2"/>
    <w:rsid w:val="49B05850"/>
    <w:rsid w:val="49B27E76"/>
    <w:rsid w:val="49BB319A"/>
    <w:rsid w:val="49C35B92"/>
    <w:rsid w:val="49C37D91"/>
    <w:rsid w:val="49CD147E"/>
    <w:rsid w:val="49E85F88"/>
    <w:rsid w:val="4A224A86"/>
    <w:rsid w:val="4A2C5E11"/>
    <w:rsid w:val="4A305416"/>
    <w:rsid w:val="4A35282B"/>
    <w:rsid w:val="4A3835D3"/>
    <w:rsid w:val="4A404346"/>
    <w:rsid w:val="4A5561C0"/>
    <w:rsid w:val="4A913C61"/>
    <w:rsid w:val="4A942144"/>
    <w:rsid w:val="4AA41745"/>
    <w:rsid w:val="4ABA06A9"/>
    <w:rsid w:val="4ACA61F8"/>
    <w:rsid w:val="4AE14CE5"/>
    <w:rsid w:val="4AF46CEF"/>
    <w:rsid w:val="4AF56185"/>
    <w:rsid w:val="4B182C41"/>
    <w:rsid w:val="4B1E1EF3"/>
    <w:rsid w:val="4B2A78D3"/>
    <w:rsid w:val="4B7C61E8"/>
    <w:rsid w:val="4B831C8E"/>
    <w:rsid w:val="4BC53274"/>
    <w:rsid w:val="4BC75484"/>
    <w:rsid w:val="4BCF5BB7"/>
    <w:rsid w:val="4BD60E0F"/>
    <w:rsid w:val="4BDE7186"/>
    <w:rsid w:val="4BF214F2"/>
    <w:rsid w:val="4BFE1C3A"/>
    <w:rsid w:val="4BFF0BF2"/>
    <w:rsid w:val="4C067046"/>
    <w:rsid w:val="4C0D1AB5"/>
    <w:rsid w:val="4C167EC0"/>
    <w:rsid w:val="4C2A705C"/>
    <w:rsid w:val="4C5835B8"/>
    <w:rsid w:val="4C5C7A55"/>
    <w:rsid w:val="4C6431C2"/>
    <w:rsid w:val="4C8425E4"/>
    <w:rsid w:val="4C843198"/>
    <w:rsid w:val="4C84765C"/>
    <w:rsid w:val="4C8D5335"/>
    <w:rsid w:val="4C982217"/>
    <w:rsid w:val="4CBD7ED0"/>
    <w:rsid w:val="4CE9093D"/>
    <w:rsid w:val="4CEB6A0D"/>
    <w:rsid w:val="4CF5694E"/>
    <w:rsid w:val="4CF77C53"/>
    <w:rsid w:val="4D3A42FD"/>
    <w:rsid w:val="4D565C2E"/>
    <w:rsid w:val="4D8B1037"/>
    <w:rsid w:val="4D8B5F48"/>
    <w:rsid w:val="4D933355"/>
    <w:rsid w:val="4DB04E83"/>
    <w:rsid w:val="4DB561FB"/>
    <w:rsid w:val="4DD4222A"/>
    <w:rsid w:val="4DE72BC1"/>
    <w:rsid w:val="4DEE2DFF"/>
    <w:rsid w:val="4E1F10C9"/>
    <w:rsid w:val="4E3166D6"/>
    <w:rsid w:val="4E607225"/>
    <w:rsid w:val="4EA17C8F"/>
    <w:rsid w:val="4EA86291"/>
    <w:rsid w:val="4EAA105B"/>
    <w:rsid w:val="4ECB4B86"/>
    <w:rsid w:val="4ED5067D"/>
    <w:rsid w:val="4ED86247"/>
    <w:rsid w:val="4EE80403"/>
    <w:rsid w:val="4EEC05F8"/>
    <w:rsid w:val="4F1869D4"/>
    <w:rsid w:val="4F1D3C8E"/>
    <w:rsid w:val="4F1E3C95"/>
    <w:rsid w:val="4F2C22E7"/>
    <w:rsid w:val="4F3D0FA0"/>
    <w:rsid w:val="4F551BB1"/>
    <w:rsid w:val="4F560A37"/>
    <w:rsid w:val="4F631692"/>
    <w:rsid w:val="4F692025"/>
    <w:rsid w:val="4F7725B8"/>
    <w:rsid w:val="4F890F7F"/>
    <w:rsid w:val="4FA63CB9"/>
    <w:rsid w:val="4FAA5F43"/>
    <w:rsid w:val="4FB541B4"/>
    <w:rsid w:val="4FD028FF"/>
    <w:rsid w:val="4FD64808"/>
    <w:rsid w:val="4FE20690"/>
    <w:rsid w:val="4FE33A0C"/>
    <w:rsid w:val="50011E81"/>
    <w:rsid w:val="501D29FE"/>
    <w:rsid w:val="5047158B"/>
    <w:rsid w:val="504D1B60"/>
    <w:rsid w:val="50583ADD"/>
    <w:rsid w:val="507801E4"/>
    <w:rsid w:val="50863F0E"/>
    <w:rsid w:val="509C58BA"/>
    <w:rsid w:val="509F74AB"/>
    <w:rsid w:val="50B341F7"/>
    <w:rsid w:val="50EC0C1D"/>
    <w:rsid w:val="50F619D7"/>
    <w:rsid w:val="50FB36C9"/>
    <w:rsid w:val="512B7338"/>
    <w:rsid w:val="51311242"/>
    <w:rsid w:val="51575BFE"/>
    <w:rsid w:val="519A5987"/>
    <w:rsid w:val="519B6B0A"/>
    <w:rsid w:val="51C365B2"/>
    <w:rsid w:val="51D15C06"/>
    <w:rsid w:val="51E7154B"/>
    <w:rsid w:val="51E754ED"/>
    <w:rsid w:val="51ED2C7A"/>
    <w:rsid w:val="51FF6B72"/>
    <w:rsid w:val="520A30CD"/>
    <w:rsid w:val="5217023B"/>
    <w:rsid w:val="524D2FE5"/>
    <w:rsid w:val="526B51B3"/>
    <w:rsid w:val="527346F9"/>
    <w:rsid w:val="52AA302D"/>
    <w:rsid w:val="52F70339"/>
    <w:rsid w:val="530C2CF4"/>
    <w:rsid w:val="530D1C98"/>
    <w:rsid w:val="533802B0"/>
    <w:rsid w:val="535F39CE"/>
    <w:rsid w:val="53844015"/>
    <w:rsid w:val="53961129"/>
    <w:rsid w:val="53A21BCD"/>
    <w:rsid w:val="53B547E4"/>
    <w:rsid w:val="53C54A7E"/>
    <w:rsid w:val="53E00F74"/>
    <w:rsid w:val="53ED77E6"/>
    <w:rsid w:val="53F427B9"/>
    <w:rsid w:val="542F397D"/>
    <w:rsid w:val="545A2356"/>
    <w:rsid w:val="54992FD0"/>
    <w:rsid w:val="54DC5F38"/>
    <w:rsid w:val="54DF2FCC"/>
    <w:rsid w:val="55012924"/>
    <w:rsid w:val="550F7A5B"/>
    <w:rsid w:val="5510701F"/>
    <w:rsid w:val="551B75AE"/>
    <w:rsid w:val="555111B5"/>
    <w:rsid w:val="55594E94"/>
    <w:rsid w:val="55621614"/>
    <w:rsid w:val="558A1367"/>
    <w:rsid w:val="55933D75"/>
    <w:rsid w:val="5599291F"/>
    <w:rsid w:val="55996042"/>
    <w:rsid w:val="55A07807"/>
    <w:rsid w:val="55B36EFC"/>
    <w:rsid w:val="55BF7DAB"/>
    <w:rsid w:val="55C022BA"/>
    <w:rsid w:val="55D7234B"/>
    <w:rsid w:val="563C3EC0"/>
    <w:rsid w:val="56474B1D"/>
    <w:rsid w:val="56497633"/>
    <w:rsid w:val="564C3605"/>
    <w:rsid w:val="56520719"/>
    <w:rsid w:val="56531C0A"/>
    <w:rsid w:val="56A62938"/>
    <w:rsid w:val="56B75990"/>
    <w:rsid w:val="56BD475C"/>
    <w:rsid w:val="56C169E5"/>
    <w:rsid w:val="56CB6225"/>
    <w:rsid w:val="56E37E35"/>
    <w:rsid w:val="56FA7E8B"/>
    <w:rsid w:val="571A31DA"/>
    <w:rsid w:val="571F34FB"/>
    <w:rsid w:val="57283E0B"/>
    <w:rsid w:val="572E3DFB"/>
    <w:rsid w:val="573351B0"/>
    <w:rsid w:val="57390C18"/>
    <w:rsid w:val="574014E1"/>
    <w:rsid w:val="57571CBA"/>
    <w:rsid w:val="57D07475"/>
    <w:rsid w:val="57D455E1"/>
    <w:rsid w:val="57E00F16"/>
    <w:rsid w:val="58040E81"/>
    <w:rsid w:val="5814296E"/>
    <w:rsid w:val="58346713"/>
    <w:rsid w:val="5842572D"/>
    <w:rsid w:val="584274DB"/>
    <w:rsid w:val="584C7F32"/>
    <w:rsid w:val="585D2CCE"/>
    <w:rsid w:val="585D4208"/>
    <w:rsid w:val="58840844"/>
    <w:rsid w:val="588C5D58"/>
    <w:rsid w:val="58CC3F96"/>
    <w:rsid w:val="58E70023"/>
    <w:rsid w:val="58EE5CF5"/>
    <w:rsid w:val="59204DD3"/>
    <w:rsid w:val="592F4560"/>
    <w:rsid w:val="593037D7"/>
    <w:rsid w:val="59417CFE"/>
    <w:rsid w:val="5943350B"/>
    <w:rsid w:val="5958194C"/>
    <w:rsid w:val="59587923"/>
    <w:rsid w:val="59591495"/>
    <w:rsid w:val="595E728C"/>
    <w:rsid w:val="59775899"/>
    <w:rsid w:val="59843C6A"/>
    <w:rsid w:val="59CE62B6"/>
    <w:rsid w:val="59F27B21"/>
    <w:rsid w:val="5A18539D"/>
    <w:rsid w:val="5A186086"/>
    <w:rsid w:val="5A1A647C"/>
    <w:rsid w:val="5A2C6645"/>
    <w:rsid w:val="5A354648"/>
    <w:rsid w:val="5A394AAB"/>
    <w:rsid w:val="5A6310DA"/>
    <w:rsid w:val="5A6D2048"/>
    <w:rsid w:val="5A6E4EEC"/>
    <w:rsid w:val="5A8B6673"/>
    <w:rsid w:val="5A93545B"/>
    <w:rsid w:val="5A9A023F"/>
    <w:rsid w:val="5AC00946"/>
    <w:rsid w:val="5ACE6A69"/>
    <w:rsid w:val="5AE45748"/>
    <w:rsid w:val="5AFC0F7F"/>
    <w:rsid w:val="5B047E67"/>
    <w:rsid w:val="5B5B3870"/>
    <w:rsid w:val="5B607CF8"/>
    <w:rsid w:val="5B730F17"/>
    <w:rsid w:val="5B884084"/>
    <w:rsid w:val="5B887BB7"/>
    <w:rsid w:val="5B8A042A"/>
    <w:rsid w:val="5B900847"/>
    <w:rsid w:val="5B973484"/>
    <w:rsid w:val="5BA3429A"/>
    <w:rsid w:val="5BB10BFF"/>
    <w:rsid w:val="5BDC50C3"/>
    <w:rsid w:val="5BE34A4E"/>
    <w:rsid w:val="5BEE27B5"/>
    <w:rsid w:val="5C0E1115"/>
    <w:rsid w:val="5C3B0F83"/>
    <w:rsid w:val="5C537F09"/>
    <w:rsid w:val="5C5E2199"/>
    <w:rsid w:val="5C677226"/>
    <w:rsid w:val="5C745223"/>
    <w:rsid w:val="5C8835A3"/>
    <w:rsid w:val="5C8A5083"/>
    <w:rsid w:val="5C997ECC"/>
    <w:rsid w:val="5CAF2C65"/>
    <w:rsid w:val="5CB83619"/>
    <w:rsid w:val="5CEE6D21"/>
    <w:rsid w:val="5CF35248"/>
    <w:rsid w:val="5CFB4EAD"/>
    <w:rsid w:val="5D1D62C3"/>
    <w:rsid w:val="5D2E7C24"/>
    <w:rsid w:val="5D413CF7"/>
    <w:rsid w:val="5D49561A"/>
    <w:rsid w:val="5D8530C7"/>
    <w:rsid w:val="5D9E2C70"/>
    <w:rsid w:val="5DB858CE"/>
    <w:rsid w:val="5DCF0D76"/>
    <w:rsid w:val="5DDA6435"/>
    <w:rsid w:val="5DDD390F"/>
    <w:rsid w:val="5DE25438"/>
    <w:rsid w:val="5DE51EC6"/>
    <w:rsid w:val="5DEA454E"/>
    <w:rsid w:val="5DF66D9E"/>
    <w:rsid w:val="5DFD1BC3"/>
    <w:rsid w:val="5E072571"/>
    <w:rsid w:val="5E075446"/>
    <w:rsid w:val="5E155522"/>
    <w:rsid w:val="5E3929A4"/>
    <w:rsid w:val="5E415870"/>
    <w:rsid w:val="5E4B3F43"/>
    <w:rsid w:val="5E5E18DF"/>
    <w:rsid w:val="5E6B3CD4"/>
    <w:rsid w:val="5E72551F"/>
    <w:rsid w:val="5E810B9A"/>
    <w:rsid w:val="5E8F45A3"/>
    <w:rsid w:val="5EA23196"/>
    <w:rsid w:val="5EBB7FE7"/>
    <w:rsid w:val="5EC138C5"/>
    <w:rsid w:val="5ED4120C"/>
    <w:rsid w:val="5F044B81"/>
    <w:rsid w:val="5F47185C"/>
    <w:rsid w:val="5F545A7C"/>
    <w:rsid w:val="5F7C5664"/>
    <w:rsid w:val="5F7F34EB"/>
    <w:rsid w:val="5FE252DE"/>
    <w:rsid w:val="5FF22ABD"/>
    <w:rsid w:val="602C4CF9"/>
    <w:rsid w:val="603154C1"/>
    <w:rsid w:val="60432042"/>
    <w:rsid w:val="605D3C0F"/>
    <w:rsid w:val="606E70C0"/>
    <w:rsid w:val="607C0FE5"/>
    <w:rsid w:val="60852569"/>
    <w:rsid w:val="609561DC"/>
    <w:rsid w:val="60AA3E6F"/>
    <w:rsid w:val="60DC6F0C"/>
    <w:rsid w:val="60E320D0"/>
    <w:rsid w:val="60F715A3"/>
    <w:rsid w:val="610C0686"/>
    <w:rsid w:val="610E4B69"/>
    <w:rsid w:val="61335628"/>
    <w:rsid w:val="61484B8A"/>
    <w:rsid w:val="61495B2A"/>
    <w:rsid w:val="614F1C31"/>
    <w:rsid w:val="619F2CB5"/>
    <w:rsid w:val="61A56906"/>
    <w:rsid w:val="61B81661"/>
    <w:rsid w:val="61CF0A40"/>
    <w:rsid w:val="61F01D9D"/>
    <w:rsid w:val="61FB33CF"/>
    <w:rsid w:val="622003DE"/>
    <w:rsid w:val="6220088D"/>
    <w:rsid w:val="62316C8B"/>
    <w:rsid w:val="6237500A"/>
    <w:rsid w:val="62642A4C"/>
    <w:rsid w:val="62680DB7"/>
    <w:rsid w:val="626D784A"/>
    <w:rsid w:val="62704140"/>
    <w:rsid w:val="627A35A1"/>
    <w:rsid w:val="62907837"/>
    <w:rsid w:val="62996751"/>
    <w:rsid w:val="630A358C"/>
    <w:rsid w:val="63822E9C"/>
    <w:rsid w:val="64212885"/>
    <w:rsid w:val="642301C1"/>
    <w:rsid w:val="643364F2"/>
    <w:rsid w:val="64480350"/>
    <w:rsid w:val="64564CFA"/>
    <w:rsid w:val="645B63B1"/>
    <w:rsid w:val="646F08D5"/>
    <w:rsid w:val="647924D6"/>
    <w:rsid w:val="64923598"/>
    <w:rsid w:val="64942E6C"/>
    <w:rsid w:val="64A66831"/>
    <w:rsid w:val="64A71234"/>
    <w:rsid w:val="64AC4EB7"/>
    <w:rsid w:val="64CB61F8"/>
    <w:rsid w:val="64F64031"/>
    <w:rsid w:val="651061B6"/>
    <w:rsid w:val="651D4188"/>
    <w:rsid w:val="655D6EB5"/>
    <w:rsid w:val="6560355A"/>
    <w:rsid w:val="656256ED"/>
    <w:rsid w:val="6598361E"/>
    <w:rsid w:val="659D27E5"/>
    <w:rsid w:val="65A044CA"/>
    <w:rsid w:val="65A83DAC"/>
    <w:rsid w:val="65AD6914"/>
    <w:rsid w:val="65E329B5"/>
    <w:rsid w:val="65FC2771"/>
    <w:rsid w:val="66012783"/>
    <w:rsid w:val="6603361E"/>
    <w:rsid w:val="66127C81"/>
    <w:rsid w:val="66344D3E"/>
    <w:rsid w:val="6635553A"/>
    <w:rsid w:val="665C267F"/>
    <w:rsid w:val="66624588"/>
    <w:rsid w:val="66745FFD"/>
    <w:rsid w:val="66A01E6F"/>
    <w:rsid w:val="66A22C57"/>
    <w:rsid w:val="66C83F2C"/>
    <w:rsid w:val="66EC2F44"/>
    <w:rsid w:val="6701538B"/>
    <w:rsid w:val="670D6F06"/>
    <w:rsid w:val="67110EA9"/>
    <w:rsid w:val="671D2317"/>
    <w:rsid w:val="6730455B"/>
    <w:rsid w:val="67387A63"/>
    <w:rsid w:val="676818B7"/>
    <w:rsid w:val="678F02D7"/>
    <w:rsid w:val="67B36C0C"/>
    <w:rsid w:val="67BB7C19"/>
    <w:rsid w:val="67C63C85"/>
    <w:rsid w:val="67D15A64"/>
    <w:rsid w:val="67F01298"/>
    <w:rsid w:val="67FB08EB"/>
    <w:rsid w:val="67FB3025"/>
    <w:rsid w:val="67FC3E1A"/>
    <w:rsid w:val="68017E89"/>
    <w:rsid w:val="68112FCA"/>
    <w:rsid w:val="68195E58"/>
    <w:rsid w:val="683E3E9A"/>
    <w:rsid w:val="686A7F84"/>
    <w:rsid w:val="687B1001"/>
    <w:rsid w:val="68907DEF"/>
    <w:rsid w:val="68DA0494"/>
    <w:rsid w:val="68E258A1"/>
    <w:rsid w:val="68E542A7"/>
    <w:rsid w:val="68FA376A"/>
    <w:rsid w:val="6925180D"/>
    <w:rsid w:val="692C1515"/>
    <w:rsid w:val="692C4A1B"/>
    <w:rsid w:val="69367529"/>
    <w:rsid w:val="693D6EB4"/>
    <w:rsid w:val="696164DE"/>
    <w:rsid w:val="69811A86"/>
    <w:rsid w:val="6983762F"/>
    <w:rsid w:val="69A955F8"/>
    <w:rsid w:val="69B248AE"/>
    <w:rsid w:val="69B61E25"/>
    <w:rsid w:val="69BB191B"/>
    <w:rsid w:val="69DF7D42"/>
    <w:rsid w:val="69E441CA"/>
    <w:rsid w:val="6A19339F"/>
    <w:rsid w:val="6A1A0E21"/>
    <w:rsid w:val="6A1C0805"/>
    <w:rsid w:val="6A2677F7"/>
    <w:rsid w:val="6A5209DF"/>
    <w:rsid w:val="6A68311E"/>
    <w:rsid w:val="6A6F0AC9"/>
    <w:rsid w:val="6A703DAE"/>
    <w:rsid w:val="6A7D6CAF"/>
    <w:rsid w:val="6A8739D3"/>
    <w:rsid w:val="6A9042E2"/>
    <w:rsid w:val="6A973C6D"/>
    <w:rsid w:val="6AC10822"/>
    <w:rsid w:val="6AFA3FDD"/>
    <w:rsid w:val="6B1846A8"/>
    <w:rsid w:val="6B1C3093"/>
    <w:rsid w:val="6B3320C3"/>
    <w:rsid w:val="6B344DF0"/>
    <w:rsid w:val="6B3967AC"/>
    <w:rsid w:val="6B3A3476"/>
    <w:rsid w:val="6B4F341C"/>
    <w:rsid w:val="6B6D0974"/>
    <w:rsid w:val="6B726E54"/>
    <w:rsid w:val="6B8204BE"/>
    <w:rsid w:val="6B924428"/>
    <w:rsid w:val="6BA72B78"/>
    <w:rsid w:val="6BBA67F4"/>
    <w:rsid w:val="6BD63A05"/>
    <w:rsid w:val="6BDA0E02"/>
    <w:rsid w:val="6BDB0A81"/>
    <w:rsid w:val="6BEA091C"/>
    <w:rsid w:val="6C134FBF"/>
    <w:rsid w:val="6C1B622C"/>
    <w:rsid w:val="6C2446F9"/>
    <w:rsid w:val="6C316D02"/>
    <w:rsid w:val="6C321490"/>
    <w:rsid w:val="6C321699"/>
    <w:rsid w:val="6C336F12"/>
    <w:rsid w:val="6C3B4144"/>
    <w:rsid w:val="6C670C97"/>
    <w:rsid w:val="6C693B68"/>
    <w:rsid w:val="6C796D9F"/>
    <w:rsid w:val="6C856BF4"/>
    <w:rsid w:val="6C8A7920"/>
    <w:rsid w:val="6C953733"/>
    <w:rsid w:val="6CA639CD"/>
    <w:rsid w:val="6CAF42DD"/>
    <w:rsid w:val="6CB56076"/>
    <w:rsid w:val="6CB807AD"/>
    <w:rsid w:val="6CCB618B"/>
    <w:rsid w:val="6CE15E47"/>
    <w:rsid w:val="6CE547B7"/>
    <w:rsid w:val="6D056989"/>
    <w:rsid w:val="6D205895"/>
    <w:rsid w:val="6D216B9A"/>
    <w:rsid w:val="6D257ED9"/>
    <w:rsid w:val="6D4312CD"/>
    <w:rsid w:val="6D5B21F7"/>
    <w:rsid w:val="6D7C5FAF"/>
    <w:rsid w:val="6D85303B"/>
    <w:rsid w:val="6DA5433C"/>
    <w:rsid w:val="6DAB327B"/>
    <w:rsid w:val="6DD2313B"/>
    <w:rsid w:val="6DFA0C7A"/>
    <w:rsid w:val="6DFA2445"/>
    <w:rsid w:val="6DFC1022"/>
    <w:rsid w:val="6E18621E"/>
    <w:rsid w:val="6E1A7569"/>
    <w:rsid w:val="6E2B704C"/>
    <w:rsid w:val="6E7946DB"/>
    <w:rsid w:val="6E7E6481"/>
    <w:rsid w:val="6E803BE8"/>
    <w:rsid w:val="6E8A28E9"/>
    <w:rsid w:val="6EA41295"/>
    <w:rsid w:val="6EA43493"/>
    <w:rsid w:val="6EB84E89"/>
    <w:rsid w:val="6F101C89"/>
    <w:rsid w:val="6F141779"/>
    <w:rsid w:val="6F2A51A0"/>
    <w:rsid w:val="6F3B4F58"/>
    <w:rsid w:val="6F5558EE"/>
    <w:rsid w:val="6F615376"/>
    <w:rsid w:val="6F786CEE"/>
    <w:rsid w:val="6F834BB1"/>
    <w:rsid w:val="6F8C3791"/>
    <w:rsid w:val="6F993A2D"/>
    <w:rsid w:val="6FE55C0C"/>
    <w:rsid w:val="700167C8"/>
    <w:rsid w:val="700751E2"/>
    <w:rsid w:val="7012146B"/>
    <w:rsid w:val="704B4AC8"/>
    <w:rsid w:val="70613C5D"/>
    <w:rsid w:val="7063074E"/>
    <w:rsid w:val="70666977"/>
    <w:rsid w:val="70792114"/>
    <w:rsid w:val="7086142A"/>
    <w:rsid w:val="708D6817"/>
    <w:rsid w:val="70A17A56"/>
    <w:rsid w:val="70CE7706"/>
    <w:rsid w:val="70E33D42"/>
    <w:rsid w:val="71041CF8"/>
    <w:rsid w:val="711A294B"/>
    <w:rsid w:val="71211CA2"/>
    <w:rsid w:val="71270FB3"/>
    <w:rsid w:val="712D47EA"/>
    <w:rsid w:val="71351C2D"/>
    <w:rsid w:val="715531B0"/>
    <w:rsid w:val="71823031"/>
    <w:rsid w:val="7185134D"/>
    <w:rsid w:val="718C304E"/>
    <w:rsid w:val="718F49FD"/>
    <w:rsid w:val="71AB378B"/>
    <w:rsid w:val="71B316DD"/>
    <w:rsid w:val="71CB25AA"/>
    <w:rsid w:val="71D83356"/>
    <w:rsid w:val="71F35EB5"/>
    <w:rsid w:val="71F92EA9"/>
    <w:rsid w:val="720C4C93"/>
    <w:rsid w:val="72113D47"/>
    <w:rsid w:val="72131EB6"/>
    <w:rsid w:val="72216C4D"/>
    <w:rsid w:val="72361171"/>
    <w:rsid w:val="72495B34"/>
    <w:rsid w:val="725331AC"/>
    <w:rsid w:val="72712474"/>
    <w:rsid w:val="72766AE8"/>
    <w:rsid w:val="727950DD"/>
    <w:rsid w:val="72912784"/>
    <w:rsid w:val="72AC0DAF"/>
    <w:rsid w:val="72BD6ACB"/>
    <w:rsid w:val="72C154D1"/>
    <w:rsid w:val="72C33CEF"/>
    <w:rsid w:val="72DC3AFD"/>
    <w:rsid w:val="72E70F53"/>
    <w:rsid w:val="730C2768"/>
    <w:rsid w:val="730D7B4F"/>
    <w:rsid w:val="730F0E54"/>
    <w:rsid w:val="732706F9"/>
    <w:rsid w:val="732A14E7"/>
    <w:rsid w:val="73454032"/>
    <w:rsid w:val="7346211D"/>
    <w:rsid w:val="735B0B61"/>
    <w:rsid w:val="73707BF4"/>
    <w:rsid w:val="73941263"/>
    <w:rsid w:val="73D03795"/>
    <w:rsid w:val="73D36613"/>
    <w:rsid w:val="747B5DF7"/>
    <w:rsid w:val="74864D7B"/>
    <w:rsid w:val="74974023"/>
    <w:rsid w:val="74A05D67"/>
    <w:rsid w:val="74C47221"/>
    <w:rsid w:val="74EF5AE6"/>
    <w:rsid w:val="74F769B5"/>
    <w:rsid w:val="75045DEC"/>
    <w:rsid w:val="751956F6"/>
    <w:rsid w:val="755B649A"/>
    <w:rsid w:val="755E6196"/>
    <w:rsid w:val="75787FC9"/>
    <w:rsid w:val="758827E2"/>
    <w:rsid w:val="75943A9C"/>
    <w:rsid w:val="75A51ECF"/>
    <w:rsid w:val="75A90798"/>
    <w:rsid w:val="75B545AA"/>
    <w:rsid w:val="75C73909"/>
    <w:rsid w:val="75D97FCA"/>
    <w:rsid w:val="75EB18CD"/>
    <w:rsid w:val="75EB6C83"/>
    <w:rsid w:val="763C747E"/>
    <w:rsid w:val="76524935"/>
    <w:rsid w:val="765C1C80"/>
    <w:rsid w:val="76665F34"/>
    <w:rsid w:val="7685754C"/>
    <w:rsid w:val="76A15F21"/>
    <w:rsid w:val="76A46917"/>
    <w:rsid w:val="76C96D94"/>
    <w:rsid w:val="76D12653"/>
    <w:rsid w:val="76E840FC"/>
    <w:rsid w:val="76EB32F5"/>
    <w:rsid w:val="76EF03D6"/>
    <w:rsid w:val="771459A6"/>
    <w:rsid w:val="771769F1"/>
    <w:rsid w:val="772A2051"/>
    <w:rsid w:val="773E0AC2"/>
    <w:rsid w:val="77607E69"/>
    <w:rsid w:val="77715B85"/>
    <w:rsid w:val="77767741"/>
    <w:rsid w:val="777D3B96"/>
    <w:rsid w:val="77A41857"/>
    <w:rsid w:val="77B5517C"/>
    <w:rsid w:val="77C96214"/>
    <w:rsid w:val="77DA2E34"/>
    <w:rsid w:val="77DF1E38"/>
    <w:rsid w:val="77DF61B9"/>
    <w:rsid w:val="77E912C9"/>
    <w:rsid w:val="781A75D7"/>
    <w:rsid w:val="781E72DE"/>
    <w:rsid w:val="783F076E"/>
    <w:rsid w:val="785E6707"/>
    <w:rsid w:val="786A5D9D"/>
    <w:rsid w:val="78746F41"/>
    <w:rsid w:val="789631FF"/>
    <w:rsid w:val="789B4F81"/>
    <w:rsid w:val="789D2ED2"/>
    <w:rsid w:val="78D53773"/>
    <w:rsid w:val="78E20029"/>
    <w:rsid w:val="78E950F0"/>
    <w:rsid w:val="78EF46BD"/>
    <w:rsid w:val="78FD502C"/>
    <w:rsid w:val="791A372E"/>
    <w:rsid w:val="791B013F"/>
    <w:rsid w:val="791D69FF"/>
    <w:rsid w:val="792E135E"/>
    <w:rsid w:val="79381B96"/>
    <w:rsid w:val="794B7CCC"/>
    <w:rsid w:val="79612E69"/>
    <w:rsid w:val="797C365C"/>
    <w:rsid w:val="798F00FE"/>
    <w:rsid w:val="79AD1484"/>
    <w:rsid w:val="79C5464A"/>
    <w:rsid w:val="79DB6E10"/>
    <w:rsid w:val="79DC2E94"/>
    <w:rsid w:val="79DF58FF"/>
    <w:rsid w:val="79EF399B"/>
    <w:rsid w:val="79FB5AE0"/>
    <w:rsid w:val="7A092E01"/>
    <w:rsid w:val="7A1109A0"/>
    <w:rsid w:val="7A1545F8"/>
    <w:rsid w:val="7A195E96"/>
    <w:rsid w:val="7A3800E6"/>
    <w:rsid w:val="7A517873"/>
    <w:rsid w:val="7A526F79"/>
    <w:rsid w:val="7A567350"/>
    <w:rsid w:val="7A765096"/>
    <w:rsid w:val="7A905722"/>
    <w:rsid w:val="7A9E4A38"/>
    <w:rsid w:val="7AAE27F4"/>
    <w:rsid w:val="7AB655D0"/>
    <w:rsid w:val="7ABD0F17"/>
    <w:rsid w:val="7AC00390"/>
    <w:rsid w:val="7ACD1D04"/>
    <w:rsid w:val="7AD75E97"/>
    <w:rsid w:val="7ADB231E"/>
    <w:rsid w:val="7AF379C5"/>
    <w:rsid w:val="7AF71029"/>
    <w:rsid w:val="7B0F1874"/>
    <w:rsid w:val="7B13027A"/>
    <w:rsid w:val="7B186900"/>
    <w:rsid w:val="7B207590"/>
    <w:rsid w:val="7B256ABC"/>
    <w:rsid w:val="7B273A10"/>
    <w:rsid w:val="7B2B5921"/>
    <w:rsid w:val="7B2C39A7"/>
    <w:rsid w:val="7B4F4CA9"/>
    <w:rsid w:val="7B5D73F5"/>
    <w:rsid w:val="7B615DFB"/>
    <w:rsid w:val="7B66335D"/>
    <w:rsid w:val="7B723B17"/>
    <w:rsid w:val="7B821819"/>
    <w:rsid w:val="7B883294"/>
    <w:rsid w:val="7B9E692F"/>
    <w:rsid w:val="7BA97F26"/>
    <w:rsid w:val="7BC02341"/>
    <w:rsid w:val="7BDC1EC1"/>
    <w:rsid w:val="7BDD144D"/>
    <w:rsid w:val="7BE86FD9"/>
    <w:rsid w:val="7BEB7F5D"/>
    <w:rsid w:val="7BEC6B42"/>
    <w:rsid w:val="7C312C50"/>
    <w:rsid w:val="7C3456F4"/>
    <w:rsid w:val="7C5A3831"/>
    <w:rsid w:val="7C6A2A2A"/>
    <w:rsid w:val="7C715C38"/>
    <w:rsid w:val="7C7A4BE6"/>
    <w:rsid w:val="7C7F737F"/>
    <w:rsid w:val="7CA5738C"/>
    <w:rsid w:val="7CAE3135"/>
    <w:rsid w:val="7CC46939"/>
    <w:rsid w:val="7CD6700D"/>
    <w:rsid w:val="7D073BAD"/>
    <w:rsid w:val="7D115DE1"/>
    <w:rsid w:val="7D3B05D1"/>
    <w:rsid w:val="7D511DEB"/>
    <w:rsid w:val="7D5207A9"/>
    <w:rsid w:val="7D647E4E"/>
    <w:rsid w:val="7D857221"/>
    <w:rsid w:val="7D91151E"/>
    <w:rsid w:val="7D9E6463"/>
    <w:rsid w:val="7DAA52A9"/>
    <w:rsid w:val="7DAF7BC0"/>
    <w:rsid w:val="7DB61C4E"/>
    <w:rsid w:val="7DB85FB8"/>
    <w:rsid w:val="7DD264DC"/>
    <w:rsid w:val="7DDD7A8F"/>
    <w:rsid w:val="7DE22616"/>
    <w:rsid w:val="7DE440B0"/>
    <w:rsid w:val="7E000B16"/>
    <w:rsid w:val="7E1772DE"/>
    <w:rsid w:val="7E194CEF"/>
    <w:rsid w:val="7E436010"/>
    <w:rsid w:val="7E65736C"/>
    <w:rsid w:val="7E684A6E"/>
    <w:rsid w:val="7E793A93"/>
    <w:rsid w:val="7E7C2E97"/>
    <w:rsid w:val="7E812A19"/>
    <w:rsid w:val="7EA61CC2"/>
    <w:rsid w:val="7EBB22FA"/>
    <w:rsid w:val="7EFD4068"/>
    <w:rsid w:val="7F0810F9"/>
    <w:rsid w:val="7F2870AA"/>
    <w:rsid w:val="7F2F5FE4"/>
    <w:rsid w:val="7F35093E"/>
    <w:rsid w:val="7F360E03"/>
    <w:rsid w:val="7F631C62"/>
    <w:rsid w:val="7F9F6E3D"/>
    <w:rsid w:val="7FBC4F26"/>
    <w:rsid w:val="7FDA2751"/>
    <w:rsid w:val="7FFA4074"/>
    <w:rsid w:val="7FFA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after="260" w:line="413" w:lineRule="auto"/>
      <w:outlineLvl w:val="1"/>
    </w:pPr>
    <w:rPr>
      <w:rFonts w:ascii="Arial" w:hAnsi="Arial" w:eastAsia="黑体"/>
      <w:b/>
      <w:bCs/>
      <w:sz w:val="32"/>
      <w:szCs w:val="32"/>
      <w:lang w:val="zh-CN"/>
    </w:rPr>
  </w:style>
  <w:style w:type="paragraph" w:styleId="3">
    <w:name w:val="heading 3"/>
    <w:basedOn w:val="1"/>
    <w:next w:val="1"/>
    <w:qFormat/>
    <w:uiPriority w:val="0"/>
    <w:pPr>
      <w:keepNext/>
      <w:keepLines/>
      <w:spacing w:before="260" w:after="260" w:line="416" w:lineRule="auto"/>
      <w:outlineLvl w:val="2"/>
    </w:pPr>
    <w:rPr>
      <w:b/>
      <w:bCs/>
      <w:sz w:val="32"/>
      <w:szCs w:val="32"/>
      <w:lang w:val="zh-CN"/>
    </w:rPr>
  </w:style>
  <w:style w:type="paragraph" w:styleId="4">
    <w:name w:val="heading 4"/>
    <w:basedOn w:val="1"/>
    <w:next w:val="1"/>
    <w:unhideWhenUsed/>
    <w:qFormat/>
    <w:uiPriority w:val="0"/>
    <w:pPr>
      <w:keepNext/>
      <w:keepLines/>
      <w:numPr>
        <w:ilvl w:val="0"/>
        <w:numId w:val="1"/>
      </w:numPr>
      <w:spacing w:before="280" w:after="290" w:line="372" w:lineRule="auto"/>
      <w:outlineLvl w:val="3"/>
    </w:pPr>
    <w:rPr>
      <w:rFonts w:ascii="Arial" w:hAnsi="Arial" w:eastAsia="黑体"/>
      <w:b/>
      <w:sz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unhideWhenUsed/>
    <w:qFormat/>
    <w:uiPriority w:val="99"/>
    <w:pPr>
      <w:spacing w:after="200" w:line="276" w:lineRule="auto"/>
      <w:ind w:left="720"/>
    </w:pPr>
    <w:rPr>
      <w:rFonts w:ascii="Calibri" w:hAnsi="Calibri" w:eastAsia="Calibri" w:cs="Times New Roman"/>
      <w:sz w:val="22"/>
      <w:szCs w:val="22"/>
      <w:lang w:val="en-US" w:eastAsia="en-US" w:bidi="ar-SA"/>
    </w:rPr>
  </w:style>
  <w:style w:type="paragraph" w:styleId="6">
    <w:name w:val="annotation text"/>
    <w:basedOn w:val="1"/>
    <w:link w:val="34"/>
    <w:semiHidden/>
    <w:unhideWhenUsed/>
    <w:qFormat/>
    <w:uiPriority w:val="99"/>
    <w:pPr>
      <w:jc w:val="left"/>
    </w:pPr>
  </w:style>
  <w:style w:type="paragraph" w:styleId="7">
    <w:name w:val="Body Text"/>
    <w:basedOn w:val="1"/>
    <w:link w:val="30"/>
    <w:qFormat/>
    <w:uiPriority w:val="0"/>
    <w:rPr>
      <w:rFonts w:ascii="仿宋_GB2312" w:eastAsia="仿宋_GB2312"/>
      <w:sz w:val="32"/>
    </w:rPr>
  </w:style>
  <w:style w:type="paragraph" w:styleId="8">
    <w:name w:val="Body Text Indent"/>
    <w:basedOn w:val="1"/>
    <w:link w:val="31"/>
    <w:qFormat/>
    <w:uiPriority w:val="0"/>
    <w:pPr>
      <w:spacing w:after="120"/>
      <w:ind w:left="420" w:leftChars="200"/>
    </w:pPr>
  </w:style>
  <w:style w:type="paragraph" w:styleId="9">
    <w:name w:val="toc 3"/>
    <w:basedOn w:val="1"/>
    <w:next w:val="1"/>
    <w:semiHidden/>
    <w:unhideWhenUsed/>
    <w:qFormat/>
    <w:uiPriority w:val="39"/>
    <w:pPr>
      <w:ind w:left="840" w:leftChars="400"/>
    </w:pPr>
  </w:style>
  <w:style w:type="paragraph" w:styleId="10">
    <w:name w:val="Plain Text"/>
    <w:basedOn w:val="1"/>
    <w:link w:val="28"/>
    <w:qFormat/>
    <w:uiPriority w:val="0"/>
    <w:rPr>
      <w:rFonts w:ascii="宋体" w:hAnsi="Courier New" w:cstheme="minorBidi"/>
      <w:szCs w:val="22"/>
    </w:rPr>
  </w:style>
  <w:style w:type="paragraph" w:styleId="11">
    <w:name w:val="Date"/>
    <w:basedOn w:val="1"/>
    <w:next w:val="1"/>
    <w:link w:val="29"/>
    <w:unhideWhenUsed/>
    <w:qFormat/>
    <w:uiPriority w:val="0"/>
    <w:pPr>
      <w:ind w:left="100" w:leftChars="2500"/>
    </w:pPr>
  </w:style>
  <w:style w:type="paragraph" w:styleId="12">
    <w:name w:val="Balloon Text"/>
    <w:basedOn w:val="1"/>
    <w:link w:val="33"/>
    <w:semiHidden/>
    <w:unhideWhenUsed/>
    <w:qFormat/>
    <w:uiPriority w:val="99"/>
    <w:rPr>
      <w:sz w:val="18"/>
      <w:szCs w:val="18"/>
    </w:rPr>
  </w:style>
  <w:style w:type="paragraph" w:styleId="13">
    <w:name w:val="footer"/>
    <w:basedOn w:val="1"/>
    <w:link w:val="27"/>
    <w:unhideWhenUsed/>
    <w:qFormat/>
    <w:uiPriority w:val="99"/>
    <w:pPr>
      <w:tabs>
        <w:tab w:val="center" w:pos="4153"/>
        <w:tab w:val="right" w:pos="8306"/>
      </w:tabs>
      <w:snapToGrid w:val="0"/>
      <w:jc w:val="left"/>
    </w:pPr>
    <w:rPr>
      <w:sz w:val="18"/>
      <w:szCs w:val="18"/>
    </w:rPr>
  </w:style>
  <w:style w:type="paragraph" w:styleId="14">
    <w:name w:val="header"/>
    <w:basedOn w:val="1"/>
    <w:link w:val="2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toc 1"/>
    <w:basedOn w:val="1"/>
    <w:next w:val="1"/>
    <w:semiHidden/>
    <w:unhideWhenUsed/>
    <w:qFormat/>
    <w:uiPriority w:val="39"/>
  </w:style>
  <w:style w:type="paragraph" w:styleId="16">
    <w:name w:val="List"/>
    <w:basedOn w:val="1"/>
    <w:qFormat/>
    <w:uiPriority w:val="0"/>
    <w:pPr>
      <w:ind w:left="200" w:hanging="200" w:hangingChars="200"/>
    </w:pPr>
    <w:rPr>
      <w:szCs w:val="21"/>
    </w:rPr>
  </w:style>
  <w:style w:type="paragraph" w:styleId="17">
    <w:name w:val="toc 2"/>
    <w:basedOn w:val="1"/>
    <w:next w:val="1"/>
    <w:semiHidden/>
    <w:unhideWhenUsed/>
    <w:qFormat/>
    <w:uiPriority w:val="39"/>
    <w:pPr>
      <w:ind w:left="420" w:leftChars="200"/>
    </w:pPr>
  </w:style>
  <w:style w:type="paragraph" w:styleId="1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9">
    <w:name w:val="annotation subject"/>
    <w:basedOn w:val="6"/>
    <w:next w:val="6"/>
    <w:link w:val="35"/>
    <w:semiHidden/>
    <w:unhideWhenUsed/>
    <w:qFormat/>
    <w:uiPriority w:val="99"/>
    <w:rPr>
      <w:b/>
      <w:bCs/>
    </w:r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rPr>
  </w:style>
  <w:style w:type="character" w:styleId="24">
    <w:name w:val="Hyperlink"/>
    <w:basedOn w:val="22"/>
    <w:unhideWhenUsed/>
    <w:qFormat/>
    <w:uiPriority w:val="99"/>
    <w:rPr>
      <w:color w:val="0563C1" w:themeColor="hyperlink"/>
      <w:u w:val="single"/>
      <w14:textFill>
        <w14:solidFill>
          <w14:schemeClr w14:val="hlink"/>
        </w14:solidFill>
      </w14:textFill>
    </w:rPr>
  </w:style>
  <w:style w:type="character" w:styleId="25">
    <w:name w:val="annotation reference"/>
    <w:basedOn w:val="22"/>
    <w:semiHidden/>
    <w:unhideWhenUsed/>
    <w:qFormat/>
    <w:uiPriority w:val="99"/>
    <w:rPr>
      <w:sz w:val="21"/>
      <w:szCs w:val="21"/>
    </w:rPr>
  </w:style>
  <w:style w:type="character" w:customStyle="1" w:styleId="26">
    <w:name w:val="页眉 字符"/>
    <w:basedOn w:val="22"/>
    <w:link w:val="14"/>
    <w:qFormat/>
    <w:uiPriority w:val="99"/>
    <w:rPr>
      <w:sz w:val="18"/>
      <w:szCs w:val="18"/>
    </w:rPr>
  </w:style>
  <w:style w:type="character" w:customStyle="1" w:styleId="27">
    <w:name w:val="页脚 字符"/>
    <w:basedOn w:val="22"/>
    <w:link w:val="13"/>
    <w:qFormat/>
    <w:uiPriority w:val="99"/>
    <w:rPr>
      <w:sz w:val="18"/>
      <w:szCs w:val="18"/>
    </w:rPr>
  </w:style>
  <w:style w:type="character" w:customStyle="1" w:styleId="28">
    <w:name w:val="纯文本 字符"/>
    <w:basedOn w:val="22"/>
    <w:link w:val="10"/>
    <w:qFormat/>
    <w:uiPriority w:val="0"/>
    <w:rPr>
      <w:rFonts w:ascii="宋体" w:hAnsi="Courier New" w:eastAsia="宋体"/>
    </w:rPr>
  </w:style>
  <w:style w:type="character" w:customStyle="1" w:styleId="29">
    <w:name w:val="日期 字符"/>
    <w:basedOn w:val="22"/>
    <w:link w:val="11"/>
    <w:qFormat/>
    <w:uiPriority w:val="99"/>
    <w:rPr>
      <w:rFonts w:ascii="Times New Roman" w:hAnsi="Times New Roman" w:eastAsia="宋体" w:cs="Times New Roman"/>
      <w:szCs w:val="20"/>
    </w:rPr>
  </w:style>
  <w:style w:type="character" w:customStyle="1" w:styleId="30">
    <w:name w:val="正文文本 字符"/>
    <w:basedOn w:val="22"/>
    <w:link w:val="7"/>
    <w:qFormat/>
    <w:uiPriority w:val="0"/>
    <w:rPr>
      <w:rFonts w:ascii="仿宋_GB2312" w:hAnsi="Times New Roman" w:eastAsia="仿宋_GB2312" w:cs="Times New Roman"/>
      <w:sz w:val="32"/>
      <w:szCs w:val="20"/>
    </w:rPr>
  </w:style>
  <w:style w:type="character" w:customStyle="1" w:styleId="31">
    <w:name w:val="正文文本缩进 字符"/>
    <w:basedOn w:val="22"/>
    <w:link w:val="8"/>
    <w:qFormat/>
    <w:uiPriority w:val="0"/>
    <w:rPr>
      <w:rFonts w:ascii="Times New Roman" w:hAnsi="Times New Roman" w:eastAsia="宋体" w:cs="Times New Roman"/>
      <w:szCs w:val="20"/>
    </w:rPr>
  </w:style>
  <w:style w:type="character" w:customStyle="1" w:styleId="32">
    <w:name w:val="未处理的提及1"/>
    <w:basedOn w:val="22"/>
    <w:semiHidden/>
    <w:unhideWhenUsed/>
    <w:qFormat/>
    <w:uiPriority w:val="99"/>
    <w:rPr>
      <w:color w:val="605E5C"/>
      <w:shd w:val="clear" w:color="auto" w:fill="E1DFDD"/>
    </w:rPr>
  </w:style>
  <w:style w:type="character" w:customStyle="1" w:styleId="33">
    <w:name w:val="批注框文本 字符"/>
    <w:basedOn w:val="22"/>
    <w:link w:val="12"/>
    <w:semiHidden/>
    <w:qFormat/>
    <w:uiPriority w:val="99"/>
    <w:rPr>
      <w:rFonts w:ascii="Times New Roman" w:hAnsi="Times New Roman" w:eastAsia="宋体" w:cs="Times New Roman"/>
      <w:sz w:val="18"/>
      <w:szCs w:val="18"/>
    </w:rPr>
  </w:style>
  <w:style w:type="character" w:customStyle="1" w:styleId="34">
    <w:name w:val="批注文字 字符"/>
    <w:basedOn w:val="22"/>
    <w:link w:val="6"/>
    <w:semiHidden/>
    <w:qFormat/>
    <w:uiPriority w:val="99"/>
    <w:rPr>
      <w:rFonts w:ascii="Times New Roman" w:hAnsi="Times New Roman" w:eastAsia="宋体" w:cs="Times New Roman"/>
      <w:szCs w:val="20"/>
    </w:rPr>
  </w:style>
  <w:style w:type="character" w:customStyle="1" w:styleId="35">
    <w:name w:val="批注主题 字符"/>
    <w:basedOn w:val="34"/>
    <w:link w:val="19"/>
    <w:semiHidden/>
    <w:qFormat/>
    <w:uiPriority w:val="99"/>
    <w:rPr>
      <w:rFonts w:ascii="Times New Roman" w:hAnsi="Times New Roman" w:eastAsia="宋体" w:cs="Times New Roman"/>
      <w:b/>
      <w:bCs/>
      <w:szCs w:val="20"/>
    </w:rPr>
  </w:style>
  <w:style w:type="paragraph" w:customStyle="1" w:styleId="36">
    <w:name w:val="修订1"/>
    <w:hidden/>
    <w:semiHidden/>
    <w:qFormat/>
    <w:uiPriority w:val="99"/>
    <w:rPr>
      <w:rFonts w:ascii="Times New Roman" w:hAnsi="Times New Roman" w:eastAsia="宋体" w:cs="Times New Roman"/>
      <w:kern w:val="2"/>
      <w:sz w:val="21"/>
      <w:lang w:val="en-US" w:eastAsia="zh-CN" w:bidi="ar-SA"/>
    </w:rPr>
  </w:style>
  <w:style w:type="character" w:customStyle="1" w:styleId="37">
    <w:name w:val="未处理的提及2"/>
    <w:basedOn w:val="22"/>
    <w:semiHidden/>
    <w:unhideWhenUsed/>
    <w:qFormat/>
    <w:uiPriority w:val="99"/>
    <w:rPr>
      <w:color w:val="605E5C"/>
      <w:shd w:val="clear" w:color="auto" w:fill="E1DFDD"/>
    </w:rPr>
  </w:style>
  <w:style w:type="paragraph" w:customStyle="1" w:styleId="38">
    <w:name w:val="修订2"/>
    <w:hidden/>
    <w:semiHidden/>
    <w:qFormat/>
    <w:uiPriority w:val="99"/>
    <w:rPr>
      <w:rFonts w:ascii="Times New Roman" w:hAnsi="Times New Roman" w:eastAsia="宋体" w:cs="Times New Roman"/>
      <w:kern w:val="2"/>
      <w:sz w:val="21"/>
      <w:lang w:val="en-US" w:eastAsia="zh-CN" w:bidi="ar-SA"/>
    </w:rPr>
  </w:style>
  <w:style w:type="paragraph" w:customStyle="1" w:styleId="39">
    <w:name w:val="标三级标题"/>
    <w:basedOn w:val="40"/>
    <w:qFormat/>
    <w:uiPriority w:val="0"/>
  </w:style>
  <w:style w:type="paragraph" w:customStyle="1" w:styleId="40">
    <w:name w:val="标书三级标题"/>
    <w:basedOn w:val="3"/>
    <w:next w:val="41"/>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rPr>
  </w:style>
  <w:style w:type="paragraph" w:customStyle="1" w:styleId="41">
    <w:name w:val="标书正文格式"/>
    <w:basedOn w:val="10"/>
    <w:qFormat/>
    <w:uiPriority w:val="0"/>
    <w:pPr>
      <w:spacing w:line="360" w:lineRule="auto"/>
      <w:ind w:firstLine="200" w:firstLineChars="200"/>
    </w:pPr>
    <w:rPr>
      <w:rFonts w:hAnsi="宋体" w:eastAsiaTheme="minorEastAsia"/>
      <w:color w:val="000000"/>
      <w:sz w:val="24"/>
      <w:szCs w:val="24"/>
    </w:rPr>
  </w:style>
  <w:style w:type="paragraph" w:customStyle="1" w:styleId="42">
    <w:name w:val="WPSOffice手动目录 1"/>
    <w:qFormat/>
    <w:uiPriority w:val="0"/>
    <w:rPr>
      <w:rFonts w:ascii="Times New Roman" w:hAnsi="Times New Roman" w:eastAsia="宋体" w:cs="Times New Roman"/>
      <w:lang w:val="en-US" w:eastAsia="zh-CN" w:bidi="ar-SA"/>
    </w:rPr>
  </w:style>
  <w:style w:type="paragraph" w:styleId="43">
    <w:name w:val="List Paragraph"/>
    <w:basedOn w:val="1"/>
    <w:qFormat/>
    <w:uiPriority w:val="99"/>
    <w:pPr>
      <w:ind w:firstLine="420" w:firstLineChars="200"/>
    </w:pPr>
  </w:style>
  <w:style w:type="paragraph" w:customStyle="1" w:styleId="44">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45">
    <w:name w:val="WPSOffice手动目录 2"/>
    <w:qFormat/>
    <w:uiPriority w:val="0"/>
    <w:pPr>
      <w:ind w:left="200" w:left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13289</Words>
  <Characters>13913</Characters>
  <Lines>114</Lines>
  <Paragraphs>32</Paragraphs>
  <TotalTime>2</TotalTime>
  <ScaleCrop>false</ScaleCrop>
  <LinksUpToDate>false</LinksUpToDate>
  <CharactersWithSpaces>14327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2023-04-11T10:39:00Z</dcterms:created>
  <dc:creator>李保龙</dc:creator>
  <cp:lastModifiedBy>赵蒙</cp:lastModifiedBy>
  <cp:lastPrinted>2026-02-27T10:52:00Z</cp:lastPrinted>
  <dcterms:modified xsi:type="dcterms:W3CDTF">2026-09-30T06:50:09Z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52C89991ECB74280B003F36BCDEA40B2_13</vt:lpwstr>
  </property>
  <property fmtid="{D5CDD505-2E9C-101B-9397-08002B2CF9AE}" pid="4" name="KSOTemplateDocerSaveRecord">
    <vt:lpwstr>eyJoZGlkIjoiYmE2ZDcxNjA3NzE0MmZiYjdjMmU0OTEyNWQ5ZWVmYTkiLCJ1c2VySWQiOiIzODU4ODkwMzgifQ==</vt:lpwstr>
  </property>
</Properties>
</file>