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2026年卡车公司聚脲喷涂项目</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FSCZB2025110316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2026年卡车公司聚脲喷涂项目</w:t>
      </w:r>
    </w:p>
    <w:p w14:paraId="15020D03">
      <w:pPr>
        <w:pStyle w:val="73"/>
      </w:pPr>
      <w:r>
        <w:rPr>
          <w:rFonts w:hint="eastAsia"/>
        </w:rPr>
        <w:t>项目编号：</w:t>
      </w:r>
      <w:r>
        <w:rPr>
          <w:rFonts w:hint="eastAsia"/>
          <w:highlight w:val="yellow"/>
        </w:rPr>
        <w:t xml:space="preserve"> FSCZB2025110316</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2026年卡车公司聚脲喷涂项目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15</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774EF198">
      <w:pPr>
        <w:pStyle w:val="72"/>
        <w:numPr>
          <w:ilvl w:val="0"/>
          <w:numId w:val="0"/>
        </w:numPr>
        <w:ind w:leftChars="0" w:firstLine="422" w:firstLineChars="200"/>
        <w:rPr>
          <w:highlight w:val="yellow"/>
        </w:rPr>
      </w:pPr>
      <w:r>
        <w:rPr>
          <w:rFonts w:hint="eastAsia" w:ascii="宋体" w:hAnsi="宋体" w:eastAsia="宋体" w:cs="宋体"/>
          <w:b/>
          <w:bCs/>
          <w:sz w:val="21"/>
          <w:szCs w:val="21"/>
        </w:rPr>
        <w:t>邮箱：yangshuqing1@sinotruk.com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26</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本项目主要为卡车公司党家庄工厂及绵阳工厂提供聚脲喷涂服务</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544F1CE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621F8CD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（2具有独立法人资格和国家综合服务型物流企业认证资质，注册资本金500万元以上（已进入中国重汽物流商目录的不受该条件限制）；经营范围应包括涂料施工、喷漆技术服务、涂装施工等服务项目；</w:t>
      </w:r>
    </w:p>
    <w:p w14:paraId="176C34F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（3有3年以上汽车行业涂料喷涂服务经验，有经验丰富的从事喷涂业务的员工团队，有为客户提供一体化涂装服务的硬件资源和运营能力；</w:t>
      </w:r>
    </w:p>
    <w:p w14:paraId="5C44830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（4投标人须提供具有统一社会信用代码的新版营业执照副本原件及复印件（加盖公章）；</w:t>
      </w:r>
    </w:p>
    <w:p w14:paraId="319863CA">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（5具有良好的商业信誉，在国家企业信用信息公示系统中无与本项目有关的行政处罚、列入经营异常名录和列入严重违法失信企业名单（黑名单）信息或上述信息已被移除；</w:t>
      </w:r>
    </w:p>
    <w:p w14:paraId="12FD593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（6投标人近三年内在经营活动中无与本项目有关的违法及重大违规情况；</w:t>
      </w:r>
    </w:p>
    <w:p w14:paraId="4873E22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（7具有健全的财务会计制度，财务状况和市场行为良好。没有处于被有权机关吊销营业执照、吊销资质、停业整顿、取消投标资格以及财产被接管、冻结或进入破产程序等。</w:t>
      </w:r>
    </w:p>
    <w:p w14:paraId="546F56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（8投标人没有被列入招标人处《黑名单》（《黑名单》指投标人与招标人在以往或正在进行的合作中，存在招标人认为的违反合同约定或违反法律法规等的失信行为）的；</w:t>
      </w:r>
    </w:p>
    <w:p w14:paraId="11B911B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（9投标人须提供法人授权委托书原件（在投标文件副本中可用复印件）及投标单位的法定代表人或授权代表的身份证原件及复印件（加盖公章）；</w:t>
      </w:r>
    </w:p>
    <w:p w14:paraId="0F4BDF0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（10投标人须具有履行合同所必须的财务、技术、服务等方面的资质和能力；</w:t>
      </w:r>
    </w:p>
    <w:p w14:paraId="7FAFF5B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（11标人须具有完全履行招标文件的所有要求的能力；</w:t>
      </w:r>
    </w:p>
    <w:p w14:paraId="6572FE3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（12投标人须认可招标人的工作指令，包括节、假日能正常开展工作的要求；</w:t>
      </w:r>
    </w:p>
    <w:p w14:paraId="714B48C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（13供方的直接或间接股东、法定代表人、董事、监事、高管非重汽员工及其亲属；</w:t>
      </w:r>
    </w:p>
    <w:p w14:paraId="35BD720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（14不接受联合体投标；</w:t>
      </w:r>
    </w:p>
    <w:p w14:paraId="3339A7C9">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b w:val="0"/>
          <w:bCs/>
          <w:strike w:val="0"/>
          <w:dstrike w:val="0"/>
          <w:highlight w:val="none"/>
        </w:rPr>
      </w:pPr>
      <w:r>
        <w:rPr>
          <w:rFonts w:hint="eastAsia"/>
          <w:b w:val="0"/>
          <w:bCs/>
          <w:strike w:val="0"/>
          <w:dstrike w:val="0"/>
          <w:highlight w:val="none"/>
        </w:rPr>
        <w:t>（15投标人必须是最终投保、签订合同的单位，不得以任何理由将已中标项目以任何形式分包或转包给其他单位。</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26</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36FDB5A2">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r>
        <w:rPr>
          <w:rFonts w:hint="eastAsia"/>
          <w:b w:val="0"/>
          <w:bCs/>
          <w:highlight w:val="yellow"/>
          <w:lang w:eastAsia="zh-CN"/>
        </w:rPr>
        <w:t>（</w:t>
      </w:r>
      <w:r>
        <w:rPr>
          <w:rFonts w:hint="eastAsia"/>
          <w:b w:val="0"/>
          <w:bCs/>
          <w:highlight w:val="yellow"/>
          <w:lang w:val="en-US" w:eastAsia="zh-CN"/>
        </w:rPr>
        <w:t>与技术联系人商议拟定）</w:t>
      </w:r>
      <w:r>
        <w:rPr>
          <w:rFonts w:hint="eastAsia"/>
          <w:b w:val="0"/>
          <w:bCs/>
          <w:highlight w:val="yellow"/>
        </w:rPr>
        <w:t>；</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130.91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1"/>
        </w:numPr>
        <w:rPr>
          <w:bCs/>
        </w:rPr>
      </w:pPr>
      <w:r>
        <w:rPr>
          <w:rFonts w:hint="eastAsia"/>
          <w:bCs/>
        </w:rPr>
        <w:t>联系人及联系方式：郭朝琛/</w:t>
      </w:r>
      <w:r>
        <w:rPr>
          <w:rFonts w:hint="eastAsia"/>
          <w:bCs/>
          <w:lang w:val="en-US" w:eastAsia="zh-CN"/>
        </w:rPr>
        <w:t>17860606311</w:t>
      </w:r>
    </w:p>
    <w:p w14:paraId="38E5AAE5">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15</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2万</w:t>
      </w:r>
      <w:r>
        <w:rPr>
          <w:rFonts w:hint="eastAsia" w:ascii="宋体" w:hAnsi="宋体" w:eastAsia="宋体" w:cs="宋体"/>
          <w:b w:val="0"/>
          <w:bCs w:val="0"/>
          <w:sz w:val="21"/>
          <w:szCs w:val="21"/>
          <w:highlight w:val="none"/>
        </w:rPr>
        <w:t>元</w:t>
      </w:r>
    </w:p>
    <w:p w14:paraId="64CA6B1B">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7D70F083">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15</w:t>
      </w:r>
      <w:bookmarkStart w:id="32" w:name="_GoBack"/>
      <w:bookmarkEnd w:id="32"/>
      <w:r>
        <w:rPr>
          <w:rFonts w:hint="eastAsia" w:ascii="宋体" w:hAnsi="宋体" w:eastAsia="宋体" w:cs="宋体"/>
          <w:b w:val="0"/>
          <w:bCs w:val="0"/>
          <w:sz w:val="21"/>
          <w:szCs w:val="21"/>
          <w:highlight w:val="yellow"/>
        </w:rPr>
        <w:t>日9:00:00</w:t>
      </w:r>
    </w:p>
    <w:p w14:paraId="26008F0B">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714E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846" w:type="dxa"/>
            <w:noWrap w:val="0"/>
            <w:vAlign w:val="center"/>
          </w:tcPr>
          <w:p w14:paraId="44EC0163">
            <w:pPr>
              <w:jc w:val="center"/>
              <w:rPr>
                <w:rFonts w:hint="eastAsia" w:ascii="宋体" w:hAnsi="宋体"/>
                <w:b/>
                <w:bCs/>
                <w:sz w:val="21"/>
                <w:szCs w:val="21"/>
              </w:rPr>
            </w:pPr>
            <w:r>
              <w:rPr>
                <w:rFonts w:hint="eastAsia" w:ascii="宋体" w:hAnsi="宋体"/>
                <w:b/>
                <w:bCs/>
                <w:sz w:val="21"/>
                <w:szCs w:val="21"/>
              </w:rPr>
              <w:t>评标因素</w:t>
            </w:r>
          </w:p>
        </w:tc>
        <w:tc>
          <w:tcPr>
            <w:tcW w:w="831" w:type="dxa"/>
            <w:noWrap w:val="0"/>
            <w:vAlign w:val="center"/>
          </w:tcPr>
          <w:p w14:paraId="2C6C14FF">
            <w:pPr>
              <w:jc w:val="center"/>
              <w:rPr>
                <w:rFonts w:hint="eastAsia" w:ascii="宋体" w:hAnsi="宋体"/>
                <w:b/>
                <w:bCs/>
                <w:sz w:val="21"/>
                <w:szCs w:val="21"/>
              </w:rPr>
            </w:pPr>
            <w:r>
              <w:rPr>
                <w:rFonts w:hint="eastAsia" w:ascii="宋体" w:hAnsi="宋体"/>
                <w:b/>
                <w:bCs/>
                <w:sz w:val="21"/>
                <w:szCs w:val="21"/>
              </w:rPr>
              <w:t>总分</w:t>
            </w:r>
          </w:p>
        </w:tc>
        <w:tc>
          <w:tcPr>
            <w:tcW w:w="2268" w:type="dxa"/>
            <w:gridSpan w:val="2"/>
            <w:noWrap w:val="0"/>
            <w:vAlign w:val="center"/>
          </w:tcPr>
          <w:p w14:paraId="397987A4">
            <w:pPr>
              <w:jc w:val="center"/>
              <w:rPr>
                <w:rFonts w:hint="eastAsia" w:ascii="宋体" w:hAnsi="宋体"/>
                <w:b/>
                <w:bCs/>
                <w:sz w:val="21"/>
                <w:szCs w:val="21"/>
              </w:rPr>
            </w:pPr>
            <w:r>
              <w:rPr>
                <w:rFonts w:hint="eastAsia" w:ascii="宋体" w:hAnsi="宋体"/>
                <w:b/>
                <w:bCs/>
                <w:sz w:val="21"/>
                <w:szCs w:val="21"/>
              </w:rPr>
              <w:t>评审内容</w:t>
            </w:r>
          </w:p>
        </w:tc>
        <w:tc>
          <w:tcPr>
            <w:tcW w:w="5406" w:type="dxa"/>
            <w:noWrap w:val="0"/>
            <w:vAlign w:val="center"/>
          </w:tcPr>
          <w:p w14:paraId="30259CF1">
            <w:pPr>
              <w:jc w:val="center"/>
              <w:rPr>
                <w:rFonts w:hint="eastAsia" w:ascii="宋体" w:hAnsi="宋体"/>
                <w:b/>
                <w:bCs/>
                <w:sz w:val="21"/>
                <w:szCs w:val="21"/>
              </w:rPr>
            </w:pPr>
            <w:r>
              <w:rPr>
                <w:rFonts w:hint="eastAsia" w:ascii="宋体" w:hAnsi="宋体"/>
                <w:b/>
                <w:bCs/>
                <w:sz w:val="21"/>
                <w:szCs w:val="21"/>
              </w:rPr>
              <w:t>评分标准</w:t>
            </w:r>
          </w:p>
        </w:tc>
        <w:tc>
          <w:tcPr>
            <w:tcW w:w="1276" w:type="dxa"/>
            <w:noWrap w:val="0"/>
            <w:vAlign w:val="center"/>
          </w:tcPr>
          <w:p w14:paraId="11F33904">
            <w:pPr>
              <w:jc w:val="center"/>
              <w:rPr>
                <w:rFonts w:hint="eastAsia" w:ascii="宋体" w:hAnsi="宋体"/>
                <w:b/>
                <w:bCs/>
                <w:sz w:val="21"/>
                <w:szCs w:val="21"/>
              </w:rPr>
            </w:pPr>
            <w:r>
              <w:rPr>
                <w:rFonts w:hint="eastAsia" w:ascii="宋体" w:hAnsi="宋体"/>
                <w:b/>
                <w:bCs/>
                <w:sz w:val="21"/>
                <w:szCs w:val="21"/>
              </w:rPr>
              <w:t>最高得分</w:t>
            </w:r>
          </w:p>
        </w:tc>
      </w:tr>
      <w:tr w14:paraId="648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627" w:type="dxa"/>
            <w:gridSpan w:val="6"/>
            <w:noWrap w:val="0"/>
            <w:vAlign w:val="top"/>
          </w:tcPr>
          <w:p w14:paraId="3EEB824F">
            <w:pPr>
              <w:rPr>
                <w:rFonts w:hint="eastAsia" w:ascii="宋体" w:hAnsi="宋体"/>
                <w:b/>
                <w:bCs/>
                <w:sz w:val="21"/>
                <w:szCs w:val="21"/>
              </w:rPr>
            </w:pPr>
            <w:r>
              <w:rPr>
                <w:rFonts w:hint="eastAsia" w:ascii="宋体" w:hAnsi="宋体"/>
                <w:b/>
                <w:bCs/>
                <w:sz w:val="21"/>
                <w:szCs w:val="21"/>
              </w:rPr>
              <w:t>一、技术因素</w:t>
            </w:r>
          </w:p>
        </w:tc>
      </w:tr>
      <w:tr w14:paraId="4FEC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627" w:type="dxa"/>
            <w:gridSpan w:val="6"/>
            <w:noWrap w:val="0"/>
            <w:vAlign w:val="top"/>
          </w:tcPr>
          <w:p w14:paraId="3CFCE50E">
            <w:pPr>
              <w:rPr>
                <w:rFonts w:hint="eastAsia" w:ascii="宋体" w:hAnsi="宋体"/>
                <w:sz w:val="21"/>
                <w:szCs w:val="21"/>
              </w:rPr>
            </w:pPr>
            <w:r>
              <w:rPr>
                <w:rFonts w:hint="eastAsia" w:ascii="宋体" w:hAnsi="宋体"/>
                <w:sz w:val="21"/>
                <w:szCs w:val="21"/>
              </w:rPr>
              <w:t>1、技术评分标准要量化，各项目权重合理。</w:t>
            </w:r>
          </w:p>
        </w:tc>
      </w:tr>
      <w:tr w14:paraId="215F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4D4A7DED">
            <w:pPr>
              <w:rPr>
                <w:rFonts w:hint="eastAsia" w:ascii="宋体" w:hAnsi="宋体"/>
                <w:sz w:val="21"/>
                <w:szCs w:val="21"/>
              </w:rPr>
            </w:pPr>
            <w:r>
              <w:rPr>
                <w:rFonts w:hint="eastAsia" w:ascii="宋体" w:hAnsi="宋体"/>
                <w:sz w:val="21"/>
                <w:szCs w:val="21"/>
              </w:rPr>
              <w:t>依照技术方案、质量保障、服务及其他评价内容的优先次序，根据分项评价值进行排名。若上述排名皆相同的，则由全体评委成员无记名投票，得票高者排序在前。</w:t>
            </w:r>
          </w:p>
        </w:tc>
      </w:tr>
      <w:tr w14:paraId="1687A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627" w:type="dxa"/>
            <w:gridSpan w:val="6"/>
            <w:noWrap w:val="0"/>
            <w:vAlign w:val="top"/>
          </w:tcPr>
          <w:p w14:paraId="5383A575">
            <w:pPr>
              <w:rPr>
                <w:rFonts w:hint="eastAsia" w:ascii="宋体" w:hAnsi="宋体"/>
                <w:sz w:val="21"/>
                <w:szCs w:val="21"/>
              </w:rPr>
            </w:pPr>
            <w:r>
              <w:rPr>
                <w:rFonts w:hint="eastAsia" w:ascii="宋体" w:hAnsi="宋体"/>
                <w:sz w:val="21"/>
                <w:szCs w:val="21"/>
              </w:rPr>
              <w:t>2、评委打分不得超过得分界限。</w:t>
            </w:r>
          </w:p>
        </w:tc>
      </w:tr>
      <w:tr w14:paraId="7528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restart"/>
            <w:noWrap w:val="0"/>
            <w:vAlign w:val="center"/>
          </w:tcPr>
          <w:p w14:paraId="25D99478">
            <w:pPr>
              <w:jc w:val="center"/>
              <w:rPr>
                <w:rFonts w:hint="default" w:ascii="宋体" w:hAnsi="宋体" w:eastAsia="宋体"/>
                <w:sz w:val="21"/>
                <w:szCs w:val="21"/>
                <w:lang w:val="en-US" w:eastAsia="zh-CN"/>
              </w:rPr>
            </w:pPr>
            <w:r>
              <w:rPr>
                <w:rFonts w:hint="eastAsia" w:ascii="宋体" w:hAnsi="宋体"/>
                <w:sz w:val="21"/>
                <w:szCs w:val="21"/>
              </w:rPr>
              <w:t>技术因素</w:t>
            </w:r>
            <w:r>
              <w:rPr>
                <w:rFonts w:hint="eastAsia" w:ascii="宋体" w:hAnsi="宋体"/>
                <w:sz w:val="21"/>
                <w:szCs w:val="21"/>
                <w:lang w:eastAsia="zh-CN"/>
              </w:rPr>
              <w:t>（</w:t>
            </w:r>
            <w:r>
              <w:rPr>
                <w:rFonts w:hint="eastAsia" w:ascii="宋体" w:hAnsi="宋体"/>
                <w:sz w:val="21"/>
                <w:szCs w:val="21"/>
                <w:lang w:val="en-US" w:eastAsia="zh-CN"/>
              </w:rPr>
              <w:t>30%）</w:t>
            </w:r>
          </w:p>
        </w:tc>
        <w:tc>
          <w:tcPr>
            <w:tcW w:w="831" w:type="dxa"/>
            <w:vMerge w:val="restart"/>
            <w:noWrap w:val="0"/>
            <w:vAlign w:val="center"/>
          </w:tcPr>
          <w:p w14:paraId="09BE2193">
            <w:pPr>
              <w:jc w:val="center"/>
              <w:rPr>
                <w:rFonts w:hint="eastAsia" w:ascii="宋体" w:hAnsi="宋体"/>
                <w:sz w:val="21"/>
                <w:szCs w:val="21"/>
              </w:rPr>
            </w:pPr>
            <w:r>
              <w:rPr>
                <w:rFonts w:hint="eastAsia" w:ascii="宋体" w:hAnsi="宋体"/>
                <w:sz w:val="21"/>
                <w:szCs w:val="21"/>
              </w:rPr>
              <w:t>100</w:t>
            </w:r>
          </w:p>
        </w:tc>
        <w:tc>
          <w:tcPr>
            <w:tcW w:w="1134" w:type="dxa"/>
            <w:vMerge w:val="restart"/>
            <w:noWrap w:val="0"/>
            <w:vAlign w:val="center"/>
          </w:tcPr>
          <w:p w14:paraId="296561EC">
            <w:pPr>
              <w:jc w:val="center"/>
              <w:rPr>
                <w:rFonts w:hint="eastAsia" w:ascii="宋体" w:hAnsi="宋体"/>
                <w:sz w:val="21"/>
                <w:szCs w:val="21"/>
              </w:rPr>
            </w:pPr>
            <w:r>
              <w:rPr>
                <w:rFonts w:hint="eastAsia" w:ascii="宋体" w:hAnsi="宋体"/>
                <w:sz w:val="21"/>
                <w:szCs w:val="21"/>
              </w:rPr>
              <w:t>技术方案</w:t>
            </w:r>
          </w:p>
        </w:tc>
        <w:tc>
          <w:tcPr>
            <w:tcW w:w="1134" w:type="dxa"/>
            <w:vMerge w:val="restart"/>
            <w:noWrap w:val="0"/>
            <w:vAlign w:val="center"/>
          </w:tcPr>
          <w:p w14:paraId="69429541">
            <w:pPr>
              <w:jc w:val="center"/>
              <w:rPr>
                <w:rFonts w:hint="eastAsia" w:ascii="宋体" w:hAnsi="宋体"/>
                <w:sz w:val="21"/>
                <w:szCs w:val="21"/>
              </w:rPr>
            </w:pPr>
            <w:r>
              <w:rPr>
                <w:rFonts w:hint="eastAsia" w:ascii="宋体" w:hAnsi="宋体"/>
                <w:sz w:val="21"/>
                <w:szCs w:val="21"/>
              </w:rPr>
              <w:t>技术方案</w:t>
            </w:r>
          </w:p>
        </w:tc>
        <w:tc>
          <w:tcPr>
            <w:tcW w:w="5406" w:type="dxa"/>
            <w:noWrap w:val="0"/>
            <w:vAlign w:val="top"/>
          </w:tcPr>
          <w:p w14:paraId="2C138D62">
            <w:pPr>
              <w:rPr>
                <w:rFonts w:hint="eastAsia" w:ascii="宋体" w:hAnsi="宋体"/>
                <w:sz w:val="21"/>
                <w:szCs w:val="21"/>
              </w:rPr>
            </w:pPr>
            <w:r>
              <w:rPr>
                <w:rFonts w:hint="eastAsia" w:ascii="宋体" w:hAnsi="宋体"/>
                <w:sz w:val="21"/>
                <w:szCs w:val="21"/>
              </w:rPr>
              <w:t>技术标偏离情况只允许出现优于（即正偏离）、符合标书约定技术要求。</w:t>
            </w:r>
          </w:p>
        </w:tc>
        <w:tc>
          <w:tcPr>
            <w:tcW w:w="1276" w:type="dxa"/>
            <w:vMerge w:val="restart"/>
            <w:noWrap w:val="0"/>
            <w:vAlign w:val="center"/>
          </w:tcPr>
          <w:p w14:paraId="5A85D520">
            <w:pPr>
              <w:jc w:val="center"/>
              <w:rPr>
                <w:rFonts w:hint="eastAsia" w:ascii="宋体" w:hAnsi="宋体"/>
                <w:sz w:val="21"/>
                <w:szCs w:val="21"/>
              </w:rPr>
            </w:pPr>
            <w:r>
              <w:rPr>
                <w:rFonts w:hint="eastAsia" w:ascii="宋体" w:hAnsi="宋体"/>
                <w:sz w:val="21"/>
                <w:szCs w:val="21"/>
              </w:rPr>
              <w:t>10</w:t>
            </w:r>
          </w:p>
        </w:tc>
      </w:tr>
      <w:tr w14:paraId="5F60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AFD0A7D">
            <w:pPr>
              <w:jc w:val="center"/>
              <w:rPr>
                <w:rFonts w:ascii="宋体" w:hAnsi="宋体"/>
                <w:sz w:val="21"/>
                <w:szCs w:val="21"/>
              </w:rPr>
            </w:pPr>
          </w:p>
        </w:tc>
        <w:tc>
          <w:tcPr>
            <w:tcW w:w="831" w:type="dxa"/>
            <w:vMerge w:val="continue"/>
            <w:noWrap w:val="0"/>
            <w:vAlign w:val="center"/>
          </w:tcPr>
          <w:p w14:paraId="0696EEB4">
            <w:pPr>
              <w:jc w:val="center"/>
              <w:rPr>
                <w:rFonts w:ascii="宋体" w:hAnsi="宋体"/>
                <w:sz w:val="21"/>
                <w:szCs w:val="21"/>
              </w:rPr>
            </w:pPr>
          </w:p>
        </w:tc>
        <w:tc>
          <w:tcPr>
            <w:tcW w:w="1134" w:type="dxa"/>
            <w:vMerge w:val="continue"/>
            <w:noWrap w:val="0"/>
            <w:vAlign w:val="center"/>
          </w:tcPr>
          <w:p w14:paraId="2C552660">
            <w:pPr>
              <w:jc w:val="center"/>
              <w:rPr>
                <w:rFonts w:ascii="宋体" w:hAnsi="宋体"/>
                <w:sz w:val="21"/>
                <w:szCs w:val="21"/>
              </w:rPr>
            </w:pPr>
          </w:p>
        </w:tc>
        <w:tc>
          <w:tcPr>
            <w:tcW w:w="1134" w:type="dxa"/>
            <w:vMerge w:val="continue"/>
            <w:noWrap w:val="0"/>
            <w:vAlign w:val="center"/>
          </w:tcPr>
          <w:p w14:paraId="1BE4154D">
            <w:pPr>
              <w:jc w:val="center"/>
              <w:rPr>
                <w:rFonts w:ascii="宋体" w:hAnsi="宋体"/>
                <w:sz w:val="21"/>
                <w:szCs w:val="21"/>
              </w:rPr>
            </w:pPr>
          </w:p>
        </w:tc>
        <w:tc>
          <w:tcPr>
            <w:tcW w:w="5406" w:type="dxa"/>
            <w:noWrap w:val="0"/>
            <w:vAlign w:val="top"/>
          </w:tcPr>
          <w:p w14:paraId="764D2DA8">
            <w:pPr>
              <w:rPr>
                <w:rFonts w:hint="eastAsia" w:ascii="宋体" w:hAnsi="宋体"/>
                <w:sz w:val="21"/>
                <w:szCs w:val="21"/>
              </w:rPr>
            </w:pPr>
            <w:r>
              <w:rPr>
                <w:rFonts w:hint="eastAsia" w:ascii="宋体" w:hAnsi="宋体"/>
                <w:sz w:val="21"/>
                <w:szCs w:val="21"/>
              </w:rPr>
              <w:t>当所供技术服务优于招标文件要求，有具体可行性说明建议，得10分。完全满足标书要求，得8分。</w:t>
            </w:r>
          </w:p>
        </w:tc>
        <w:tc>
          <w:tcPr>
            <w:tcW w:w="1276" w:type="dxa"/>
            <w:vMerge w:val="continue"/>
            <w:noWrap w:val="0"/>
            <w:vAlign w:val="center"/>
          </w:tcPr>
          <w:p w14:paraId="248BE590">
            <w:pPr>
              <w:jc w:val="center"/>
              <w:rPr>
                <w:rFonts w:ascii="宋体" w:hAnsi="宋体"/>
                <w:sz w:val="21"/>
                <w:szCs w:val="21"/>
              </w:rPr>
            </w:pPr>
          </w:p>
        </w:tc>
      </w:tr>
      <w:tr w14:paraId="5907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846" w:type="dxa"/>
            <w:vMerge w:val="continue"/>
            <w:noWrap w:val="0"/>
            <w:vAlign w:val="center"/>
          </w:tcPr>
          <w:p w14:paraId="2D3DF3D8">
            <w:pPr>
              <w:jc w:val="center"/>
              <w:rPr>
                <w:rFonts w:ascii="宋体" w:hAnsi="宋体"/>
                <w:sz w:val="21"/>
                <w:szCs w:val="21"/>
              </w:rPr>
            </w:pPr>
          </w:p>
        </w:tc>
        <w:tc>
          <w:tcPr>
            <w:tcW w:w="831" w:type="dxa"/>
            <w:vMerge w:val="continue"/>
            <w:noWrap w:val="0"/>
            <w:vAlign w:val="center"/>
          </w:tcPr>
          <w:p w14:paraId="358367BF">
            <w:pPr>
              <w:jc w:val="center"/>
              <w:rPr>
                <w:rFonts w:ascii="宋体" w:hAnsi="宋体"/>
                <w:sz w:val="21"/>
                <w:szCs w:val="21"/>
              </w:rPr>
            </w:pPr>
          </w:p>
        </w:tc>
        <w:tc>
          <w:tcPr>
            <w:tcW w:w="1134" w:type="dxa"/>
            <w:vMerge w:val="continue"/>
            <w:noWrap w:val="0"/>
            <w:vAlign w:val="center"/>
          </w:tcPr>
          <w:p w14:paraId="2A61DE33">
            <w:pPr>
              <w:jc w:val="center"/>
              <w:rPr>
                <w:rFonts w:ascii="宋体" w:hAnsi="宋体"/>
                <w:sz w:val="21"/>
                <w:szCs w:val="21"/>
              </w:rPr>
            </w:pPr>
          </w:p>
        </w:tc>
        <w:tc>
          <w:tcPr>
            <w:tcW w:w="1134" w:type="dxa"/>
            <w:vMerge w:val="restart"/>
            <w:noWrap w:val="0"/>
            <w:vAlign w:val="center"/>
          </w:tcPr>
          <w:p w14:paraId="27D9C795">
            <w:pPr>
              <w:jc w:val="center"/>
              <w:rPr>
                <w:rFonts w:hint="eastAsia" w:ascii="宋体" w:hAnsi="宋体"/>
                <w:sz w:val="21"/>
                <w:szCs w:val="21"/>
              </w:rPr>
            </w:pPr>
            <w:r>
              <w:rPr>
                <w:rFonts w:hint="eastAsia" w:ascii="宋体" w:hAnsi="宋体"/>
                <w:sz w:val="21"/>
                <w:szCs w:val="21"/>
              </w:rPr>
              <w:t>项目规划</w:t>
            </w:r>
          </w:p>
        </w:tc>
        <w:tc>
          <w:tcPr>
            <w:tcW w:w="5406" w:type="dxa"/>
            <w:noWrap w:val="0"/>
            <w:vAlign w:val="top"/>
          </w:tcPr>
          <w:p w14:paraId="39061EA7">
            <w:pPr>
              <w:rPr>
                <w:rFonts w:hint="eastAsia" w:ascii="宋体" w:hAnsi="宋体" w:eastAsia="宋体"/>
                <w:sz w:val="21"/>
                <w:szCs w:val="21"/>
                <w:lang w:eastAsia="zh-CN"/>
              </w:rPr>
            </w:pPr>
            <w:r>
              <w:rPr>
                <w:rFonts w:hint="eastAsia" w:ascii="宋体" w:hAnsi="宋体"/>
                <w:sz w:val="21"/>
                <w:szCs w:val="21"/>
              </w:rPr>
              <w:t>项目总体规划实施方案（人员规划、作业流程设计、管理制度支持等）流程合理、完善、切实可行，视情况得0-20</w:t>
            </w:r>
            <w:r>
              <w:rPr>
                <w:rFonts w:hint="eastAsia" w:ascii="宋体" w:hAnsi="宋体"/>
                <w:sz w:val="21"/>
                <w:szCs w:val="21"/>
                <w:lang w:eastAsia="zh-CN"/>
              </w:rPr>
              <w:t>。</w:t>
            </w:r>
          </w:p>
        </w:tc>
        <w:tc>
          <w:tcPr>
            <w:tcW w:w="1276" w:type="dxa"/>
            <w:noWrap w:val="0"/>
            <w:vAlign w:val="center"/>
          </w:tcPr>
          <w:p w14:paraId="4638B69A">
            <w:pPr>
              <w:jc w:val="center"/>
              <w:rPr>
                <w:rFonts w:hint="eastAsia" w:ascii="宋体" w:hAnsi="宋体"/>
                <w:sz w:val="21"/>
                <w:szCs w:val="21"/>
              </w:rPr>
            </w:pPr>
            <w:r>
              <w:rPr>
                <w:rFonts w:hint="eastAsia" w:ascii="宋体" w:hAnsi="宋体"/>
                <w:sz w:val="21"/>
                <w:szCs w:val="21"/>
              </w:rPr>
              <w:t>20</w:t>
            </w:r>
          </w:p>
        </w:tc>
      </w:tr>
      <w:tr w14:paraId="19C1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46" w:type="dxa"/>
            <w:vMerge w:val="continue"/>
            <w:noWrap w:val="0"/>
            <w:vAlign w:val="center"/>
          </w:tcPr>
          <w:p w14:paraId="749BCD5B">
            <w:pPr>
              <w:jc w:val="center"/>
              <w:rPr>
                <w:rFonts w:ascii="宋体" w:hAnsi="宋体"/>
                <w:sz w:val="21"/>
                <w:szCs w:val="21"/>
              </w:rPr>
            </w:pPr>
          </w:p>
        </w:tc>
        <w:tc>
          <w:tcPr>
            <w:tcW w:w="831" w:type="dxa"/>
            <w:vMerge w:val="continue"/>
            <w:noWrap w:val="0"/>
            <w:vAlign w:val="center"/>
          </w:tcPr>
          <w:p w14:paraId="41DAF52A">
            <w:pPr>
              <w:jc w:val="center"/>
              <w:rPr>
                <w:rFonts w:ascii="宋体" w:hAnsi="宋体"/>
                <w:sz w:val="21"/>
                <w:szCs w:val="21"/>
              </w:rPr>
            </w:pPr>
          </w:p>
        </w:tc>
        <w:tc>
          <w:tcPr>
            <w:tcW w:w="1134" w:type="dxa"/>
            <w:vMerge w:val="continue"/>
            <w:noWrap w:val="0"/>
            <w:vAlign w:val="center"/>
          </w:tcPr>
          <w:p w14:paraId="2A7C85D3">
            <w:pPr>
              <w:jc w:val="center"/>
              <w:rPr>
                <w:rFonts w:ascii="宋体" w:hAnsi="宋体"/>
                <w:sz w:val="21"/>
                <w:szCs w:val="21"/>
              </w:rPr>
            </w:pPr>
          </w:p>
        </w:tc>
        <w:tc>
          <w:tcPr>
            <w:tcW w:w="1134" w:type="dxa"/>
            <w:vMerge w:val="continue"/>
            <w:noWrap w:val="0"/>
            <w:vAlign w:val="center"/>
          </w:tcPr>
          <w:p w14:paraId="1D7E891E">
            <w:pPr>
              <w:jc w:val="center"/>
              <w:rPr>
                <w:rFonts w:ascii="宋体" w:hAnsi="宋体"/>
                <w:sz w:val="21"/>
                <w:szCs w:val="21"/>
              </w:rPr>
            </w:pPr>
          </w:p>
        </w:tc>
        <w:tc>
          <w:tcPr>
            <w:tcW w:w="5406" w:type="dxa"/>
            <w:noWrap w:val="0"/>
            <w:vAlign w:val="top"/>
          </w:tcPr>
          <w:p w14:paraId="1802E750">
            <w:pPr>
              <w:rPr>
                <w:rFonts w:hint="eastAsia" w:ascii="宋体" w:hAnsi="宋体" w:eastAsia="宋体"/>
                <w:sz w:val="21"/>
                <w:szCs w:val="21"/>
                <w:lang w:eastAsia="zh-CN"/>
              </w:rPr>
            </w:pPr>
            <w:r>
              <w:rPr>
                <w:rFonts w:hint="eastAsia" w:ascii="宋体" w:hAnsi="宋体"/>
                <w:sz w:val="21"/>
                <w:szCs w:val="21"/>
              </w:rPr>
              <w:t>目标及预计取得效果，视情况得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1E5FD83E">
            <w:pPr>
              <w:jc w:val="center"/>
              <w:rPr>
                <w:rFonts w:hint="eastAsia" w:ascii="宋体" w:hAnsi="宋体"/>
                <w:sz w:val="21"/>
                <w:szCs w:val="21"/>
              </w:rPr>
            </w:pPr>
            <w:r>
              <w:rPr>
                <w:rFonts w:ascii="宋体" w:hAnsi="宋体"/>
                <w:sz w:val="21"/>
                <w:szCs w:val="21"/>
              </w:rPr>
              <w:t>10</w:t>
            </w:r>
          </w:p>
        </w:tc>
      </w:tr>
      <w:tr w14:paraId="635E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6" w:type="dxa"/>
            <w:vMerge w:val="continue"/>
            <w:noWrap w:val="0"/>
            <w:vAlign w:val="center"/>
          </w:tcPr>
          <w:p w14:paraId="3C58F907">
            <w:pPr>
              <w:jc w:val="center"/>
              <w:rPr>
                <w:rFonts w:ascii="宋体" w:hAnsi="宋体"/>
                <w:sz w:val="21"/>
                <w:szCs w:val="21"/>
              </w:rPr>
            </w:pPr>
          </w:p>
        </w:tc>
        <w:tc>
          <w:tcPr>
            <w:tcW w:w="831" w:type="dxa"/>
            <w:vMerge w:val="continue"/>
            <w:noWrap w:val="0"/>
            <w:vAlign w:val="center"/>
          </w:tcPr>
          <w:p w14:paraId="12EB49DF">
            <w:pPr>
              <w:jc w:val="center"/>
              <w:rPr>
                <w:rFonts w:ascii="宋体" w:hAnsi="宋体"/>
                <w:sz w:val="21"/>
                <w:szCs w:val="21"/>
              </w:rPr>
            </w:pPr>
          </w:p>
        </w:tc>
        <w:tc>
          <w:tcPr>
            <w:tcW w:w="1134" w:type="dxa"/>
            <w:vMerge w:val="continue"/>
            <w:noWrap w:val="0"/>
            <w:vAlign w:val="center"/>
          </w:tcPr>
          <w:p w14:paraId="06D6073E">
            <w:pPr>
              <w:jc w:val="center"/>
              <w:rPr>
                <w:rFonts w:ascii="宋体" w:hAnsi="宋体"/>
                <w:sz w:val="21"/>
                <w:szCs w:val="21"/>
              </w:rPr>
            </w:pPr>
          </w:p>
        </w:tc>
        <w:tc>
          <w:tcPr>
            <w:tcW w:w="1134" w:type="dxa"/>
            <w:vMerge w:val="continue"/>
            <w:noWrap w:val="0"/>
            <w:vAlign w:val="center"/>
          </w:tcPr>
          <w:p w14:paraId="45EEF0BB">
            <w:pPr>
              <w:jc w:val="center"/>
              <w:rPr>
                <w:rFonts w:ascii="宋体" w:hAnsi="宋体"/>
                <w:sz w:val="21"/>
                <w:szCs w:val="21"/>
              </w:rPr>
            </w:pPr>
          </w:p>
        </w:tc>
        <w:tc>
          <w:tcPr>
            <w:tcW w:w="5406" w:type="dxa"/>
            <w:noWrap w:val="0"/>
            <w:vAlign w:val="top"/>
          </w:tcPr>
          <w:p w14:paraId="3A0934A4">
            <w:pPr>
              <w:rPr>
                <w:rFonts w:hint="eastAsia" w:ascii="宋体" w:hAnsi="宋体" w:eastAsia="宋体"/>
                <w:sz w:val="21"/>
                <w:szCs w:val="21"/>
                <w:lang w:eastAsia="zh-CN"/>
              </w:rPr>
            </w:pPr>
            <w:r>
              <w:rPr>
                <w:rFonts w:hint="eastAsia" w:ascii="宋体" w:hAnsi="宋体"/>
                <w:sz w:val="21"/>
                <w:szCs w:val="21"/>
              </w:rPr>
              <w:t>深度合作方案、持续降本措施，视情况得</w:t>
            </w:r>
            <w:r>
              <w:rPr>
                <w:rFonts w:ascii="宋体" w:hAnsi="宋体"/>
                <w:sz w:val="21"/>
                <w:szCs w:val="21"/>
              </w:rPr>
              <w:t>1-10</w:t>
            </w:r>
            <w:r>
              <w:rPr>
                <w:rFonts w:hint="eastAsia" w:ascii="宋体" w:hAnsi="宋体"/>
                <w:sz w:val="21"/>
                <w:szCs w:val="21"/>
                <w:lang w:eastAsia="zh-CN"/>
              </w:rPr>
              <w:t>。</w:t>
            </w:r>
          </w:p>
        </w:tc>
        <w:tc>
          <w:tcPr>
            <w:tcW w:w="1276" w:type="dxa"/>
            <w:noWrap w:val="0"/>
            <w:vAlign w:val="center"/>
          </w:tcPr>
          <w:p w14:paraId="688A8C51">
            <w:pPr>
              <w:jc w:val="center"/>
              <w:rPr>
                <w:rFonts w:hint="eastAsia" w:ascii="宋体" w:hAnsi="宋体"/>
                <w:sz w:val="21"/>
                <w:szCs w:val="21"/>
              </w:rPr>
            </w:pPr>
            <w:r>
              <w:rPr>
                <w:rFonts w:hint="eastAsia" w:ascii="宋体" w:hAnsi="宋体"/>
                <w:sz w:val="21"/>
                <w:szCs w:val="21"/>
              </w:rPr>
              <w:t>10</w:t>
            </w:r>
          </w:p>
        </w:tc>
      </w:tr>
      <w:tr w14:paraId="07C7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6BF34D7A">
            <w:pPr>
              <w:jc w:val="center"/>
              <w:rPr>
                <w:rFonts w:ascii="宋体" w:hAnsi="宋体"/>
                <w:sz w:val="21"/>
                <w:szCs w:val="21"/>
              </w:rPr>
            </w:pPr>
          </w:p>
        </w:tc>
        <w:tc>
          <w:tcPr>
            <w:tcW w:w="831" w:type="dxa"/>
            <w:vMerge w:val="continue"/>
            <w:noWrap w:val="0"/>
            <w:vAlign w:val="center"/>
          </w:tcPr>
          <w:p w14:paraId="5BC03861">
            <w:pPr>
              <w:jc w:val="center"/>
              <w:rPr>
                <w:rFonts w:ascii="宋体" w:hAnsi="宋体"/>
                <w:sz w:val="21"/>
                <w:szCs w:val="21"/>
              </w:rPr>
            </w:pPr>
          </w:p>
        </w:tc>
        <w:tc>
          <w:tcPr>
            <w:tcW w:w="2268" w:type="dxa"/>
            <w:gridSpan w:val="2"/>
            <w:vMerge w:val="restart"/>
            <w:noWrap w:val="0"/>
            <w:vAlign w:val="center"/>
          </w:tcPr>
          <w:p w14:paraId="68BCD11F">
            <w:pPr>
              <w:jc w:val="center"/>
              <w:rPr>
                <w:rFonts w:hint="eastAsia" w:ascii="宋体" w:hAnsi="宋体"/>
                <w:sz w:val="21"/>
                <w:szCs w:val="21"/>
              </w:rPr>
            </w:pPr>
            <w:r>
              <w:rPr>
                <w:rFonts w:hint="eastAsia" w:ascii="宋体" w:hAnsi="宋体"/>
                <w:sz w:val="21"/>
                <w:szCs w:val="21"/>
              </w:rPr>
              <w:t>质量保障</w:t>
            </w:r>
          </w:p>
        </w:tc>
        <w:tc>
          <w:tcPr>
            <w:tcW w:w="5406" w:type="dxa"/>
            <w:noWrap w:val="0"/>
            <w:vAlign w:val="top"/>
          </w:tcPr>
          <w:p w14:paraId="1D06753B">
            <w:pPr>
              <w:rPr>
                <w:rFonts w:hint="eastAsia" w:ascii="宋体" w:hAnsi="宋体"/>
                <w:sz w:val="21"/>
                <w:szCs w:val="21"/>
              </w:rPr>
            </w:pPr>
            <w:r>
              <w:rPr>
                <w:rFonts w:hint="eastAsia" w:ascii="宋体" w:hAnsi="宋体"/>
                <w:sz w:val="21"/>
                <w:szCs w:val="21"/>
              </w:rPr>
              <w:t>质量保证体系完整，措施有力，能有项目控制计划和质量保证相关承诺。根据提供的资料从优到劣进行综合评审排序，自主赋分0</w:t>
            </w:r>
            <w:r>
              <w:rPr>
                <w:rFonts w:ascii="宋体" w:hAnsi="宋体"/>
                <w:sz w:val="21"/>
                <w:szCs w:val="21"/>
              </w:rPr>
              <w:t>-20</w:t>
            </w:r>
            <w:r>
              <w:rPr>
                <w:rFonts w:hint="eastAsia" w:ascii="宋体" w:hAnsi="宋体"/>
                <w:sz w:val="21"/>
                <w:szCs w:val="21"/>
              </w:rPr>
              <w:t>。</w:t>
            </w:r>
          </w:p>
        </w:tc>
        <w:tc>
          <w:tcPr>
            <w:tcW w:w="1276" w:type="dxa"/>
            <w:noWrap w:val="0"/>
            <w:vAlign w:val="center"/>
          </w:tcPr>
          <w:p w14:paraId="1A6CC066">
            <w:pPr>
              <w:jc w:val="center"/>
              <w:rPr>
                <w:rFonts w:hint="eastAsia" w:ascii="宋体" w:hAnsi="宋体"/>
                <w:sz w:val="21"/>
                <w:szCs w:val="21"/>
              </w:rPr>
            </w:pPr>
            <w:r>
              <w:rPr>
                <w:rFonts w:hint="eastAsia" w:ascii="宋体" w:hAnsi="宋体"/>
                <w:sz w:val="21"/>
                <w:szCs w:val="21"/>
              </w:rPr>
              <w:t>20</w:t>
            </w:r>
          </w:p>
        </w:tc>
      </w:tr>
      <w:tr w14:paraId="4E5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846" w:type="dxa"/>
            <w:vMerge w:val="continue"/>
            <w:noWrap w:val="0"/>
            <w:vAlign w:val="center"/>
          </w:tcPr>
          <w:p w14:paraId="5D3758E8">
            <w:pPr>
              <w:jc w:val="center"/>
              <w:rPr>
                <w:rFonts w:ascii="宋体" w:hAnsi="宋体"/>
                <w:sz w:val="21"/>
                <w:szCs w:val="21"/>
              </w:rPr>
            </w:pPr>
          </w:p>
        </w:tc>
        <w:tc>
          <w:tcPr>
            <w:tcW w:w="831" w:type="dxa"/>
            <w:vMerge w:val="continue"/>
            <w:noWrap w:val="0"/>
            <w:vAlign w:val="center"/>
          </w:tcPr>
          <w:p w14:paraId="26CABD7B">
            <w:pPr>
              <w:jc w:val="center"/>
              <w:rPr>
                <w:rFonts w:ascii="宋体" w:hAnsi="宋体"/>
                <w:sz w:val="21"/>
                <w:szCs w:val="21"/>
              </w:rPr>
            </w:pPr>
          </w:p>
        </w:tc>
        <w:tc>
          <w:tcPr>
            <w:tcW w:w="2268" w:type="dxa"/>
            <w:gridSpan w:val="2"/>
            <w:vMerge w:val="continue"/>
            <w:noWrap w:val="0"/>
            <w:vAlign w:val="center"/>
          </w:tcPr>
          <w:p w14:paraId="6EE8CC32">
            <w:pPr>
              <w:jc w:val="center"/>
              <w:rPr>
                <w:rFonts w:hint="eastAsia" w:ascii="宋体" w:hAnsi="宋体"/>
                <w:sz w:val="21"/>
                <w:szCs w:val="21"/>
              </w:rPr>
            </w:pPr>
          </w:p>
        </w:tc>
        <w:tc>
          <w:tcPr>
            <w:tcW w:w="5406" w:type="dxa"/>
            <w:noWrap w:val="0"/>
            <w:vAlign w:val="top"/>
          </w:tcPr>
          <w:p w14:paraId="0B1AA704">
            <w:pPr>
              <w:rPr>
                <w:rFonts w:hint="eastAsia" w:ascii="宋体" w:hAnsi="宋体"/>
                <w:sz w:val="21"/>
                <w:szCs w:val="21"/>
              </w:rPr>
            </w:pPr>
            <w:r>
              <w:rPr>
                <w:rFonts w:hint="eastAsia" w:ascii="宋体" w:hAnsi="宋体"/>
                <w:sz w:val="21"/>
                <w:szCs w:val="21"/>
              </w:rPr>
              <w:t>喷涂作业能力、应急服务满足招标文件要求，合理有效、切实可行，自主赋分0</w:t>
            </w:r>
            <w:r>
              <w:rPr>
                <w:rFonts w:ascii="宋体" w:hAnsi="宋体"/>
                <w:sz w:val="21"/>
                <w:szCs w:val="21"/>
              </w:rPr>
              <w:t>-10</w:t>
            </w:r>
            <w:r>
              <w:rPr>
                <w:rFonts w:hint="eastAsia" w:ascii="宋体" w:hAnsi="宋体"/>
                <w:sz w:val="21"/>
                <w:szCs w:val="21"/>
              </w:rPr>
              <w:t>。</w:t>
            </w:r>
          </w:p>
        </w:tc>
        <w:tc>
          <w:tcPr>
            <w:tcW w:w="1276" w:type="dxa"/>
            <w:noWrap w:val="0"/>
            <w:vAlign w:val="center"/>
          </w:tcPr>
          <w:p w14:paraId="387E5144">
            <w:pPr>
              <w:jc w:val="center"/>
              <w:rPr>
                <w:rFonts w:hint="eastAsia" w:ascii="宋体" w:hAnsi="宋体"/>
                <w:sz w:val="21"/>
                <w:szCs w:val="21"/>
              </w:rPr>
            </w:pPr>
            <w:r>
              <w:rPr>
                <w:rFonts w:hint="eastAsia" w:ascii="宋体" w:hAnsi="宋体"/>
                <w:sz w:val="21"/>
                <w:szCs w:val="21"/>
              </w:rPr>
              <w:t>10</w:t>
            </w:r>
          </w:p>
        </w:tc>
      </w:tr>
      <w:tr w14:paraId="1C141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846" w:type="dxa"/>
            <w:vMerge w:val="continue"/>
            <w:noWrap w:val="0"/>
            <w:vAlign w:val="center"/>
          </w:tcPr>
          <w:p w14:paraId="1EC389E5">
            <w:pPr>
              <w:jc w:val="center"/>
              <w:rPr>
                <w:rFonts w:ascii="宋体" w:hAnsi="宋体"/>
                <w:sz w:val="21"/>
                <w:szCs w:val="21"/>
              </w:rPr>
            </w:pPr>
          </w:p>
        </w:tc>
        <w:tc>
          <w:tcPr>
            <w:tcW w:w="831" w:type="dxa"/>
            <w:vMerge w:val="continue"/>
            <w:noWrap w:val="0"/>
            <w:vAlign w:val="center"/>
          </w:tcPr>
          <w:p w14:paraId="38C7ED68">
            <w:pPr>
              <w:jc w:val="center"/>
              <w:rPr>
                <w:rFonts w:ascii="宋体" w:hAnsi="宋体"/>
                <w:sz w:val="21"/>
                <w:szCs w:val="21"/>
              </w:rPr>
            </w:pPr>
          </w:p>
        </w:tc>
        <w:tc>
          <w:tcPr>
            <w:tcW w:w="2268" w:type="dxa"/>
            <w:gridSpan w:val="2"/>
            <w:noWrap w:val="0"/>
            <w:vAlign w:val="center"/>
          </w:tcPr>
          <w:p w14:paraId="2B5D395A">
            <w:pPr>
              <w:jc w:val="center"/>
              <w:rPr>
                <w:rFonts w:hint="eastAsia" w:ascii="宋体" w:hAnsi="宋体"/>
                <w:sz w:val="21"/>
                <w:szCs w:val="21"/>
              </w:rPr>
            </w:pPr>
            <w:r>
              <w:rPr>
                <w:rFonts w:hint="eastAsia" w:ascii="宋体" w:hAnsi="宋体"/>
                <w:sz w:val="21"/>
                <w:szCs w:val="21"/>
              </w:rPr>
              <w:t>项目管理</w:t>
            </w:r>
          </w:p>
        </w:tc>
        <w:tc>
          <w:tcPr>
            <w:tcW w:w="5406" w:type="dxa"/>
            <w:noWrap w:val="0"/>
            <w:vAlign w:val="top"/>
          </w:tcPr>
          <w:p w14:paraId="562B7B34">
            <w:pPr>
              <w:rPr>
                <w:rFonts w:hint="default" w:ascii="宋体" w:hAnsi="宋体" w:eastAsia="宋体"/>
                <w:sz w:val="21"/>
                <w:szCs w:val="21"/>
                <w:lang w:val="en-US" w:eastAsia="zh-CN"/>
              </w:rPr>
            </w:pPr>
            <w:r>
              <w:rPr>
                <w:rFonts w:hint="eastAsia" w:ascii="宋体" w:hAnsi="宋体"/>
                <w:sz w:val="21"/>
                <w:szCs w:val="21"/>
              </w:rPr>
              <w:t>保证现场按5S标准管理，有管理流程或文件要求，根据流程或文件覆盖度、详细度，自主赋分1-</w:t>
            </w:r>
            <w:r>
              <w:rPr>
                <w:rFonts w:hint="eastAsia" w:ascii="宋体" w:hAnsi="宋体"/>
                <w:sz w:val="21"/>
                <w:szCs w:val="21"/>
                <w:lang w:val="en-US" w:eastAsia="zh-CN"/>
              </w:rPr>
              <w:t>10。</w:t>
            </w:r>
          </w:p>
        </w:tc>
        <w:tc>
          <w:tcPr>
            <w:tcW w:w="1276" w:type="dxa"/>
            <w:noWrap w:val="0"/>
            <w:vAlign w:val="center"/>
          </w:tcPr>
          <w:p w14:paraId="587E6901">
            <w:pPr>
              <w:jc w:val="center"/>
              <w:rPr>
                <w:rFonts w:hint="default" w:ascii="宋体" w:hAnsi="宋体" w:eastAsia="宋体"/>
                <w:sz w:val="21"/>
                <w:szCs w:val="21"/>
                <w:lang w:val="en-US" w:eastAsia="zh-CN"/>
              </w:rPr>
            </w:pPr>
            <w:r>
              <w:rPr>
                <w:rFonts w:hint="eastAsia" w:ascii="宋体" w:hAnsi="宋体"/>
                <w:sz w:val="21"/>
                <w:szCs w:val="21"/>
                <w:lang w:val="en-US" w:eastAsia="zh-CN"/>
              </w:rPr>
              <w:t>10</w:t>
            </w:r>
          </w:p>
        </w:tc>
      </w:tr>
      <w:tr w14:paraId="55BC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46" w:type="dxa"/>
            <w:vMerge w:val="continue"/>
            <w:noWrap w:val="0"/>
            <w:vAlign w:val="center"/>
          </w:tcPr>
          <w:p w14:paraId="57EFB739">
            <w:pPr>
              <w:jc w:val="center"/>
              <w:rPr>
                <w:rFonts w:ascii="宋体" w:hAnsi="宋体"/>
                <w:sz w:val="21"/>
                <w:szCs w:val="21"/>
              </w:rPr>
            </w:pPr>
          </w:p>
        </w:tc>
        <w:tc>
          <w:tcPr>
            <w:tcW w:w="831" w:type="dxa"/>
            <w:vMerge w:val="continue"/>
            <w:noWrap w:val="0"/>
            <w:vAlign w:val="center"/>
          </w:tcPr>
          <w:p w14:paraId="3D660327">
            <w:pPr>
              <w:jc w:val="center"/>
              <w:rPr>
                <w:rFonts w:ascii="宋体" w:hAnsi="宋体"/>
                <w:sz w:val="21"/>
                <w:szCs w:val="21"/>
              </w:rPr>
            </w:pPr>
          </w:p>
        </w:tc>
        <w:tc>
          <w:tcPr>
            <w:tcW w:w="2268" w:type="dxa"/>
            <w:gridSpan w:val="2"/>
            <w:noWrap w:val="0"/>
            <w:vAlign w:val="center"/>
          </w:tcPr>
          <w:p w14:paraId="31EB007C">
            <w:pPr>
              <w:jc w:val="center"/>
              <w:rPr>
                <w:rFonts w:hint="eastAsia" w:ascii="宋体" w:hAnsi="宋体"/>
                <w:sz w:val="21"/>
                <w:szCs w:val="21"/>
              </w:rPr>
            </w:pPr>
            <w:r>
              <w:rPr>
                <w:rFonts w:hint="eastAsia" w:ascii="宋体" w:hAnsi="宋体"/>
                <w:sz w:val="21"/>
                <w:szCs w:val="21"/>
              </w:rPr>
              <w:t>业绩</w:t>
            </w:r>
          </w:p>
        </w:tc>
        <w:tc>
          <w:tcPr>
            <w:tcW w:w="5406" w:type="dxa"/>
            <w:noWrap w:val="0"/>
            <w:vAlign w:val="top"/>
          </w:tcPr>
          <w:p w14:paraId="50C21FC1">
            <w:pPr>
              <w:rPr>
                <w:rFonts w:hint="eastAsia" w:ascii="宋体" w:hAnsi="宋体"/>
                <w:sz w:val="21"/>
                <w:szCs w:val="21"/>
              </w:rPr>
            </w:pPr>
            <w:r>
              <w:rPr>
                <w:rFonts w:hint="eastAsia" w:ascii="宋体" w:hAnsi="宋体"/>
                <w:sz w:val="21"/>
                <w:szCs w:val="21"/>
              </w:rPr>
              <w:t>提供3份以上投标同类业绩，得10分；提供3份得6分；提供2份得4分；提供1份证明材料的，得2分；无证明材料的，不得分。</w:t>
            </w:r>
          </w:p>
        </w:tc>
        <w:tc>
          <w:tcPr>
            <w:tcW w:w="1276" w:type="dxa"/>
            <w:noWrap w:val="0"/>
            <w:vAlign w:val="center"/>
          </w:tcPr>
          <w:p w14:paraId="6D32FE6D">
            <w:pPr>
              <w:jc w:val="center"/>
              <w:rPr>
                <w:rFonts w:hint="eastAsia" w:ascii="宋体" w:hAnsi="宋体"/>
                <w:sz w:val="21"/>
                <w:szCs w:val="21"/>
              </w:rPr>
            </w:pPr>
            <w:r>
              <w:rPr>
                <w:rFonts w:hint="eastAsia" w:ascii="宋体" w:hAnsi="宋体"/>
                <w:sz w:val="21"/>
                <w:szCs w:val="21"/>
              </w:rPr>
              <w:t>10</w:t>
            </w:r>
          </w:p>
        </w:tc>
      </w:tr>
      <w:tr w14:paraId="09F33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627" w:type="dxa"/>
            <w:gridSpan w:val="6"/>
            <w:noWrap w:val="0"/>
            <w:vAlign w:val="top"/>
          </w:tcPr>
          <w:p w14:paraId="3E8207FB">
            <w:pPr>
              <w:numPr>
                <w:ilvl w:val="0"/>
                <w:numId w:val="28"/>
              </w:numP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技术标评分标准如上，商务标评分标准：当前轮次投标报价最低的投标报价为评标基准价，其价格分为100分（标准分）。其他投标人的价格分统一按照下列公式计算：投标报价得分=(评标基准价／投标报价)×100。</w:t>
            </w:r>
          </w:p>
          <w:p w14:paraId="04729922">
            <w:pPr>
              <w:numPr>
                <w:ilvl w:val="0"/>
                <w:numId w:val="0"/>
              </w:numPr>
              <w:rPr>
                <w:rFonts w:hint="default" w:ascii="宋体" w:hAnsi="宋体" w:eastAsia="宋体"/>
                <w:b/>
                <w:bCs/>
                <w:sz w:val="21"/>
                <w:szCs w:val="21"/>
                <w:lang w:val="en-US" w:eastAsia="zh-CN"/>
              </w:rPr>
            </w:pPr>
            <w:r>
              <w:rPr>
                <w:rFonts w:hint="eastAsia" w:ascii="宋体" w:hAnsi="宋体" w:eastAsia="宋体" w:cs="宋体"/>
                <w:sz w:val="20"/>
                <w:szCs w:val="20"/>
                <w:lang w:val="en-US" w:eastAsia="zh-CN"/>
              </w:rPr>
              <w:t>2、采用综合评标法：技术标分数占比30%；商务标分数占比：70%。小数点后保留二位，第三位四舍五入。</w:t>
            </w:r>
          </w:p>
        </w:tc>
      </w:tr>
      <w:tr w14:paraId="50CA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627" w:type="dxa"/>
            <w:gridSpan w:val="6"/>
            <w:noWrap w:val="0"/>
            <w:vAlign w:val="top"/>
          </w:tcPr>
          <w:p w14:paraId="69E28AD5">
            <w:pPr>
              <w:rPr>
                <w:rFonts w:hint="eastAsia" w:ascii="宋体" w:hAnsi="宋体"/>
                <w:b/>
                <w:bCs/>
                <w:sz w:val="21"/>
                <w:szCs w:val="21"/>
              </w:rPr>
            </w:pPr>
            <w:r>
              <w:rPr>
                <w:rFonts w:hint="eastAsia" w:ascii="宋体" w:hAnsi="宋体"/>
                <w:b/>
                <w:bCs/>
                <w:sz w:val="21"/>
                <w:szCs w:val="21"/>
                <w:lang w:val="en-US" w:eastAsia="zh-CN"/>
              </w:rPr>
              <w:t>二</w:t>
            </w:r>
            <w:r>
              <w:rPr>
                <w:rFonts w:hint="eastAsia" w:ascii="宋体" w:hAnsi="宋体"/>
                <w:b/>
                <w:bCs/>
                <w:sz w:val="21"/>
                <w:szCs w:val="21"/>
              </w:rPr>
              <w:t>、整体要求</w:t>
            </w:r>
          </w:p>
        </w:tc>
      </w:tr>
      <w:tr w14:paraId="65DB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627" w:type="dxa"/>
            <w:gridSpan w:val="6"/>
            <w:noWrap w:val="0"/>
            <w:vAlign w:val="top"/>
          </w:tcPr>
          <w:p w14:paraId="4E633887">
            <w:pPr>
              <w:rPr>
                <w:rFonts w:hint="eastAsia" w:ascii="宋体" w:hAnsi="宋体"/>
                <w:sz w:val="21"/>
                <w:szCs w:val="21"/>
              </w:rPr>
            </w:pPr>
            <w:r>
              <w:rPr>
                <w:rFonts w:hint="eastAsia" w:ascii="宋体" w:hAnsi="宋体"/>
                <w:sz w:val="21"/>
                <w:szCs w:val="21"/>
              </w:rPr>
              <w:t>1、各投标单位应符合投标资格，通过资格审核且缴纳投标保证金方为有效投标。</w:t>
            </w:r>
          </w:p>
        </w:tc>
      </w:tr>
      <w:tr w14:paraId="558A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27" w:type="dxa"/>
            <w:gridSpan w:val="6"/>
            <w:noWrap w:val="0"/>
            <w:vAlign w:val="top"/>
          </w:tcPr>
          <w:p w14:paraId="6C152875">
            <w:pPr>
              <w:rPr>
                <w:rFonts w:hint="eastAsia" w:ascii="宋体" w:hAnsi="宋体"/>
                <w:sz w:val="21"/>
                <w:szCs w:val="21"/>
              </w:rPr>
            </w:pPr>
            <w:r>
              <w:rPr>
                <w:rFonts w:hint="eastAsia" w:ascii="宋体" w:hAnsi="宋体"/>
                <w:sz w:val="21"/>
                <w:szCs w:val="21"/>
              </w:rPr>
              <w:t>2、投标单位提交的投标文件和资料必须真实有效。</w:t>
            </w:r>
          </w:p>
        </w:tc>
      </w:tr>
      <w:tr w14:paraId="4023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0627" w:type="dxa"/>
            <w:gridSpan w:val="6"/>
            <w:noWrap w:val="0"/>
            <w:vAlign w:val="top"/>
          </w:tcPr>
          <w:p w14:paraId="7DDAF652">
            <w:pPr>
              <w:numPr>
                <w:ilvl w:val="0"/>
                <w:numId w:val="0"/>
              </w:numPr>
              <w:rPr>
                <w:rFonts w:hint="default" w:ascii="宋体" w:hAnsi="宋体" w:eastAsia="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合同签订前，招标方有权组织联合小组（财务、技术、设备、质量等）到中标候选人实地审核，如发现投标文件和资料有弄虚作假，招标方有权取消其中标候选人资格，同时招标方有权扣留其投标保证金。</w:t>
            </w:r>
          </w:p>
        </w:tc>
      </w:tr>
    </w:tbl>
    <w:p w14:paraId="375BE0C3">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5"/>
      <w:bookmarkStart w:id="12" w:name="OLE_LINK26"/>
      <w:bookmarkStart w:id="13" w:name="OLE_LINK28"/>
      <w:bookmarkStart w:id="14" w:name="OLE_LINK27"/>
      <w:bookmarkStart w:id="15" w:name="OLE_LINK29"/>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463DA3A7">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付款节点：</w:t>
      </w:r>
    </w:p>
    <w:p w14:paraId="16608A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45C26BF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yellow"/>
          <w:lang w:val="en-US" w:eastAsia="zh-CN"/>
        </w:rPr>
      </w:pPr>
      <w:r>
        <w:rPr>
          <w:rFonts w:hint="eastAsia" w:ascii="宋体" w:hAnsi="宋体" w:cs="宋体"/>
          <w:sz w:val="21"/>
          <w:szCs w:val="21"/>
          <w:highlight w:val="yellow"/>
          <w:lang w:val="en-US" w:eastAsia="zh-CN"/>
        </w:rPr>
        <w:t>2.其他</w:t>
      </w:r>
    </w:p>
    <w:p w14:paraId="79B6409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投标人可以根据自身的技术、经验等优势以及对本招标文件及服务要求的理解，写明本招标项目应进行的优于本招标文件服务要求的其它方案或建议意见；投标人的这些努力，招标人表示感谢，并将有助于投标人优先胜出。</w:t>
      </w:r>
    </w:p>
    <w:p w14:paraId="25437A8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（二）即使有建议意见或建议方案，仍应依据本技术规范书和招标文件要求，编写符合要求的投标文件。建议方案或建议意见应以单独篇章或文件，予以说明。</w:t>
      </w:r>
    </w:p>
    <w:p w14:paraId="1BD10CA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（三）价格与支付</w:t>
      </w:r>
    </w:p>
    <w:p w14:paraId="221C1217">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1、合同价格指的是聚脲喷涂的服务费用，人员、劳保护品、工具、人员工伤保险、职业健康查体费用由承包商承担。</w:t>
      </w:r>
    </w:p>
    <w:p w14:paraId="3697679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2、此次招标，产量以50480辆，费用为***元/辆份（不含税价）、***元/辆份（含税价，税率13%），投标人最终报价应以单价形式体现。</w:t>
      </w:r>
    </w:p>
    <w:p w14:paraId="4D00599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合计不含税总价为：XX万元（计算逻辑：单辆份价格*预计产量50480辆），含税总价为：XX万元。</w:t>
      </w:r>
    </w:p>
    <w:p w14:paraId="5EBE06D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注：在招标人E采通中填写的报价为总价130.91万元（含税）。</w:t>
      </w:r>
    </w:p>
    <w:p w14:paraId="1F9DF81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付款结算方法：半年期商业汇票（包含银行承兑和商业承兑），挂账90天内付款。按月度整车入库数量为结算依据，按月（每月最后一天为结点）结算上月外包费用，中标人每月10日前开具增值税专用发票。增值税税率按照结算时国家规定税率执行，投标人开具金额为合同总价格100%的加工承揽类增值税专用发票，（如出现考核项，则为扣除相应考核款后金额）。</w:t>
      </w:r>
    </w:p>
    <w:p w14:paraId="14B395CB">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（四）转包及分包</w:t>
      </w:r>
    </w:p>
    <w:p w14:paraId="6DCA391E">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1、本工程严禁转包行为，如发现转包行为，招标人可终止合同，投标人将承担一切损失及相关法律责任。</w:t>
      </w:r>
    </w:p>
    <w:p w14:paraId="376E0B8E">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2、严格限制分包。中标后不准分包，否则招标人可终止合同，投标人将承担一切损失及相关法律责任。</w:t>
      </w:r>
    </w:p>
    <w:p w14:paraId="74F7740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五）本项业务预算≥130万元，履约保证金4万元。中标后，因自身经营原因主动提出退出的，需提前6个月提出退出书面申请，由业务主体责任方确定无其他违约责任，将保证金一次性无息100%返还中标方；提前3个月提出退出书面申请的，由业务主体责任方确定无其他违约责任， 将保证金一次性无息90%返还供方；提出申请时间不足3个月的，供方在服务期间的履约保证金不予返还。</w:t>
      </w:r>
    </w:p>
    <w:p w14:paraId="00FBE1A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经卡车公司相关部门评审，同意供方退出的，由业务主体责任方立即组织新供方的招标和引入。在招标期间和业务交接期间（交接期为3个月），原供方须无条件配合业务交接工作，确保业务正常运转。对于交接期间出现影响生产的情况，交接期第1个月由原供方承担70%责任，新供方承担 30%责任；交接期第2 个月，由原供方承担50%责任，新供方承担50%责任；交接期第3个月，由原供方承担30%责任，新供方承担70%责任</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6" w:name="_Toc47976607"/>
    </w:p>
    <w:p w14:paraId="243FF35F">
      <w:pPr>
        <w:rPr>
          <w:rFonts w:hint="eastAsia"/>
        </w:rPr>
      </w:pPr>
      <w:r>
        <w:rPr>
          <w:rFonts w:hint="eastAsia"/>
        </w:rPr>
        <w:br w:type="page"/>
      </w:r>
    </w:p>
    <w:p w14:paraId="4D4F85A8">
      <w:pPr>
        <w:pStyle w:val="71"/>
        <w:jc w:val="both"/>
        <w:rPr>
          <w:rFonts w:hint="eastAsia"/>
        </w:rPr>
      </w:pPr>
    </w:p>
    <w:bookmarkEnd w:id="16"/>
    <w:p w14:paraId="1FB6CA61">
      <w:pPr>
        <w:pStyle w:val="71"/>
        <w:numPr>
          <w:ilvl w:val="0"/>
          <w:numId w:val="30"/>
        </w:numPr>
        <w:jc w:val="center"/>
        <w:rPr>
          <w:rFonts w:hint="eastAsia"/>
          <w:lang w:val="en-US" w:eastAsia="zh-CN"/>
        </w:rPr>
      </w:pPr>
      <w:bookmarkStart w:id="17" w:name="_Toc1910"/>
      <w:r>
        <w:rPr>
          <w:rFonts w:hint="eastAsia"/>
          <w:lang w:val="en-US" w:eastAsia="zh-CN"/>
        </w:rPr>
        <w:t>技术标书</w:t>
      </w:r>
      <w:bookmarkEnd w:id="17"/>
    </w:p>
    <w:p w14:paraId="2FF344B9">
      <w:pPr>
        <w:spacing w:line="480" w:lineRule="exact"/>
        <w:jc w:val="center"/>
        <w:rPr>
          <w:rFonts w:hint="eastAsia" w:ascii="黑体" w:hAnsi="宋体" w:eastAsia="黑体"/>
          <w:b/>
          <w:sz w:val="44"/>
          <w:szCs w:val="44"/>
        </w:rPr>
      </w:pPr>
      <w:r>
        <w:rPr>
          <w:rFonts w:hint="eastAsia" w:ascii="黑体" w:eastAsia="黑体"/>
          <w:b/>
          <w:sz w:val="44"/>
          <w:szCs w:val="44"/>
        </w:rPr>
        <w:t>技术规范</w:t>
      </w:r>
    </w:p>
    <w:p w14:paraId="22A040E7">
      <w:pPr>
        <w:pStyle w:val="3"/>
        <w:tabs>
          <w:tab w:val="left" w:pos="576"/>
        </w:tabs>
        <w:spacing w:before="0" w:after="0"/>
        <w:ind w:left="576" w:hanging="576"/>
        <w:rPr>
          <w:rFonts w:hint="eastAsia"/>
          <w:b/>
        </w:rPr>
      </w:pPr>
      <w:r>
        <w:rPr>
          <w:rFonts w:hint="eastAsia"/>
          <w:b/>
        </w:rPr>
        <w:t>一、基本要求</w:t>
      </w:r>
    </w:p>
    <w:p w14:paraId="78E6B3A2">
      <w:pPr>
        <w:spacing w:line="360" w:lineRule="auto"/>
        <w:ind w:firstLine="315" w:firstLineChars="150"/>
        <w:rPr>
          <w:rFonts w:hint="eastAsia" w:ascii="宋体" w:hAnsi="宋体"/>
        </w:rPr>
      </w:pPr>
      <w:r>
        <w:rPr>
          <w:rFonts w:hint="eastAsia" w:ascii="宋体" w:hAnsi="宋体"/>
        </w:rPr>
        <w:t>1、投标人所供服务涉及内容，必须符合中国最新版的法律、法规和相关标准、规范的要求，符合项目所在地政府有关特殊要求。</w:t>
      </w:r>
    </w:p>
    <w:p w14:paraId="45864643">
      <w:pPr>
        <w:spacing w:line="360" w:lineRule="auto"/>
        <w:ind w:firstLine="315" w:firstLineChars="150"/>
        <w:rPr>
          <w:rFonts w:hint="eastAsia" w:ascii="宋体" w:hAnsi="宋体"/>
        </w:rPr>
      </w:pPr>
      <w:r>
        <w:rPr>
          <w:rFonts w:hint="eastAsia" w:ascii="宋体" w:hAnsi="宋体"/>
        </w:rPr>
        <w:t>2、投标人应对招标人提出的各项要求同意进行承诺，并保证招标人不因此受到任何侵权指控和实际损失。</w:t>
      </w:r>
    </w:p>
    <w:p w14:paraId="4B424E48">
      <w:pPr>
        <w:spacing w:line="360" w:lineRule="auto"/>
        <w:ind w:firstLine="315" w:firstLineChars="150"/>
        <w:rPr>
          <w:rFonts w:hint="eastAsia" w:ascii="宋体" w:hAnsi="宋体"/>
        </w:rPr>
      </w:pPr>
      <w:r>
        <w:rPr>
          <w:rFonts w:hint="eastAsia" w:ascii="宋体" w:hAnsi="宋体"/>
        </w:rPr>
        <w:t>3、投标人应保证所供服务的先进性、可靠性、经济性和实用性。</w:t>
      </w:r>
    </w:p>
    <w:p w14:paraId="49C2071C">
      <w:pPr>
        <w:spacing w:line="480" w:lineRule="exact"/>
        <w:rPr>
          <w:rFonts w:hint="eastAsia" w:ascii="宋体" w:hAnsi="宋体"/>
          <w:b/>
        </w:rPr>
      </w:pPr>
      <w:r>
        <w:rPr>
          <w:rFonts w:hint="eastAsia" w:ascii="宋体" w:hAnsi="宋体"/>
          <w:b/>
        </w:rPr>
        <w:t>二、服务内容及要求</w:t>
      </w:r>
    </w:p>
    <w:p w14:paraId="339786AD">
      <w:pPr>
        <w:spacing w:line="480" w:lineRule="exact"/>
        <w:ind w:firstLine="480" w:firstLineChars="200"/>
        <w:rPr>
          <w:rStyle w:val="69"/>
          <w:sz w:val="24"/>
        </w:rPr>
      </w:pPr>
      <w:r>
        <w:rPr>
          <w:rStyle w:val="69"/>
          <w:rFonts w:hint="eastAsia"/>
          <w:sz w:val="24"/>
        </w:rPr>
        <w:t>（一）服务内容</w:t>
      </w:r>
      <w:r>
        <w:rPr>
          <w:rStyle w:val="69"/>
          <w:sz w:val="24"/>
        </w:rPr>
        <w:t>与基本要求</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218"/>
        <w:gridCol w:w="6482"/>
      </w:tblGrid>
      <w:tr w14:paraId="41C16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57167BF4">
            <w:pPr>
              <w:spacing w:line="360" w:lineRule="exact"/>
              <w:jc w:val="center"/>
              <w:rPr>
                <w:rFonts w:ascii="宋体" w:hAnsi="宋体"/>
                <w:kern w:val="0"/>
                <w:sz w:val="21"/>
                <w:szCs w:val="21"/>
              </w:rPr>
            </w:pPr>
            <w:r>
              <w:rPr>
                <w:rFonts w:hint="eastAsia" w:ascii="宋体" w:hAnsi="宋体"/>
                <w:kern w:val="0"/>
                <w:sz w:val="21"/>
                <w:szCs w:val="21"/>
              </w:rPr>
              <w:t>序号</w:t>
            </w:r>
          </w:p>
        </w:tc>
        <w:tc>
          <w:tcPr>
            <w:tcW w:w="1218" w:type="dxa"/>
            <w:vAlign w:val="center"/>
          </w:tcPr>
          <w:p w14:paraId="149E2911">
            <w:pPr>
              <w:spacing w:line="360" w:lineRule="exact"/>
              <w:jc w:val="center"/>
              <w:rPr>
                <w:rFonts w:ascii="宋体" w:hAnsi="宋体"/>
                <w:kern w:val="0"/>
                <w:sz w:val="21"/>
                <w:szCs w:val="21"/>
              </w:rPr>
            </w:pPr>
            <w:r>
              <w:rPr>
                <w:rFonts w:hint="eastAsia" w:ascii="宋体" w:hAnsi="宋体"/>
                <w:kern w:val="0"/>
                <w:sz w:val="21"/>
                <w:szCs w:val="21"/>
              </w:rPr>
              <w:t>业务内容</w:t>
            </w:r>
          </w:p>
        </w:tc>
        <w:tc>
          <w:tcPr>
            <w:tcW w:w="6482" w:type="dxa"/>
            <w:vAlign w:val="center"/>
          </w:tcPr>
          <w:p w14:paraId="129A3A75">
            <w:pPr>
              <w:spacing w:line="360" w:lineRule="exact"/>
              <w:jc w:val="center"/>
              <w:rPr>
                <w:rFonts w:ascii="宋体" w:hAnsi="宋体"/>
                <w:kern w:val="0"/>
                <w:sz w:val="21"/>
                <w:szCs w:val="21"/>
              </w:rPr>
            </w:pPr>
            <w:r>
              <w:rPr>
                <w:rFonts w:hint="eastAsia" w:ascii="宋体" w:hAnsi="宋体"/>
                <w:kern w:val="0"/>
                <w:sz w:val="21"/>
                <w:szCs w:val="21"/>
              </w:rPr>
              <w:t>基本要求</w:t>
            </w:r>
          </w:p>
        </w:tc>
      </w:tr>
      <w:tr w14:paraId="57392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38DFD2E">
            <w:pPr>
              <w:spacing w:line="360" w:lineRule="exact"/>
              <w:jc w:val="center"/>
              <w:rPr>
                <w:rFonts w:ascii="宋体" w:hAnsi="宋体"/>
                <w:kern w:val="0"/>
                <w:sz w:val="21"/>
                <w:szCs w:val="21"/>
              </w:rPr>
            </w:pPr>
            <w:r>
              <w:rPr>
                <w:rFonts w:hint="eastAsia" w:ascii="宋体" w:hAnsi="宋体"/>
                <w:kern w:val="0"/>
                <w:sz w:val="21"/>
                <w:szCs w:val="21"/>
              </w:rPr>
              <w:t>1</w:t>
            </w:r>
          </w:p>
        </w:tc>
        <w:tc>
          <w:tcPr>
            <w:tcW w:w="1218" w:type="dxa"/>
            <w:vAlign w:val="center"/>
          </w:tcPr>
          <w:p w14:paraId="693695DD">
            <w:pPr>
              <w:spacing w:line="360" w:lineRule="exact"/>
              <w:jc w:val="center"/>
              <w:rPr>
                <w:rFonts w:ascii="宋体" w:hAnsi="宋体"/>
                <w:kern w:val="0"/>
                <w:sz w:val="21"/>
                <w:szCs w:val="21"/>
              </w:rPr>
            </w:pPr>
            <w:r>
              <w:rPr>
                <w:rFonts w:hint="eastAsia" w:ascii="宋体" w:hAnsi="宋体" w:cs="仿宋_GB2312"/>
                <w:sz w:val="21"/>
                <w:szCs w:val="21"/>
              </w:rPr>
              <w:t>擦净修补</w:t>
            </w:r>
          </w:p>
        </w:tc>
        <w:tc>
          <w:tcPr>
            <w:tcW w:w="6482" w:type="dxa"/>
            <w:vAlign w:val="center"/>
          </w:tcPr>
          <w:p w14:paraId="6E203C6A">
            <w:pPr>
              <w:tabs>
                <w:tab w:val="left" w:pos="960"/>
              </w:tabs>
              <w:spacing w:line="320" w:lineRule="exact"/>
              <w:jc w:val="left"/>
              <w:rPr>
                <w:rFonts w:hint="eastAsia" w:ascii="宋体" w:hAnsi="宋体"/>
                <w:sz w:val="21"/>
                <w:szCs w:val="21"/>
              </w:rPr>
            </w:pPr>
            <w:r>
              <w:rPr>
                <w:rFonts w:hint="eastAsia" w:ascii="宋体" w:hAnsi="宋体"/>
                <w:sz w:val="21"/>
                <w:szCs w:val="21"/>
              </w:rPr>
              <w:t>（1）</w:t>
            </w:r>
            <w:r>
              <w:rPr>
                <w:rFonts w:hint="eastAsia" w:ascii="宋体" w:hAnsi="宋体"/>
                <w:kern w:val="0"/>
                <w:sz w:val="21"/>
                <w:szCs w:val="21"/>
              </w:rPr>
              <w:t>根据</w:t>
            </w:r>
            <w:r>
              <w:rPr>
                <w:rFonts w:hint="eastAsia" w:ascii="宋体" w:hAnsi="宋体"/>
                <w:sz w:val="21"/>
                <w:szCs w:val="21"/>
              </w:rPr>
              <w:t>卡车制造</w:t>
            </w:r>
            <w:r>
              <w:rPr>
                <w:rFonts w:hint="eastAsia" w:ascii="宋体" w:hAnsi="宋体"/>
                <w:kern w:val="0"/>
                <w:sz w:val="21"/>
                <w:szCs w:val="21"/>
              </w:rPr>
              <w:t>生产作业计划负责按计划完成聚脲喷涂工作，</w:t>
            </w:r>
            <w:r>
              <w:rPr>
                <w:rFonts w:hint="eastAsia" w:ascii="宋体" w:hAnsi="宋体" w:cs="仿宋_GB2312"/>
                <w:sz w:val="21"/>
                <w:szCs w:val="21"/>
              </w:rPr>
              <w:t>承包方在车辆停稳后放置安全墩和警示牌，</w:t>
            </w:r>
            <w:r>
              <w:rPr>
                <w:rFonts w:hint="eastAsia" w:ascii="宋体" w:hAnsi="宋体"/>
                <w:sz w:val="21"/>
                <w:szCs w:val="21"/>
              </w:rPr>
              <w:t>先用湿润的洁净的拖把、抹布去除车架的表面、零部件履盖车架的区域表面的灰尘、水渍及其他异物，再用干燥抹布擦拭一遍。若吸涂部位存在大量积水、灰尘时，可先使用压缩空气进行吹扫，再进行擦拭。车架表面的油污，可用洁净粘性纱布蘸取稀释剂擦拭去除。要求目视无可见污染。</w:t>
            </w:r>
          </w:p>
          <w:p w14:paraId="65BA9562">
            <w:pPr>
              <w:tabs>
                <w:tab w:val="left" w:pos="960"/>
              </w:tabs>
              <w:spacing w:line="320" w:lineRule="exact"/>
              <w:jc w:val="left"/>
              <w:rPr>
                <w:rFonts w:hint="eastAsia" w:ascii="宋体" w:hAnsi="宋体"/>
                <w:sz w:val="21"/>
                <w:szCs w:val="21"/>
              </w:rPr>
            </w:pPr>
            <w:r>
              <w:rPr>
                <w:rFonts w:hint="eastAsia" w:ascii="宋体" w:hAnsi="宋体"/>
                <w:sz w:val="21"/>
                <w:szCs w:val="21"/>
              </w:rPr>
              <w:t>（2）擦净顺序由上到下，由内到外。</w:t>
            </w:r>
          </w:p>
          <w:p w14:paraId="4201B994">
            <w:pPr>
              <w:tabs>
                <w:tab w:val="left" w:pos="960"/>
              </w:tabs>
              <w:spacing w:line="320" w:lineRule="exact"/>
              <w:jc w:val="left"/>
              <w:rPr>
                <w:rFonts w:hint="eastAsia" w:ascii="宋体" w:hAnsi="宋体"/>
                <w:szCs w:val="21"/>
              </w:rPr>
            </w:pPr>
            <w:r>
              <w:rPr>
                <w:rFonts w:hint="eastAsia" w:ascii="宋体" w:hAnsi="宋体"/>
                <w:sz w:val="21"/>
                <w:szCs w:val="21"/>
              </w:rPr>
              <w:t>（3）对整车磕碰锈蚀进行检查修补，修补要求详见整车修补工艺；</w:t>
            </w:r>
          </w:p>
        </w:tc>
      </w:tr>
      <w:tr w14:paraId="538A7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Align w:val="center"/>
          </w:tcPr>
          <w:p w14:paraId="46D75A83">
            <w:pPr>
              <w:spacing w:line="360" w:lineRule="exact"/>
              <w:jc w:val="center"/>
              <w:rPr>
                <w:rFonts w:ascii="宋体" w:hAnsi="宋体"/>
                <w:kern w:val="0"/>
                <w:sz w:val="21"/>
                <w:szCs w:val="21"/>
              </w:rPr>
            </w:pPr>
            <w:r>
              <w:rPr>
                <w:rFonts w:hint="eastAsia" w:ascii="宋体" w:hAnsi="宋体"/>
                <w:kern w:val="0"/>
                <w:sz w:val="21"/>
                <w:szCs w:val="21"/>
              </w:rPr>
              <w:t>2</w:t>
            </w:r>
          </w:p>
        </w:tc>
        <w:tc>
          <w:tcPr>
            <w:tcW w:w="1218" w:type="dxa"/>
            <w:vAlign w:val="center"/>
          </w:tcPr>
          <w:p w14:paraId="4EB820C4">
            <w:pPr>
              <w:spacing w:line="360" w:lineRule="exact"/>
              <w:jc w:val="center"/>
              <w:rPr>
                <w:rFonts w:hint="eastAsia" w:ascii="宋体" w:hAnsi="宋体"/>
                <w:kern w:val="0"/>
                <w:sz w:val="21"/>
                <w:szCs w:val="21"/>
              </w:rPr>
            </w:pPr>
            <w:r>
              <w:rPr>
                <w:rFonts w:hint="eastAsia" w:ascii="宋体" w:hAnsi="宋体" w:cs="仿宋_GB2312"/>
                <w:sz w:val="21"/>
                <w:szCs w:val="21"/>
              </w:rPr>
              <w:t>遮蔽防护</w:t>
            </w:r>
          </w:p>
        </w:tc>
        <w:tc>
          <w:tcPr>
            <w:tcW w:w="6482" w:type="dxa"/>
            <w:vAlign w:val="center"/>
          </w:tcPr>
          <w:p w14:paraId="08CDDC7E">
            <w:pPr>
              <w:pStyle w:val="62"/>
              <w:spacing w:line="360" w:lineRule="exact"/>
              <w:rPr>
                <w:rFonts w:hint="eastAsia" w:ascii="宋体" w:hAnsi="宋体"/>
                <w:kern w:val="0"/>
                <w:szCs w:val="21"/>
              </w:rPr>
            </w:pPr>
            <w:r>
              <w:rPr>
                <w:rFonts w:hint="eastAsia" w:ascii="宋体" w:hAnsi="宋体"/>
                <w:kern w:val="0"/>
                <w:szCs w:val="21"/>
              </w:rPr>
              <w:t>（1）用遮蔽布将油箱、电瓶箱、尿素箱、铝合金储气筒、轮胎、消声器、后尾灯、挡泥板遮蔽。</w:t>
            </w:r>
          </w:p>
          <w:p w14:paraId="5C9086B8">
            <w:pPr>
              <w:pStyle w:val="62"/>
              <w:spacing w:line="360" w:lineRule="exact"/>
              <w:rPr>
                <w:rFonts w:hint="eastAsia" w:ascii="宋体" w:hAnsi="宋体"/>
                <w:kern w:val="0"/>
                <w:szCs w:val="21"/>
              </w:rPr>
            </w:pPr>
            <w:r>
              <w:rPr>
                <w:rFonts w:hint="eastAsia" w:ascii="宋体" w:hAnsi="宋体"/>
                <w:kern w:val="0"/>
                <w:szCs w:val="21"/>
              </w:rPr>
              <w:t>（2）用专用遮蔽工装分别将倒车雷达、空气悬架气囊遮蔽。用遮蔽布遮蔽车架内侧空气悬架气囊。</w:t>
            </w:r>
          </w:p>
          <w:p w14:paraId="2F8D1C7B">
            <w:pPr>
              <w:pStyle w:val="62"/>
              <w:spacing w:line="360" w:lineRule="exact"/>
              <w:rPr>
                <w:rFonts w:hint="eastAsia" w:ascii="宋体" w:hAnsi="宋体"/>
                <w:kern w:val="0"/>
                <w:szCs w:val="21"/>
              </w:rPr>
            </w:pPr>
            <w:r>
              <w:rPr>
                <w:rFonts w:hint="eastAsia" w:ascii="宋体" w:hAnsi="宋体"/>
                <w:kern w:val="0"/>
                <w:szCs w:val="21"/>
              </w:rPr>
              <w:t>（3）遮蔽布清洗不少于1次／3天或更换。</w:t>
            </w:r>
          </w:p>
        </w:tc>
      </w:tr>
      <w:tr w14:paraId="3762A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Merge w:val="restart"/>
            <w:vAlign w:val="center"/>
          </w:tcPr>
          <w:p w14:paraId="027CA0A8">
            <w:pPr>
              <w:spacing w:line="360" w:lineRule="exact"/>
              <w:jc w:val="center"/>
              <w:rPr>
                <w:rFonts w:hint="eastAsia" w:ascii="宋体" w:hAnsi="宋体"/>
                <w:kern w:val="0"/>
                <w:sz w:val="21"/>
                <w:szCs w:val="21"/>
              </w:rPr>
            </w:pPr>
            <w:r>
              <w:rPr>
                <w:rFonts w:hint="eastAsia" w:ascii="宋体" w:hAnsi="宋体"/>
                <w:kern w:val="0"/>
                <w:sz w:val="21"/>
                <w:szCs w:val="21"/>
              </w:rPr>
              <w:t>3</w:t>
            </w:r>
          </w:p>
        </w:tc>
        <w:tc>
          <w:tcPr>
            <w:tcW w:w="1218" w:type="dxa"/>
            <w:vMerge w:val="restart"/>
            <w:vAlign w:val="center"/>
          </w:tcPr>
          <w:p w14:paraId="022BFDE3">
            <w:pPr>
              <w:spacing w:line="360" w:lineRule="exact"/>
              <w:jc w:val="center"/>
              <w:rPr>
                <w:rFonts w:ascii="宋体" w:hAnsi="宋体"/>
                <w:kern w:val="0"/>
                <w:sz w:val="21"/>
                <w:szCs w:val="21"/>
              </w:rPr>
            </w:pPr>
            <w:r>
              <w:rPr>
                <w:rFonts w:hint="eastAsia" w:ascii="宋体" w:hAnsi="宋体"/>
                <w:kern w:val="0"/>
                <w:sz w:val="21"/>
                <w:szCs w:val="21"/>
              </w:rPr>
              <w:t>喷涂聚脲清漆</w:t>
            </w:r>
          </w:p>
        </w:tc>
        <w:tc>
          <w:tcPr>
            <w:tcW w:w="6482" w:type="dxa"/>
            <w:vAlign w:val="center"/>
          </w:tcPr>
          <w:p w14:paraId="6CB7B16D">
            <w:pPr>
              <w:jc w:val="left"/>
              <w:rPr>
                <w:rFonts w:hint="eastAsia" w:ascii="宋体" w:hAnsi="宋体" w:cs="仿宋_GB2312"/>
                <w:sz w:val="21"/>
                <w:szCs w:val="21"/>
              </w:rPr>
            </w:pPr>
            <w:r>
              <w:rPr>
                <w:rFonts w:hint="eastAsia" w:ascii="宋体" w:hAnsi="宋体" w:cs="仿宋_GB2312"/>
                <w:sz w:val="21"/>
                <w:szCs w:val="21"/>
              </w:rPr>
              <w:t>调漆：</w:t>
            </w:r>
          </w:p>
          <w:p w14:paraId="5E1E89C5">
            <w:pPr>
              <w:jc w:val="left"/>
              <w:rPr>
                <w:rFonts w:hint="eastAsia" w:ascii="宋体" w:hAnsi="宋体" w:cs="仿宋_GB2312"/>
                <w:sz w:val="21"/>
                <w:szCs w:val="21"/>
              </w:rPr>
            </w:pPr>
            <w:r>
              <w:rPr>
                <w:rFonts w:hint="eastAsia" w:ascii="宋体" w:hAnsi="宋体" w:cs="仿宋_GB2312"/>
                <w:sz w:val="21"/>
                <w:szCs w:val="21"/>
              </w:rPr>
              <w:t>（1）清漆调配：电子秤称重调配聚脲清漆，聚脲清漆／固化剂</w:t>
            </w:r>
          </w:p>
          <w:p w14:paraId="54982168">
            <w:pPr>
              <w:jc w:val="left"/>
              <w:rPr>
                <w:rFonts w:hint="eastAsia" w:ascii="宋体" w:hAnsi="宋体" w:cs="仿宋_GB2312"/>
                <w:sz w:val="21"/>
                <w:szCs w:val="21"/>
              </w:rPr>
            </w:pPr>
            <w:r>
              <w:rPr>
                <w:rFonts w:hint="eastAsia" w:ascii="宋体" w:hAnsi="宋体" w:cs="仿宋_GB2312"/>
                <w:sz w:val="21"/>
                <w:szCs w:val="21"/>
              </w:rPr>
              <w:t>（质量比）＝3：1，加入配套稀释剂，调整粘度至14-20s（巴斯夫）或14-18s（中山大桥）。</w:t>
            </w:r>
          </w:p>
          <w:p w14:paraId="6B4680A0">
            <w:pPr>
              <w:jc w:val="left"/>
              <w:rPr>
                <w:rFonts w:hint="eastAsia" w:ascii="宋体" w:hAnsi="宋体" w:cs="仿宋_GB2312"/>
                <w:sz w:val="21"/>
                <w:szCs w:val="21"/>
              </w:rPr>
            </w:pPr>
            <w:r>
              <w:rPr>
                <w:rFonts w:hint="eastAsia" w:ascii="宋体" w:hAnsi="宋体" w:cs="仿宋_GB2312"/>
                <w:sz w:val="21"/>
                <w:szCs w:val="21"/>
              </w:rPr>
              <w:t>（2）搅拌：用搅拌尺或搅拌器对漆液进行充分搅拌，时间不少于1min。</w:t>
            </w:r>
          </w:p>
          <w:p w14:paraId="0AC15EE8">
            <w:pPr>
              <w:jc w:val="left"/>
              <w:rPr>
                <w:rFonts w:hint="eastAsia" w:ascii="宋体" w:hAnsi="宋体" w:cs="仿宋_GB2312"/>
                <w:sz w:val="21"/>
                <w:szCs w:val="21"/>
              </w:rPr>
            </w:pPr>
            <w:r>
              <w:rPr>
                <w:rFonts w:hint="eastAsia" w:ascii="宋体" w:hAnsi="宋体" w:cs="仿宋_GB2312"/>
                <w:sz w:val="21"/>
                <w:szCs w:val="21"/>
              </w:rPr>
              <w:t>（3）测量粘度：每次调漆均需测量1次。</w:t>
            </w:r>
          </w:p>
        </w:tc>
      </w:tr>
      <w:tr w14:paraId="393AA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75" w:type="dxa"/>
            <w:vMerge w:val="continue"/>
            <w:vAlign w:val="center"/>
          </w:tcPr>
          <w:p w14:paraId="5F1118B7">
            <w:pPr>
              <w:spacing w:line="360" w:lineRule="exact"/>
              <w:jc w:val="center"/>
              <w:rPr>
                <w:rFonts w:hint="eastAsia" w:ascii="宋体" w:hAnsi="宋体"/>
                <w:kern w:val="0"/>
                <w:sz w:val="21"/>
                <w:szCs w:val="21"/>
              </w:rPr>
            </w:pPr>
          </w:p>
        </w:tc>
        <w:tc>
          <w:tcPr>
            <w:tcW w:w="1218" w:type="dxa"/>
            <w:vMerge w:val="continue"/>
            <w:vAlign w:val="center"/>
          </w:tcPr>
          <w:p w14:paraId="2DEDFEEC">
            <w:pPr>
              <w:spacing w:line="360" w:lineRule="exact"/>
              <w:jc w:val="center"/>
              <w:rPr>
                <w:rFonts w:ascii="宋体" w:hAnsi="宋体"/>
                <w:kern w:val="0"/>
                <w:sz w:val="21"/>
                <w:szCs w:val="21"/>
              </w:rPr>
            </w:pPr>
          </w:p>
        </w:tc>
        <w:tc>
          <w:tcPr>
            <w:tcW w:w="6482" w:type="dxa"/>
            <w:vAlign w:val="center"/>
          </w:tcPr>
          <w:p w14:paraId="1E59606E">
            <w:pPr>
              <w:jc w:val="left"/>
              <w:rPr>
                <w:rFonts w:hint="eastAsia" w:ascii="宋体" w:hAnsi="宋体" w:cs="仿宋_GB2312"/>
                <w:sz w:val="21"/>
                <w:szCs w:val="21"/>
              </w:rPr>
            </w:pPr>
            <w:r>
              <w:rPr>
                <w:rFonts w:hint="eastAsia" w:ascii="宋体" w:hAnsi="宋体" w:cs="仿宋_GB2312"/>
                <w:sz w:val="21"/>
                <w:szCs w:val="21"/>
              </w:rPr>
              <w:t>喷涂：</w:t>
            </w:r>
          </w:p>
          <w:p w14:paraId="65D51461">
            <w:pPr>
              <w:numPr>
                <w:ilvl w:val="0"/>
                <w:numId w:val="31"/>
              </w:numPr>
              <w:jc w:val="left"/>
              <w:rPr>
                <w:rFonts w:hint="eastAsia" w:ascii="宋体" w:hAnsi="宋体" w:cs="仿宋_GB2312"/>
                <w:sz w:val="21"/>
                <w:szCs w:val="21"/>
              </w:rPr>
            </w:pPr>
            <w:r>
              <w:rPr>
                <w:rFonts w:hint="eastAsia" w:ascii="宋体" w:hAnsi="宋体" w:cs="仿宋_GB2312"/>
                <w:sz w:val="21"/>
                <w:szCs w:val="21"/>
              </w:rPr>
              <w:t>喷涂部位：仅喷涂车架，包含纵梁、横梁、尾梁的翼面及腹面，零部件覆盖车架的区域表面（含以上部位的紧固螺栓）。</w:t>
            </w:r>
          </w:p>
          <w:p w14:paraId="3A7BC4D3">
            <w:pPr>
              <w:numPr>
                <w:ilvl w:val="0"/>
                <w:numId w:val="31"/>
              </w:numPr>
              <w:jc w:val="left"/>
              <w:rPr>
                <w:rFonts w:hint="eastAsia" w:ascii="宋体" w:hAnsi="宋体" w:cs="仿宋_GB2312"/>
                <w:sz w:val="21"/>
                <w:szCs w:val="21"/>
              </w:rPr>
            </w:pPr>
            <w:r>
              <w:rPr>
                <w:rFonts w:hint="eastAsia" w:ascii="宋体" w:hAnsi="宋体" w:cs="仿宋_GB2312"/>
                <w:sz w:val="21"/>
                <w:szCs w:val="21"/>
              </w:rPr>
              <w:t>喷涂过程：喷漆工2人，一左一右，喷涂车架按照从前到后、先下后上的顺序，在待喷涂表面均匀喷涂1遍聚脲清漆，在尾梁交汇，2人均需喷涂尾梁，重复以上操作，再喷涂1遍聚脲清漆。</w:t>
            </w:r>
          </w:p>
        </w:tc>
      </w:tr>
      <w:tr w14:paraId="76389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1A62B62C">
            <w:pPr>
              <w:spacing w:line="360" w:lineRule="exact"/>
              <w:jc w:val="center"/>
              <w:rPr>
                <w:rFonts w:hint="eastAsia" w:ascii="宋体" w:hAnsi="宋体"/>
                <w:kern w:val="0"/>
                <w:sz w:val="21"/>
                <w:szCs w:val="21"/>
              </w:rPr>
            </w:pPr>
            <w:r>
              <w:rPr>
                <w:rFonts w:hint="eastAsia" w:ascii="宋体" w:hAnsi="宋体"/>
                <w:kern w:val="0"/>
                <w:sz w:val="21"/>
                <w:szCs w:val="21"/>
              </w:rPr>
              <w:t>5</w:t>
            </w:r>
          </w:p>
        </w:tc>
        <w:tc>
          <w:tcPr>
            <w:tcW w:w="1218" w:type="dxa"/>
            <w:shd w:val="clear" w:color="auto" w:fill="FFFFFF"/>
            <w:vAlign w:val="center"/>
          </w:tcPr>
          <w:p w14:paraId="57F37F7D">
            <w:pPr>
              <w:spacing w:line="360" w:lineRule="exact"/>
              <w:jc w:val="center"/>
              <w:rPr>
                <w:rFonts w:hint="eastAsia" w:ascii="宋体" w:hAnsi="宋体" w:cs="仿宋_GB2312"/>
                <w:sz w:val="21"/>
                <w:szCs w:val="21"/>
              </w:rPr>
            </w:pPr>
            <w:r>
              <w:rPr>
                <w:rFonts w:hint="eastAsia" w:ascii="宋体" w:hAnsi="宋体" w:cs="仿宋_GB2312"/>
                <w:sz w:val="21"/>
                <w:szCs w:val="21"/>
              </w:rPr>
              <w:t>晾干</w:t>
            </w:r>
          </w:p>
        </w:tc>
        <w:tc>
          <w:tcPr>
            <w:tcW w:w="6482" w:type="dxa"/>
            <w:shd w:val="clear" w:color="auto" w:fill="FFFFFF"/>
          </w:tcPr>
          <w:p w14:paraId="336EBF85">
            <w:pPr>
              <w:jc w:val="left"/>
              <w:rPr>
                <w:rFonts w:hint="eastAsia" w:ascii="宋体" w:hAnsi="宋体" w:cs="仿宋_GB2312"/>
                <w:sz w:val="21"/>
                <w:szCs w:val="21"/>
              </w:rPr>
            </w:pPr>
            <w:r>
              <w:rPr>
                <w:rFonts w:hint="eastAsia" w:ascii="宋体" w:hAnsi="宋体" w:cs="仿宋_GB2312"/>
                <w:sz w:val="21"/>
                <w:szCs w:val="21"/>
              </w:rPr>
              <w:t>（1）聚脲清漆需晾干30分钟，晾干过程中不得触摸已喷涂表面；晾干后可进行淋雨检漏。</w:t>
            </w:r>
          </w:p>
          <w:p w14:paraId="3AB61461">
            <w:pPr>
              <w:jc w:val="left"/>
              <w:rPr>
                <w:rFonts w:hint="eastAsia" w:ascii="宋体" w:hAnsi="宋体"/>
                <w:kern w:val="0"/>
                <w:sz w:val="21"/>
                <w:szCs w:val="21"/>
              </w:rPr>
            </w:pPr>
            <w:r>
              <w:rPr>
                <w:rFonts w:hint="eastAsia" w:ascii="宋体" w:hAnsi="宋体" w:cs="仿宋_GB2312"/>
                <w:sz w:val="21"/>
                <w:szCs w:val="21"/>
              </w:rPr>
              <w:t>（2）雨雪天、扬尘环境下不应露天晾干。</w:t>
            </w:r>
          </w:p>
        </w:tc>
      </w:tr>
      <w:tr w14:paraId="3ECF6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73F33884">
            <w:pPr>
              <w:spacing w:line="360" w:lineRule="exact"/>
              <w:jc w:val="center"/>
              <w:rPr>
                <w:rFonts w:ascii="宋体" w:hAnsi="宋体"/>
                <w:kern w:val="0"/>
                <w:sz w:val="21"/>
                <w:szCs w:val="21"/>
              </w:rPr>
            </w:pPr>
            <w:r>
              <w:rPr>
                <w:rFonts w:hint="eastAsia" w:ascii="宋体" w:hAnsi="宋体"/>
                <w:kern w:val="0"/>
                <w:sz w:val="21"/>
                <w:szCs w:val="21"/>
              </w:rPr>
              <w:t>6</w:t>
            </w:r>
          </w:p>
        </w:tc>
        <w:tc>
          <w:tcPr>
            <w:tcW w:w="1218" w:type="dxa"/>
            <w:shd w:val="clear" w:color="auto" w:fill="FFFFFF"/>
            <w:vAlign w:val="center"/>
          </w:tcPr>
          <w:p w14:paraId="54CC15D0">
            <w:pPr>
              <w:spacing w:line="360" w:lineRule="exact"/>
              <w:jc w:val="center"/>
              <w:rPr>
                <w:rFonts w:hint="eastAsia" w:ascii="宋体" w:hAnsi="宋体"/>
                <w:kern w:val="0"/>
                <w:sz w:val="21"/>
                <w:szCs w:val="21"/>
              </w:rPr>
            </w:pPr>
            <w:r>
              <w:rPr>
                <w:rFonts w:hint="eastAsia" w:ascii="宋体" w:hAnsi="宋体"/>
                <w:kern w:val="0"/>
                <w:sz w:val="21"/>
                <w:szCs w:val="21"/>
              </w:rPr>
              <w:t>检查</w:t>
            </w:r>
          </w:p>
        </w:tc>
        <w:tc>
          <w:tcPr>
            <w:tcW w:w="6482" w:type="dxa"/>
            <w:shd w:val="clear" w:color="auto" w:fill="FFFFFF"/>
          </w:tcPr>
          <w:p w14:paraId="346DC220">
            <w:pPr>
              <w:spacing w:line="360" w:lineRule="exact"/>
              <w:jc w:val="left"/>
              <w:rPr>
                <w:rFonts w:hint="eastAsia" w:ascii="宋体" w:hAnsi="宋体"/>
                <w:kern w:val="0"/>
                <w:sz w:val="21"/>
                <w:szCs w:val="21"/>
              </w:rPr>
            </w:pPr>
            <w:r>
              <w:rPr>
                <w:rFonts w:hint="eastAsia" w:ascii="宋体" w:hAnsi="宋体"/>
                <w:kern w:val="0"/>
                <w:sz w:val="21"/>
                <w:szCs w:val="21"/>
              </w:rPr>
              <w:t>（1）外观检查：</w:t>
            </w:r>
          </w:p>
          <w:p w14:paraId="71BD1F3D">
            <w:pPr>
              <w:spacing w:line="360" w:lineRule="exact"/>
              <w:jc w:val="left"/>
              <w:rPr>
                <w:rFonts w:hint="eastAsia" w:ascii="宋体" w:hAnsi="宋体"/>
                <w:kern w:val="0"/>
                <w:sz w:val="21"/>
                <w:szCs w:val="21"/>
              </w:rPr>
            </w:pPr>
            <w:r>
              <w:rPr>
                <w:rFonts w:hint="eastAsia" w:ascii="宋体" w:hAnsi="宋体"/>
                <w:kern w:val="0"/>
                <w:sz w:val="21"/>
                <w:szCs w:val="21"/>
              </w:rPr>
              <w:t>检查员绕车架检查一周，要求喷涂部位漆膜连续、均匀，A区无明显的漏喷、虚漆、流淌、气泡及其他漆膜缺陷。100％检查并记录。</w:t>
            </w:r>
          </w:p>
          <w:p w14:paraId="7F644A49">
            <w:pPr>
              <w:spacing w:line="360" w:lineRule="exact"/>
              <w:jc w:val="left"/>
              <w:rPr>
                <w:rFonts w:hint="eastAsia" w:ascii="宋体" w:hAnsi="宋体"/>
                <w:kern w:val="0"/>
                <w:sz w:val="21"/>
                <w:szCs w:val="21"/>
              </w:rPr>
            </w:pPr>
            <w:r>
              <w:rPr>
                <w:rFonts w:hint="eastAsia" w:ascii="宋体" w:hAnsi="宋体"/>
                <w:kern w:val="0"/>
                <w:sz w:val="21"/>
                <w:szCs w:val="21"/>
              </w:rPr>
              <w:t>（2）漆膜厚度：10％抽检并记录。</w:t>
            </w:r>
          </w:p>
          <w:p w14:paraId="4582DEB6">
            <w:pPr>
              <w:spacing w:line="360" w:lineRule="exact"/>
              <w:jc w:val="left"/>
              <w:rPr>
                <w:rFonts w:hint="eastAsia" w:ascii="宋体" w:hAnsi="宋体"/>
                <w:kern w:val="0"/>
                <w:sz w:val="21"/>
                <w:szCs w:val="21"/>
              </w:rPr>
            </w:pPr>
            <w:r>
              <w:rPr>
                <w:rFonts w:hint="eastAsia" w:ascii="宋体" w:hAnsi="宋体"/>
                <w:kern w:val="0"/>
                <w:sz w:val="21"/>
                <w:szCs w:val="21"/>
              </w:rPr>
              <w:t>A区：车架外表面，涂层总厚度≥65μm。</w:t>
            </w:r>
          </w:p>
          <w:p w14:paraId="48A6C043">
            <w:pPr>
              <w:spacing w:line="360" w:lineRule="exact"/>
              <w:jc w:val="left"/>
              <w:rPr>
                <w:rFonts w:hint="eastAsia" w:ascii="宋体" w:hAnsi="宋体"/>
                <w:kern w:val="0"/>
                <w:sz w:val="21"/>
                <w:szCs w:val="21"/>
              </w:rPr>
            </w:pPr>
            <w:r>
              <w:rPr>
                <w:rFonts w:hint="eastAsia" w:ascii="宋体" w:hAnsi="宋体"/>
                <w:kern w:val="0"/>
                <w:sz w:val="21"/>
                <w:szCs w:val="21"/>
              </w:rPr>
              <w:t>B区：车架内表面及下翼面，漆膜连续，膜厚≥40μm。</w:t>
            </w:r>
          </w:p>
          <w:p w14:paraId="402AA381">
            <w:pPr>
              <w:spacing w:line="360" w:lineRule="exact"/>
              <w:jc w:val="left"/>
              <w:rPr>
                <w:rFonts w:hint="eastAsia" w:ascii="宋体" w:hAnsi="宋体"/>
                <w:kern w:val="0"/>
                <w:sz w:val="21"/>
                <w:szCs w:val="21"/>
              </w:rPr>
            </w:pPr>
            <w:r>
              <w:rPr>
                <w:rFonts w:hint="eastAsia" w:ascii="宋体" w:hAnsi="宋体"/>
                <w:kern w:val="0"/>
                <w:sz w:val="21"/>
                <w:szCs w:val="21"/>
              </w:rPr>
              <w:t>（3）附着力及硬度漆膜附着力≤1级，硬度≥HB，车架电泳板喷涂测定，每天1次。</w:t>
            </w:r>
          </w:p>
        </w:tc>
      </w:tr>
      <w:tr w14:paraId="4F136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365DB1FA">
            <w:pPr>
              <w:spacing w:line="360" w:lineRule="exact"/>
              <w:jc w:val="center"/>
              <w:rPr>
                <w:rFonts w:hint="eastAsia" w:ascii="宋体" w:hAnsi="宋体"/>
                <w:kern w:val="0"/>
                <w:sz w:val="21"/>
                <w:szCs w:val="21"/>
              </w:rPr>
            </w:pPr>
            <w:r>
              <w:rPr>
                <w:rFonts w:hint="eastAsia" w:ascii="宋体" w:hAnsi="宋体"/>
                <w:kern w:val="0"/>
                <w:sz w:val="21"/>
                <w:szCs w:val="21"/>
              </w:rPr>
              <w:t>7</w:t>
            </w:r>
          </w:p>
        </w:tc>
        <w:tc>
          <w:tcPr>
            <w:tcW w:w="1218" w:type="dxa"/>
            <w:shd w:val="clear" w:color="auto" w:fill="FFFFFF"/>
            <w:vAlign w:val="center"/>
          </w:tcPr>
          <w:p w14:paraId="43818EAC">
            <w:pPr>
              <w:spacing w:line="360" w:lineRule="exact"/>
              <w:jc w:val="center"/>
              <w:rPr>
                <w:rFonts w:hint="eastAsia" w:ascii="宋体" w:hAnsi="宋体"/>
                <w:kern w:val="0"/>
                <w:sz w:val="21"/>
                <w:szCs w:val="21"/>
              </w:rPr>
            </w:pPr>
            <w:r>
              <w:rPr>
                <w:rFonts w:hint="eastAsia" w:ascii="宋体" w:hAnsi="宋体"/>
                <w:kern w:val="0"/>
                <w:sz w:val="21"/>
                <w:szCs w:val="21"/>
              </w:rPr>
              <w:t>质量控制</w:t>
            </w:r>
          </w:p>
        </w:tc>
        <w:tc>
          <w:tcPr>
            <w:tcW w:w="6482" w:type="dxa"/>
            <w:shd w:val="clear" w:color="auto" w:fill="FFFFFF"/>
          </w:tcPr>
          <w:p w14:paraId="5C4B47EE">
            <w:pPr>
              <w:spacing w:line="360" w:lineRule="exact"/>
              <w:jc w:val="left"/>
              <w:rPr>
                <w:rFonts w:hint="eastAsia" w:ascii="宋体" w:hAnsi="宋体"/>
                <w:kern w:val="0"/>
                <w:sz w:val="21"/>
                <w:szCs w:val="21"/>
              </w:rPr>
            </w:pPr>
            <w:r>
              <w:rPr>
                <w:rFonts w:hint="eastAsia" w:ascii="宋体" w:hAnsi="宋体"/>
                <w:kern w:val="0"/>
                <w:sz w:val="21"/>
                <w:szCs w:val="21"/>
              </w:rPr>
              <w:t>严格按照操作规程、工艺要求进行操作。负责通过质量管理活动不断提高全体员工的质量意识，制定完善的施工工艺、检验制度和考核制度，主动采取质量预防措施，及时发现质量问题并及时纠正。如果发生质量事故，应及时查明原因，制订解决方案，并以书面形式报告，并按商定的处理方案实施。详情见装配过程工艺卡片。</w:t>
            </w:r>
          </w:p>
        </w:tc>
      </w:tr>
      <w:tr w14:paraId="7DC2F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FFFFF"/>
            <w:vAlign w:val="center"/>
          </w:tcPr>
          <w:p w14:paraId="358DAF59">
            <w:pPr>
              <w:spacing w:line="360" w:lineRule="exact"/>
              <w:jc w:val="center"/>
              <w:rPr>
                <w:rFonts w:hint="eastAsia" w:ascii="宋体" w:hAnsi="宋体"/>
                <w:kern w:val="0"/>
                <w:sz w:val="21"/>
                <w:szCs w:val="21"/>
              </w:rPr>
            </w:pPr>
            <w:r>
              <w:rPr>
                <w:rFonts w:hint="eastAsia" w:ascii="宋体" w:hAnsi="宋体"/>
                <w:kern w:val="0"/>
                <w:sz w:val="21"/>
                <w:szCs w:val="21"/>
              </w:rPr>
              <w:t>8</w:t>
            </w:r>
          </w:p>
        </w:tc>
        <w:tc>
          <w:tcPr>
            <w:tcW w:w="1218" w:type="dxa"/>
            <w:shd w:val="clear" w:color="auto" w:fill="FFFFFF"/>
            <w:vAlign w:val="center"/>
          </w:tcPr>
          <w:p w14:paraId="178CC2E0">
            <w:pPr>
              <w:spacing w:line="360" w:lineRule="exact"/>
              <w:jc w:val="center"/>
              <w:rPr>
                <w:rFonts w:ascii="宋体" w:hAnsi="宋体"/>
                <w:kern w:val="0"/>
                <w:sz w:val="21"/>
                <w:szCs w:val="21"/>
              </w:rPr>
            </w:pPr>
            <w:r>
              <w:rPr>
                <w:rFonts w:hint="eastAsia" w:ascii="宋体" w:hAnsi="宋体"/>
                <w:kern w:val="0"/>
                <w:sz w:val="21"/>
                <w:szCs w:val="21"/>
              </w:rPr>
              <w:t>管理方面</w:t>
            </w:r>
          </w:p>
        </w:tc>
        <w:tc>
          <w:tcPr>
            <w:tcW w:w="6482" w:type="dxa"/>
            <w:shd w:val="clear" w:color="auto" w:fill="FFFFFF"/>
          </w:tcPr>
          <w:p w14:paraId="0E1CC12D">
            <w:pPr>
              <w:spacing w:line="360" w:lineRule="exact"/>
              <w:jc w:val="left"/>
              <w:rPr>
                <w:rFonts w:hint="eastAsia" w:ascii="宋体" w:hAnsi="宋体"/>
                <w:kern w:val="0"/>
                <w:sz w:val="21"/>
                <w:szCs w:val="21"/>
              </w:rPr>
            </w:pPr>
            <w:r>
              <w:rPr>
                <w:rFonts w:hint="eastAsia" w:ascii="宋体" w:hAnsi="宋体"/>
                <w:kern w:val="0"/>
                <w:sz w:val="21"/>
                <w:szCs w:val="21"/>
              </w:rPr>
              <w:t>签订安全、环保协议，明确双方安全、环保责任与义务；操作人员在卡车公司厂区作业时严格遵守各项管理制度。</w:t>
            </w:r>
          </w:p>
          <w:p w14:paraId="002B9EDD">
            <w:pPr>
              <w:spacing w:line="360" w:lineRule="exact"/>
              <w:jc w:val="left"/>
              <w:rPr>
                <w:rFonts w:ascii="宋体" w:hAnsi="宋体"/>
                <w:kern w:val="0"/>
                <w:sz w:val="21"/>
                <w:szCs w:val="21"/>
              </w:rPr>
            </w:pPr>
            <w:r>
              <w:rPr>
                <w:rFonts w:hint="eastAsia" w:ascii="宋体" w:hAnsi="宋体"/>
                <w:kern w:val="0"/>
                <w:sz w:val="21"/>
                <w:szCs w:val="21"/>
              </w:rPr>
              <w:t>不得违章作业等，库区内严禁吸烟、开车拨打电话。</w:t>
            </w:r>
          </w:p>
          <w:p w14:paraId="247A2AA7">
            <w:pPr>
              <w:spacing w:line="360" w:lineRule="exact"/>
              <w:jc w:val="left"/>
              <w:rPr>
                <w:rFonts w:ascii="宋体" w:hAnsi="宋体"/>
                <w:kern w:val="0"/>
                <w:sz w:val="21"/>
                <w:szCs w:val="21"/>
              </w:rPr>
            </w:pPr>
            <w:r>
              <w:rPr>
                <w:rFonts w:hint="eastAsia" w:ascii="宋体" w:hAnsi="宋体"/>
                <w:kern w:val="0"/>
                <w:sz w:val="21"/>
                <w:szCs w:val="21"/>
              </w:rPr>
              <w:t>做好设备日常维护保养，交接班等，设备出现故障应及时维修，确保设备完好率≥95%，正常作业。</w:t>
            </w:r>
          </w:p>
        </w:tc>
      </w:tr>
    </w:tbl>
    <w:p w14:paraId="3C4FF780">
      <w:pPr>
        <w:spacing w:line="480" w:lineRule="exact"/>
        <w:jc w:val="left"/>
        <w:rPr>
          <w:rStyle w:val="69"/>
          <w:rFonts w:hint="eastAsia"/>
          <w:sz w:val="24"/>
        </w:rPr>
      </w:pPr>
    </w:p>
    <w:p w14:paraId="62D6BE3E">
      <w:pPr>
        <w:spacing w:line="480" w:lineRule="exact"/>
        <w:ind w:firstLine="480"/>
        <w:jc w:val="left"/>
        <w:rPr>
          <w:rStyle w:val="69"/>
          <w:rFonts w:hint="eastAsia"/>
          <w:sz w:val="24"/>
        </w:rPr>
      </w:pPr>
      <w:r>
        <w:rPr>
          <w:rStyle w:val="69"/>
          <w:rFonts w:hint="eastAsia"/>
          <w:sz w:val="24"/>
        </w:rPr>
        <w:t>（二）业务量与软硬件配置及相关说明</w:t>
      </w:r>
    </w:p>
    <w:p w14:paraId="634D3B12">
      <w:pPr>
        <w:spacing w:line="480" w:lineRule="exact"/>
        <w:ind w:firstLine="480"/>
        <w:jc w:val="left"/>
        <w:rPr>
          <w:rStyle w:val="69"/>
          <w:rFonts w:eastAsia="宋体"/>
          <w:sz w:val="24"/>
          <w:highlight w:val="yellow"/>
        </w:rPr>
      </w:pPr>
      <w:r>
        <w:rPr>
          <w:rStyle w:val="69"/>
          <w:rFonts w:hint="eastAsia"/>
          <w:sz w:val="24"/>
          <w:highlight w:val="yellow"/>
        </w:rPr>
        <w:t>1、</w:t>
      </w:r>
      <w:r>
        <w:rPr>
          <w:rStyle w:val="69"/>
          <w:rFonts w:hint="eastAsia" w:eastAsia="宋体"/>
          <w:sz w:val="24"/>
          <w:highlight w:val="yellow"/>
        </w:rPr>
        <w:t>该项目包括卡车公司党家庄厂区、绵阳厂区；</w:t>
      </w:r>
    </w:p>
    <w:p w14:paraId="4F67AF0D">
      <w:pPr>
        <w:spacing w:line="480" w:lineRule="exact"/>
        <w:ind w:firstLine="480"/>
        <w:jc w:val="left"/>
        <w:rPr>
          <w:rStyle w:val="69"/>
          <w:rFonts w:hint="eastAsia"/>
          <w:sz w:val="24"/>
          <w:highlight w:val="yellow"/>
        </w:rPr>
      </w:pPr>
      <w:r>
        <w:rPr>
          <w:rStyle w:val="69"/>
          <w:rFonts w:hint="eastAsia" w:eastAsia="宋体"/>
          <w:sz w:val="24"/>
          <w:highlight w:val="yellow"/>
        </w:rPr>
        <w:t>2、预计产量50480辆份（党家庄厂区36050辆份、绵阳厂区14430辆份）</w:t>
      </w:r>
    </w:p>
    <w:p w14:paraId="24E0069F">
      <w:pPr>
        <w:numPr>
          <w:ilvl w:val="0"/>
          <w:numId w:val="32"/>
        </w:numPr>
        <w:spacing w:line="480" w:lineRule="exact"/>
        <w:ind w:firstLine="480"/>
        <w:jc w:val="left"/>
        <w:rPr>
          <w:rFonts w:hint="eastAsia" w:ascii="宋体" w:hAnsi="宋体"/>
        </w:rPr>
      </w:pPr>
      <w:r>
        <w:rPr>
          <w:rFonts w:hint="eastAsia" w:ascii="宋体" w:hAnsi="宋体"/>
        </w:rPr>
        <w:t>业务运行预计配置的软硬件</w:t>
      </w:r>
    </w:p>
    <w:p w14:paraId="416AB683">
      <w:pPr>
        <w:numPr>
          <w:ilvl w:val="0"/>
          <w:numId w:val="32"/>
        </w:numPr>
        <w:spacing w:line="480" w:lineRule="exact"/>
        <w:ind w:firstLine="480"/>
        <w:jc w:val="left"/>
        <w:rPr>
          <w:rFonts w:hint="eastAsia" w:ascii="宋体" w:hAnsi="宋体"/>
        </w:rPr>
      </w:pP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1595"/>
        <w:gridCol w:w="6011"/>
      </w:tblGrid>
      <w:tr w14:paraId="662C1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5E894A2">
            <w:pPr>
              <w:spacing w:line="360" w:lineRule="exact"/>
              <w:jc w:val="center"/>
              <w:rPr>
                <w:rFonts w:ascii="宋体" w:hAnsi="宋体"/>
                <w:kern w:val="0"/>
                <w:sz w:val="21"/>
                <w:szCs w:val="21"/>
              </w:rPr>
            </w:pPr>
            <w:r>
              <w:rPr>
                <w:rFonts w:hint="eastAsia" w:ascii="宋体" w:hAnsi="宋体"/>
                <w:kern w:val="0"/>
                <w:sz w:val="21"/>
                <w:szCs w:val="21"/>
              </w:rPr>
              <w:t>序号</w:t>
            </w:r>
          </w:p>
        </w:tc>
        <w:tc>
          <w:tcPr>
            <w:tcW w:w="1595" w:type="dxa"/>
            <w:vAlign w:val="center"/>
          </w:tcPr>
          <w:p w14:paraId="369AEAE9">
            <w:pPr>
              <w:spacing w:line="360" w:lineRule="exact"/>
              <w:jc w:val="center"/>
              <w:rPr>
                <w:rFonts w:ascii="宋体" w:hAnsi="宋体"/>
                <w:kern w:val="0"/>
                <w:sz w:val="21"/>
                <w:szCs w:val="21"/>
              </w:rPr>
            </w:pPr>
            <w:r>
              <w:rPr>
                <w:rFonts w:hint="eastAsia" w:ascii="宋体" w:hAnsi="宋体"/>
                <w:kern w:val="0"/>
                <w:sz w:val="21"/>
                <w:szCs w:val="21"/>
              </w:rPr>
              <w:t>配置项目</w:t>
            </w:r>
          </w:p>
        </w:tc>
        <w:tc>
          <w:tcPr>
            <w:tcW w:w="6011" w:type="dxa"/>
            <w:vAlign w:val="center"/>
          </w:tcPr>
          <w:p w14:paraId="7032C13C">
            <w:pPr>
              <w:spacing w:line="360" w:lineRule="exact"/>
              <w:jc w:val="center"/>
              <w:rPr>
                <w:rFonts w:ascii="宋体" w:hAnsi="宋体"/>
                <w:kern w:val="0"/>
                <w:sz w:val="21"/>
                <w:szCs w:val="21"/>
              </w:rPr>
            </w:pPr>
            <w:r>
              <w:rPr>
                <w:rFonts w:hint="eastAsia" w:ascii="宋体" w:hAnsi="宋体"/>
                <w:kern w:val="0"/>
                <w:sz w:val="21"/>
                <w:szCs w:val="21"/>
              </w:rPr>
              <w:t>配置明细说明</w:t>
            </w:r>
          </w:p>
        </w:tc>
      </w:tr>
      <w:tr w14:paraId="4D117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457EFBE3">
            <w:pPr>
              <w:spacing w:line="360" w:lineRule="exact"/>
              <w:jc w:val="center"/>
              <w:rPr>
                <w:rFonts w:hint="eastAsia" w:ascii="宋体" w:hAnsi="宋体"/>
                <w:kern w:val="0"/>
                <w:sz w:val="21"/>
                <w:szCs w:val="21"/>
              </w:rPr>
            </w:pPr>
            <w:r>
              <w:rPr>
                <w:rFonts w:hint="eastAsia" w:ascii="宋体" w:hAnsi="宋体"/>
                <w:kern w:val="0"/>
                <w:sz w:val="21"/>
                <w:szCs w:val="21"/>
              </w:rPr>
              <w:t>1</w:t>
            </w:r>
          </w:p>
        </w:tc>
        <w:tc>
          <w:tcPr>
            <w:tcW w:w="1595" w:type="dxa"/>
            <w:vAlign w:val="center"/>
          </w:tcPr>
          <w:p w14:paraId="33920DD4">
            <w:pPr>
              <w:spacing w:line="360" w:lineRule="exact"/>
              <w:jc w:val="center"/>
              <w:rPr>
                <w:rFonts w:hint="eastAsia" w:ascii="宋体" w:hAnsi="宋体"/>
                <w:kern w:val="0"/>
                <w:sz w:val="21"/>
                <w:szCs w:val="21"/>
              </w:rPr>
            </w:pPr>
            <w:r>
              <w:rPr>
                <w:rFonts w:hint="eastAsia" w:ascii="宋体" w:hAnsi="宋体"/>
                <w:kern w:val="0"/>
                <w:sz w:val="21"/>
                <w:szCs w:val="21"/>
              </w:rPr>
              <w:t>人员</w:t>
            </w:r>
          </w:p>
        </w:tc>
        <w:tc>
          <w:tcPr>
            <w:tcW w:w="6011" w:type="dxa"/>
            <w:vAlign w:val="center"/>
          </w:tcPr>
          <w:p w14:paraId="05295A1B">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）人员配置数量、组织架构设置满足作业需求，单班不得少于6人。</w:t>
            </w:r>
          </w:p>
          <w:p w14:paraId="1E727A5A">
            <w:pPr>
              <w:spacing w:line="360" w:lineRule="exact"/>
              <w:jc w:val="left"/>
              <w:rPr>
                <w:rFonts w:hint="eastAsia" w:ascii="宋体" w:hAnsi="宋体"/>
                <w:kern w:val="0"/>
                <w:sz w:val="21"/>
                <w:szCs w:val="21"/>
              </w:rPr>
            </w:pPr>
            <w:r>
              <w:rPr>
                <w:rFonts w:hint="eastAsia" w:ascii="宋体" w:hAnsi="宋体"/>
                <w:kern w:val="0"/>
                <w:sz w:val="21"/>
                <w:szCs w:val="21"/>
              </w:rPr>
              <w:t>b）特殊岗位人员须经过培训并取得相应资质，持证上岗。</w:t>
            </w:r>
          </w:p>
          <w:p w14:paraId="28CC9F8B">
            <w:pPr>
              <w:spacing w:line="360" w:lineRule="exact"/>
              <w:jc w:val="left"/>
              <w:rPr>
                <w:rFonts w:ascii="宋体" w:hAnsi="宋体"/>
                <w:kern w:val="0"/>
                <w:sz w:val="21"/>
                <w:szCs w:val="21"/>
              </w:rPr>
            </w:pPr>
            <w:r>
              <w:rPr>
                <w:rFonts w:ascii="宋体" w:hAnsi="宋体"/>
                <w:kern w:val="0"/>
                <w:sz w:val="21"/>
                <w:szCs w:val="21"/>
              </w:rPr>
              <w:t>C</w:t>
            </w:r>
            <w:r>
              <w:rPr>
                <w:rFonts w:hint="eastAsia" w:ascii="宋体" w:hAnsi="宋体"/>
                <w:kern w:val="0"/>
                <w:sz w:val="21"/>
                <w:szCs w:val="21"/>
              </w:rPr>
              <w:t>）作业人员需经安全教育培训考核合格后，方可上岗作业。</w:t>
            </w:r>
          </w:p>
        </w:tc>
      </w:tr>
      <w:tr w14:paraId="60E3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1276290">
            <w:pPr>
              <w:spacing w:line="360" w:lineRule="exact"/>
              <w:jc w:val="center"/>
              <w:rPr>
                <w:rFonts w:hint="eastAsia" w:ascii="宋体" w:hAnsi="宋体"/>
                <w:kern w:val="0"/>
                <w:sz w:val="21"/>
                <w:szCs w:val="21"/>
              </w:rPr>
            </w:pPr>
            <w:r>
              <w:rPr>
                <w:rFonts w:hint="eastAsia" w:ascii="宋体" w:hAnsi="宋体"/>
                <w:kern w:val="0"/>
                <w:sz w:val="21"/>
                <w:szCs w:val="21"/>
              </w:rPr>
              <w:t>2</w:t>
            </w:r>
          </w:p>
        </w:tc>
        <w:tc>
          <w:tcPr>
            <w:tcW w:w="1595" w:type="dxa"/>
            <w:vAlign w:val="center"/>
          </w:tcPr>
          <w:p w14:paraId="4EFCF5F2">
            <w:pPr>
              <w:spacing w:line="360" w:lineRule="exact"/>
              <w:jc w:val="center"/>
              <w:rPr>
                <w:rFonts w:hint="eastAsia" w:ascii="宋体" w:hAnsi="宋体"/>
                <w:kern w:val="0"/>
                <w:sz w:val="21"/>
                <w:szCs w:val="21"/>
              </w:rPr>
            </w:pPr>
            <w:r>
              <w:rPr>
                <w:rFonts w:hint="eastAsia" w:ascii="宋体" w:hAnsi="宋体"/>
                <w:kern w:val="0"/>
                <w:sz w:val="21"/>
                <w:szCs w:val="21"/>
              </w:rPr>
              <w:t>设备/工具</w:t>
            </w:r>
          </w:p>
        </w:tc>
        <w:tc>
          <w:tcPr>
            <w:tcW w:w="6011" w:type="dxa"/>
            <w:vAlign w:val="center"/>
          </w:tcPr>
          <w:p w14:paraId="59741144">
            <w:pPr>
              <w:spacing w:line="360" w:lineRule="exact"/>
              <w:jc w:val="left"/>
              <w:rPr>
                <w:rFonts w:ascii="宋体" w:hAnsi="宋体"/>
                <w:kern w:val="0"/>
                <w:sz w:val="21"/>
                <w:szCs w:val="21"/>
              </w:rPr>
            </w:pPr>
            <w:r>
              <w:rPr>
                <w:rFonts w:ascii="宋体" w:hAnsi="宋体"/>
                <w:kern w:val="0"/>
                <w:sz w:val="21"/>
                <w:szCs w:val="21"/>
              </w:rPr>
              <w:t>a</w:t>
            </w:r>
            <w:r>
              <w:rPr>
                <w:rFonts w:hint="eastAsia" w:ascii="宋体" w:hAnsi="宋体"/>
                <w:kern w:val="0"/>
                <w:sz w:val="21"/>
                <w:szCs w:val="21"/>
              </w:rPr>
              <w:t>）符合易燃易爆场所的合规喷涂设备、工具。</w:t>
            </w:r>
          </w:p>
          <w:p w14:paraId="54C73B10">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）以上设备工具由承包方提供。</w:t>
            </w:r>
          </w:p>
          <w:p w14:paraId="7A31BB16">
            <w:pPr>
              <w:spacing w:line="360" w:lineRule="exact"/>
              <w:jc w:val="left"/>
              <w:rPr>
                <w:rFonts w:hint="eastAsia" w:ascii="宋体" w:hAnsi="宋体"/>
                <w:kern w:val="0"/>
                <w:sz w:val="21"/>
                <w:szCs w:val="21"/>
              </w:rPr>
            </w:pPr>
            <w:r>
              <w:rPr>
                <w:rFonts w:hint="eastAsia" w:ascii="宋体" w:hAnsi="宋体"/>
                <w:kern w:val="0"/>
                <w:sz w:val="21"/>
                <w:szCs w:val="21"/>
              </w:rPr>
              <w:t>c）乙方应建立与作业相关的设备设施定期检查、维护、检测检验制度，发现问题及时与甲方沟通联系。</w:t>
            </w:r>
          </w:p>
        </w:tc>
      </w:tr>
      <w:tr w14:paraId="18CF4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0809A2D9">
            <w:pPr>
              <w:spacing w:line="360" w:lineRule="exact"/>
              <w:jc w:val="center"/>
              <w:rPr>
                <w:rFonts w:ascii="宋体" w:hAnsi="宋体"/>
                <w:kern w:val="0"/>
                <w:sz w:val="21"/>
                <w:szCs w:val="21"/>
              </w:rPr>
            </w:pPr>
            <w:r>
              <w:rPr>
                <w:rFonts w:hint="eastAsia" w:ascii="宋体" w:hAnsi="宋体"/>
                <w:kern w:val="0"/>
                <w:sz w:val="21"/>
                <w:szCs w:val="21"/>
              </w:rPr>
              <w:t>3</w:t>
            </w:r>
          </w:p>
        </w:tc>
        <w:tc>
          <w:tcPr>
            <w:tcW w:w="1595" w:type="dxa"/>
            <w:vAlign w:val="center"/>
          </w:tcPr>
          <w:p w14:paraId="74B91E85">
            <w:pPr>
              <w:spacing w:line="360" w:lineRule="exact"/>
              <w:jc w:val="center"/>
              <w:rPr>
                <w:rFonts w:hint="eastAsia" w:ascii="宋体" w:hAnsi="宋体"/>
                <w:kern w:val="0"/>
                <w:sz w:val="21"/>
                <w:szCs w:val="21"/>
              </w:rPr>
            </w:pPr>
            <w:r>
              <w:rPr>
                <w:rFonts w:hint="eastAsia" w:ascii="宋体" w:hAnsi="宋体"/>
                <w:kern w:val="0"/>
                <w:sz w:val="21"/>
                <w:szCs w:val="21"/>
              </w:rPr>
              <w:t>辅料/能源</w:t>
            </w:r>
          </w:p>
        </w:tc>
        <w:tc>
          <w:tcPr>
            <w:tcW w:w="6011" w:type="dxa"/>
            <w:vAlign w:val="center"/>
          </w:tcPr>
          <w:p w14:paraId="7CD4BD4A">
            <w:pPr>
              <w:pStyle w:val="62"/>
              <w:spacing w:line="360" w:lineRule="exact"/>
              <w:jc w:val="left"/>
              <w:rPr>
                <w:rFonts w:hint="eastAsia" w:ascii="宋体" w:hAnsi="宋体"/>
                <w:kern w:val="0"/>
                <w:szCs w:val="21"/>
              </w:rPr>
            </w:pPr>
            <w:r>
              <w:rPr>
                <w:rFonts w:ascii="宋体" w:hAnsi="宋体"/>
                <w:kern w:val="0"/>
                <w:sz w:val="21"/>
                <w:szCs w:val="21"/>
              </w:rPr>
              <w:t>a</w:t>
            </w:r>
            <w:r>
              <w:rPr>
                <w:rFonts w:hint="eastAsia" w:ascii="宋体" w:hAnsi="宋体"/>
                <w:kern w:val="0"/>
                <w:sz w:val="21"/>
                <w:szCs w:val="21"/>
              </w:rPr>
              <w:t>）</w:t>
            </w:r>
            <w:r>
              <w:rPr>
                <w:rFonts w:hint="eastAsia" w:ascii="宋体" w:hAnsi="宋体"/>
                <w:kern w:val="0"/>
                <w:szCs w:val="21"/>
              </w:rPr>
              <w:t>喷涂材料、辅料由发包方提供，现场只能存放当班量。</w:t>
            </w:r>
          </w:p>
          <w:p w14:paraId="086EAC28">
            <w:pPr>
              <w:pStyle w:val="62"/>
              <w:spacing w:line="360" w:lineRule="exact"/>
              <w:jc w:val="left"/>
              <w:rPr>
                <w:rFonts w:hint="eastAsia" w:ascii="宋体" w:hAnsi="宋体"/>
                <w:kern w:val="0"/>
                <w:szCs w:val="21"/>
              </w:rPr>
            </w:pPr>
            <w:r>
              <w:rPr>
                <w:rFonts w:ascii="宋体" w:hAnsi="宋体"/>
                <w:kern w:val="0"/>
                <w:sz w:val="21"/>
                <w:szCs w:val="21"/>
              </w:rPr>
              <w:t>b</w:t>
            </w:r>
            <w:r>
              <w:rPr>
                <w:rFonts w:hint="eastAsia" w:ascii="宋体" w:hAnsi="宋体"/>
                <w:kern w:val="0"/>
                <w:sz w:val="21"/>
                <w:szCs w:val="21"/>
              </w:rPr>
              <w:t>）</w:t>
            </w:r>
            <w:r>
              <w:rPr>
                <w:rFonts w:hint="eastAsia" w:ascii="宋体" w:hAnsi="宋体"/>
                <w:kern w:val="0"/>
                <w:szCs w:val="21"/>
              </w:rPr>
              <w:t>风水电气等能源由发包方限额提供。</w:t>
            </w:r>
          </w:p>
        </w:tc>
      </w:tr>
      <w:tr w14:paraId="72474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61DC751A">
            <w:pPr>
              <w:spacing w:line="360" w:lineRule="exact"/>
              <w:jc w:val="center"/>
              <w:rPr>
                <w:rFonts w:hint="eastAsia" w:ascii="宋体" w:hAnsi="宋体"/>
                <w:kern w:val="0"/>
                <w:sz w:val="21"/>
                <w:szCs w:val="21"/>
              </w:rPr>
            </w:pPr>
            <w:r>
              <w:rPr>
                <w:rFonts w:ascii="宋体" w:hAnsi="宋体"/>
                <w:kern w:val="0"/>
                <w:sz w:val="21"/>
                <w:szCs w:val="21"/>
              </w:rPr>
              <w:t>4</w:t>
            </w:r>
          </w:p>
        </w:tc>
        <w:tc>
          <w:tcPr>
            <w:tcW w:w="1595" w:type="dxa"/>
            <w:vAlign w:val="center"/>
          </w:tcPr>
          <w:p w14:paraId="61853FFC">
            <w:pPr>
              <w:spacing w:line="360" w:lineRule="exact"/>
              <w:jc w:val="center"/>
              <w:rPr>
                <w:rFonts w:hint="eastAsia" w:ascii="宋体" w:hAnsi="宋体"/>
                <w:kern w:val="0"/>
                <w:sz w:val="21"/>
                <w:szCs w:val="21"/>
              </w:rPr>
            </w:pPr>
            <w:r>
              <w:rPr>
                <w:rFonts w:hint="eastAsia" w:ascii="宋体" w:hAnsi="宋体"/>
                <w:kern w:val="0"/>
                <w:sz w:val="21"/>
                <w:szCs w:val="21"/>
              </w:rPr>
              <w:t>劳保用品</w:t>
            </w:r>
          </w:p>
        </w:tc>
        <w:tc>
          <w:tcPr>
            <w:tcW w:w="6011" w:type="dxa"/>
            <w:vAlign w:val="center"/>
          </w:tcPr>
          <w:p w14:paraId="4FF482B5">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）承包方为现场操作员工提供合规工作服、劳保鞋、手套、工具以及职业卫生防护用品等。</w:t>
            </w:r>
          </w:p>
        </w:tc>
      </w:tr>
      <w:tr w14:paraId="00033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32FA4437">
            <w:pPr>
              <w:spacing w:line="360" w:lineRule="exact"/>
              <w:jc w:val="center"/>
              <w:rPr>
                <w:rFonts w:ascii="宋体" w:hAnsi="宋体"/>
                <w:kern w:val="0"/>
                <w:sz w:val="21"/>
                <w:szCs w:val="21"/>
              </w:rPr>
            </w:pPr>
            <w:r>
              <w:rPr>
                <w:rFonts w:hint="eastAsia" w:ascii="宋体" w:hAnsi="宋体"/>
                <w:kern w:val="0"/>
                <w:sz w:val="21"/>
                <w:szCs w:val="21"/>
              </w:rPr>
              <w:t>5</w:t>
            </w:r>
          </w:p>
        </w:tc>
        <w:tc>
          <w:tcPr>
            <w:tcW w:w="1595" w:type="dxa"/>
            <w:vAlign w:val="center"/>
          </w:tcPr>
          <w:p w14:paraId="4617CBD2">
            <w:pPr>
              <w:spacing w:line="360" w:lineRule="exact"/>
              <w:jc w:val="center"/>
              <w:rPr>
                <w:rFonts w:ascii="宋体" w:hAnsi="宋体"/>
                <w:kern w:val="0"/>
                <w:sz w:val="21"/>
                <w:szCs w:val="21"/>
              </w:rPr>
            </w:pPr>
            <w:r>
              <w:rPr>
                <w:rFonts w:hint="eastAsia" w:ascii="宋体" w:hAnsi="宋体"/>
                <w:kern w:val="0"/>
                <w:sz w:val="21"/>
                <w:szCs w:val="21"/>
              </w:rPr>
              <w:t>作业区域</w:t>
            </w:r>
          </w:p>
        </w:tc>
        <w:tc>
          <w:tcPr>
            <w:tcW w:w="6011" w:type="dxa"/>
            <w:vAlign w:val="center"/>
          </w:tcPr>
          <w:p w14:paraId="19F308F7">
            <w:pPr>
              <w:spacing w:line="360" w:lineRule="exact"/>
              <w:jc w:val="left"/>
              <w:rPr>
                <w:rFonts w:hint="eastAsia" w:ascii="宋体" w:hAnsi="宋体"/>
                <w:kern w:val="0"/>
                <w:sz w:val="21"/>
                <w:szCs w:val="21"/>
              </w:rPr>
            </w:pPr>
            <w:r>
              <w:rPr>
                <w:rFonts w:hint="eastAsia" w:ascii="宋体" w:hAnsi="宋体"/>
                <w:kern w:val="0"/>
                <w:sz w:val="21"/>
                <w:szCs w:val="21"/>
              </w:rPr>
              <w:t>a）作业区域由发包方提供，限于卡车公司内。</w:t>
            </w:r>
          </w:p>
          <w:p w14:paraId="1BAB9EC2">
            <w:pPr>
              <w:spacing w:line="360" w:lineRule="exact"/>
              <w:jc w:val="left"/>
              <w:rPr>
                <w:rFonts w:hint="eastAsia" w:ascii="宋体" w:hAnsi="宋体"/>
                <w:kern w:val="0"/>
                <w:sz w:val="21"/>
                <w:szCs w:val="21"/>
              </w:rPr>
            </w:pPr>
            <w:r>
              <w:rPr>
                <w:rFonts w:hint="eastAsia" w:ascii="宋体" w:hAnsi="宋体"/>
                <w:kern w:val="0"/>
                <w:sz w:val="21"/>
                <w:szCs w:val="21"/>
              </w:rPr>
              <w:t>b）管理有序，目视化管理完善，现场满足HOS管理要求。</w:t>
            </w:r>
          </w:p>
          <w:p w14:paraId="21F646B4">
            <w:pPr>
              <w:spacing w:line="360" w:lineRule="exact"/>
              <w:jc w:val="left"/>
              <w:rPr>
                <w:rFonts w:ascii="宋体" w:hAnsi="宋体"/>
                <w:kern w:val="0"/>
                <w:sz w:val="21"/>
                <w:szCs w:val="21"/>
              </w:rPr>
            </w:pPr>
            <w:r>
              <w:rPr>
                <w:rFonts w:hint="eastAsia" w:ascii="宋体" w:hAnsi="宋体"/>
                <w:kern w:val="0"/>
                <w:sz w:val="21"/>
                <w:szCs w:val="21"/>
              </w:rPr>
              <w:t>C)安全、消防、环保及职业卫生标识合规有效。</w:t>
            </w:r>
          </w:p>
        </w:tc>
      </w:tr>
      <w:tr w14:paraId="0CC43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15CDDE6C">
            <w:pPr>
              <w:spacing w:line="360" w:lineRule="exact"/>
              <w:jc w:val="center"/>
              <w:rPr>
                <w:rFonts w:ascii="宋体" w:hAnsi="宋体"/>
                <w:kern w:val="0"/>
                <w:sz w:val="21"/>
                <w:szCs w:val="21"/>
              </w:rPr>
            </w:pPr>
            <w:r>
              <w:rPr>
                <w:rFonts w:hint="eastAsia" w:ascii="宋体" w:hAnsi="宋体"/>
                <w:kern w:val="0"/>
                <w:sz w:val="21"/>
                <w:szCs w:val="21"/>
              </w:rPr>
              <w:t>6</w:t>
            </w:r>
          </w:p>
        </w:tc>
        <w:tc>
          <w:tcPr>
            <w:tcW w:w="1595" w:type="dxa"/>
            <w:vAlign w:val="center"/>
          </w:tcPr>
          <w:p w14:paraId="15DA8FC2">
            <w:pPr>
              <w:spacing w:line="360" w:lineRule="exact"/>
              <w:jc w:val="center"/>
              <w:rPr>
                <w:rFonts w:ascii="宋体" w:hAnsi="宋体"/>
                <w:kern w:val="0"/>
                <w:sz w:val="21"/>
                <w:szCs w:val="21"/>
              </w:rPr>
            </w:pPr>
            <w:r>
              <w:rPr>
                <w:rFonts w:hint="eastAsia" w:ascii="宋体" w:hAnsi="宋体"/>
                <w:kern w:val="0"/>
                <w:sz w:val="21"/>
                <w:szCs w:val="21"/>
              </w:rPr>
              <w:t>管理制度</w:t>
            </w:r>
          </w:p>
        </w:tc>
        <w:tc>
          <w:tcPr>
            <w:tcW w:w="6011" w:type="dxa"/>
            <w:vAlign w:val="center"/>
          </w:tcPr>
          <w:p w14:paraId="7CC9C174">
            <w:pPr>
              <w:spacing w:line="360" w:lineRule="exact"/>
              <w:jc w:val="left"/>
              <w:rPr>
                <w:rFonts w:hint="eastAsia" w:ascii="宋体" w:hAnsi="宋体"/>
                <w:kern w:val="0"/>
                <w:sz w:val="21"/>
                <w:szCs w:val="21"/>
              </w:rPr>
            </w:pPr>
            <w:r>
              <w:rPr>
                <w:rFonts w:hint="eastAsia" w:ascii="宋体" w:hAnsi="宋体"/>
                <w:kern w:val="0"/>
                <w:sz w:val="21"/>
                <w:szCs w:val="21"/>
              </w:rPr>
              <w:t>管理制度覆盖业务全过程，并能确保作业流程有序顺畅、质量控制切实有效、具备应对突发事件能力。</w:t>
            </w:r>
          </w:p>
          <w:p w14:paraId="630F7BA2">
            <w:pPr>
              <w:numPr>
                <w:ilvl w:val="0"/>
                <w:numId w:val="33"/>
              </w:numPr>
              <w:spacing w:line="360" w:lineRule="exact"/>
              <w:jc w:val="left"/>
              <w:rPr>
                <w:rFonts w:hint="eastAsia" w:ascii="宋体" w:hAnsi="宋体"/>
                <w:kern w:val="0"/>
                <w:sz w:val="21"/>
                <w:szCs w:val="21"/>
              </w:rPr>
            </w:pPr>
            <w:r>
              <w:rPr>
                <w:rFonts w:hint="eastAsia" w:ascii="宋体" w:hAnsi="宋体"/>
                <w:kern w:val="0"/>
                <w:sz w:val="21"/>
                <w:szCs w:val="21"/>
              </w:rPr>
              <w:t>乙方应建立健全全员岗位安全生产责任制度。</w:t>
            </w:r>
          </w:p>
          <w:p w14:paraId="6406DB14">
            <w:pPr>
              <w:numPr>
                <w:ilvl w:val="0"/>
                <w:numId w:val="33"/>
              </w:numPr>
              <w:spacing w:line="360" w:lineRule="exact"/>
              <w:jc w:val="left"/>
              <w:rPr>
                <w:rFonts w:ascii="宋体" w:hAnsi="宋体"/>
                <w:kern w:val="0"/>
                <w:sz w:val="21"/>
                <w:szCs w:val="21"/>
              </w:rPr>
            </w:pPr>
            <w:r>
              <w:rPr>
                <w:rFonts w:hint="eastAsia" w:ascii="宋体" w:hAnsi="宋体"/>
                <w:kern w:val="0"/>
                <w:sz w:val="21"/>
                <w:szCs w:val="21"/>
              </w:rPr>
              <w:t>乙方严格遵守甲方安全教育培训相关要求。</w:t>
            </w:r>
          </w:p>
          <w:p w14:paraId="760F7750">
            <w:pPr>
              <w:numPr>
                <w:ilvl w:val="0"/>
                <w:numId w:val="33"/>
              </w:numPr>
              <w:spacing w:line="360" w:lineRule="exact"/>
              <w:jc w:val="left"/>
              <w:rPr>
                <w:rFonts w:ascii="宋体" w:hAnsi="宋体"/>
                <w:kern w:val="0"/>
                <w:sz w:val="21"/>
                <w:szCs w:val="21"/>
              </w:rPr>
            </w:pPr>
            <w:r>
              <w:rPr>
                <w:rFonts w:hint="eastAsia" w:ascii="宋体" w:hAnsi="宋体"/>
                <w:kern w:val="0"/>
                <w:sz w:val="21"/>
                <w:szCs w:val="21"/>
              </w:rPr>
              <w:t>严格遵守安全操作规程作业，发现岗位安全操作规程存在重大缺陷或与实际要求不相符时，应及时反馈发包方。</w:t>
            </w:r>
          </w:p>
          <w:p w14:paraId="4A612B3A">
            <w:pPr>
              <w:spacing w:line="360" w:lineRule="exact"/>
              <w:jc w:val="left"/>
              <w:rPr>
                <w:rFonts w:hint="eastAsia" w:ascii="宋体" w:hAnsi="宋体"/>
                <w:kern w:val="0"/>
                <w:sz w:val="21"/>
                <w:szCs w:val="21"/>
              </w:rPr>
            </w:pPr>
            <w:r>
              <w:rPr>
                <w:rFonts w:hint="eastAsia" w:ascii="宋体" w:hAnsi="宋体"/>
                <w:kern w:val="0"/>
                <w:sz w:val="21"/>
                <w:szCs w:val="21"/>
              </w:rPr>
              <w:t>d)乙方应配合发包方建立安全、消防、环保及职业卫生管理制度，严格执行，并接受发包方监督。</w:t>
            </w:r>
          </w:p>
        </w:tc>
      </w:tr>
      <w:tr w14:paraId="78AE2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5D96D529">
            <w:pPr>
              <w:spacing w:line="360" w:lineRule="exact"/>
              <w:jc w:val="center"/>
              <w:rPr>
                <w:rFonts w:hint="eastAsia" w:ascii="宋体" w:hAnsi="宋体"/>
                <w:kern w:val="0"/>
                <w:sz w:val="21"/>
                <w:szCs w:val="21"/>
              </w:rPr>
            </w:pPr>
            <w:r>
              <w:rPr>
                <w:rFonts w:hint="eastAsia" w:ascii="宋体" w:hAnsi="宋体"/>
                <w:kern w:val="0"/>
                <w:sz w:val="21"/>
                <w:szCs w:val="21"/>
              </w:rPr>
              <w:t>7</w:t>
            </w:r>
          </w:p>
        </w:tc>
        <w:tc>
          <w:tcPr>
            <w:tcW w:w="1595" w:type="dxa"/>
            <w:vAlign w:val="center"/>
          </w:tcPr>
          <w:p w14:paraId="7E7C5B89">
            <w:pPr>
              <w:spacing w:line="360" w:lineRule="exact"/>
              <w:jc w:val="center"/>
              <w:rPr>
                <w:rFonts w:hint="eastAsia" w:ascii="宋体" w:hAnsi="宋体"/>
                <w:kern w:val="0"/>
                <w:sz w:val="21"/>
                <w:szCs w:val="21"/>
              </w:rPr>
            </w:pPr>
            <w:r>
              <w:rPr>
                <w:rFonts w:hint="eastAsia" w:ascii="宋体" w:hAnsi="宋体"/>
                <w:kern w:val="0"/>
                <w:sz w:val="21"/>
                <w:szCs w:val="21"/>
              </w:rPr>
              <w:t>应急管理</w:t>
            </w:r>
          </w:p>
        </w:tc>
        <w:tc>
          <w:tcPr>
            <w:tcW w:w="6011" w:type="dxa"/>
            <w:vAlign w:val="center"/>
          </w:tcPr>
          <w:p w14:paraId="03D08837">
            <w:pPr>
              <w:spacing w:line="360" w:lineRule="exact"/>
              <w:jc w:val="left"/>
              <w:rPr>
                <w:rFonts w:ascii="宋体" w:hAnsi="宋体"/>
                <w:kern w:val="0"/>
                <w:sz w:val="21"/>
                <w:szCs w:val="21"/>
              </w:rPr>
            </w:pPr>
            <w:r>
              <w:rPr>
                <w:rFonts w:ascii="宋体" w:hAnsi="宋体"/>
                <w:kern w:val="0"/>
                <w:sz w:val="21"/>
                <w:szCs w:val="21"/>
              </w:rPr>
              <w:t>a</w:t>
            </w:r>
            <w:r>
              <w:rPr>
                <w:rFonts w:hint="eastAsia" w:ascii="宋体" w:hAnsi="宋体"/>
                <w:kern w:val="0"/>
                <w:sz w:val="21"/>
                <w:szCs w:val="21"/>
              </w:rPr>
              <w:t>）配合发包方开展安全消防管理及培训，严格执行发包方的安全消防制度及指令。</w:t>
            </w:r>
          </w:p>
          <w:p w14:paraId="720659C1">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）参与发包方应急演练，熟知应急措施。</w:t>
            </w:r>
          </w:p>
        </w:tc>
      </w:tr>
      <w:tr w14:paraId="29CAD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4D40D273">
            <w:pPr>
              <w:spacing w:line="360" w:lineRule="exact"/>
              <w:jc w:val="center"/>
              <w:rPr>
                <w:rFonts w:ascii="宋体" w:hAnsi="宋体"/>
                <w:kern w:val="0"/>
                <w:sz w:val="21"/>
                <w:szCs w:val="21"/>
              </w:rPr>
            </w:pPr>
            <w:r>
              <w:rPr>
                <w:rFonts w:hint="eastAsia" w:ascii="宋体" w:hAnsi="宋体"/>
                <w:kern w:val="0"/>
                <w:sz w:val="21"/>
                <w:szCs w:val="21"/>
              </w:rPr>
              <w:t>8</w:t>
            </w:r>
          </w:p>
        </w:tc>
        <w:tc>
          <w:tcPr>
            <w:tcW w:w="1595" w:type="dxa"/>
            <w:vAlign w:val="center"/>
          </w:tcPr>
          <w:p w14:paraId="4AD66383">
            <w:pPr>
              <w:spacing w:line="360" w:lineRule="exact"/>
              <w:jc w:val="center"/>
              <w:rPr>
                <w:rFonts w:hint="eastAsia" w:ascii="宋体" w:hAnsi="宋体"/>
                <w:kern w:val="0"/>
                <w:sz w:val="21"/>
                <w:szCs w:val="21"/>
              </w:rPr>
            </w:pPr>
            <w:r>
              <w:rPr>
                <w:rFonts w:hint="eastAsia" w:ascii="宋体" w:hAnsi="宋体"/>
                <w:kern w:val="0"/>
                <w:sz w:val="21"/>
                <w:szCs w:val="21"/>
              </w:rPr>
              <w:t>环保管理</w:t>
            </w:r>
          </w:p>
        </w:tc>
        <w:tc>
          <w:tcPr>
            <w:tcW w:w="6011" w:type="dxa"/>
            <w:vAlign w:val="center"/>
          </w:tcPr>
          <w:p w14:paraId="1DB47B59">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）配合发包方开展环保培训，做好相关并严格按照要求开展工作。</w:t>
            </w:r>
          </w:p>
          <w:p w14:paraId="2FECC83F">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）配合发包方做好危险废物的存储、处置工作。</w:t>
            </w:r>
          </w:p>
        </w:tc>
      </w:tr>
      <w:tr w14:paraId="3256E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653CAFE0">
            <w:pPr>
              <w:spacing w:line="360" w:lineRule="exact"/>
              <w:jc w:val="center"/>
              <w:rPr>
                <w:rFonts w:ascii="宋体" w:hAnsi="宋体"/>
                <w:kern w:val="0"/>
                <w:sz w:val="21"/>
                <w:szCs w:val="21"/>
              </w:rPr>
            </w:pPr>
            <w:r>
              <w:rPr>
                <w:rFonts w:hint="eastAsia" w:ascii="宋体" w:hAnsi="宋体"/>
                <w:kern w:val="0"/>
                <w:sz w:val="21"/>
                <w:szCs w:val="21"/>
              </w:rPr>
              <w:t>9</w:t>
            </w:r>
          </w:p>
        </w:tc>
        <w:tc>
          <w:tcPr>
            <w:tcW w:w="1595" w:type="dxa"/>
            <w:vAlign w:val="center"/>
          </w:tcPr>
          <w:p w14:paraId="64341969">
            <w:pPr>
              <w:spacing w:line="360" w:lineRule="exact"/>
              <w:jc w:val="center"/>
              <w:rPr>
                <w:rFonts w:hint="eastAsia" w:ascii="宋体" w:hAnsi="宋体"/>
                <w:kern w:val="0"/>
                <w:sz w:val="21"/>
                <w:szCs w:val="21"/>
              </w:rPr>
            </w:pPr>
            <w:r>
              <w:rPr>
                <w:rFonts w:hint="eastAsia" w:ascii="宋体" w:hAnsi="宋体"/>
                <w:kern w:val="0"/>
                <w:sz w:val="21"/>
                <w:szCs w:val="21"/>
              </w:rPr>
              <w:t>职业卫生管理</w:t>
            </w:r>
          </w:p>
        </w:tc>
        <w:tc>
          <w:tcPr>
            <w:tcW w:w="6011" w:type="dxa"/>
            <w:vAlign w:val="center"/>
          </w:tcPr>
          <w:p w14:paraId="3DBFC6B5">
            <w:pPr>
              <w:spacing w:line="360" w:lineRule="exact"/>
              <w:jc w:val="left"/>
              <w:rPr>
                <w:rFonts w:ascii="宋体" w:hAnsi="宋体"/>
                <w:kern w:val="0"/>
                <w:sz w:val="21"/>
                <w:szCs w:val="21"/>
              </w:rPr>
            </w:pPr>
            <w:r>
              <w:rPr>
                <w:rFonts w:ascii="宋体" w:hAnsi="宋体"/>
                <w:kern w:val="0"/>
                <w:sz w:val="21"/>
                <w:szCs w:val="21"/>
              </w:rPr>
              <w:t>a</w:t>
            </w:r>
            <w:r>
              <w:rPr>
                <w:rFonts w:hint="eastAsia" w:ascii="宋体" w:hAnsi="宋体"/>
                <w:kern w:val="0"/>
                <w:sz w:val="21"/>
                <w:szCs w:val="21"/>
              </w:rPr>
              <w:t>）承包方开展合规职业卫生岗前、岗中、离岗查体，建立职业卫生监护档案，并向发包方提供合规的人员检测报告。</w:t>
            </w:r>
          </w:p>
          <w:p w14:paraId="0136E75F">
            <w:pPr>
              <w:spacing w:line="360" w:lineRule="exact"/>
              <w:jc w:val="left"/>
              <w:rPr>
                <w:rFonts w:hint="eastAsia" w:ascii="宋体" w:hAnsi="宋体"/>
                <w:kern w:val="0"/>
                <w:sz w:val="21"/>
                <w:szCs w:val="21"/>
              </w:rPr>
            </w:pPr>
            <w:r>
              <w:rPr>
                <w:rFonts w:ascii="宋体" w:hAnsi="宋体"/>
                <w:kern w:val="0"/>
                <w:sz w:val="21"/>
                <w:szCs w:val="21"/>
              </w:rPr>
              <w:t>b</w:t>
            </w:r>
            <w:r>
              <w:rPr>
                <w:rFonts w:hint="eastAsia" w:ascii="宋体" w:hAnsi="宋体"/>
                <w:kern w:val="0"/>
                <w:sz w:val="21"/>
                <w:szCs w:val="21"/>
              </w:rPr>
              <w:t>）承包方人员出现职业卫生事故，由承包方负责处理。</w:t>
            </w:r>
          </w:p>
        </w:tc>
      </w:tr>
      <w:tr w14:paraId="62D15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14:paraId="4A805D8C">
            <w:pPr>
              <w:spacing w:line="360" w:lineRule="exact"/>
              <w:jc w:val="center"/>
              <w:rPr>
                <w:rFonts w:ascii="宋体" w:hAnsi="宋体"/>
                <w:kern w:val="0"/>
                <w:sz w:val="21"/>
                <w:szCs w:val="21"/>
              </w:rPr>
            </w:pPr>
            <w:r>
              <w:rPr>
                <w:rFonts w:hint="eastAsia" w:ascii="宋体" w:hAnsi="宋体"/>
                <w:kern w:val="0"/>
                <w:sz w:val="21"/>
                <w:szCs w:val="21"/>
              </w:rPr>
              <w:t>10</w:t>
            </w:r>
          </w:p>
        </w:tc>
        <w:tc>
          <w:tcPr>
            <w:tcW w:w="1595" w:type="dxa"/>
            <w:vAlign w:val="center"/>
          </w:tcPr>
          <w:p w14:paraId="39919C76">
            <w:pPr>
              <w:spacing w:line="360" w:lineRule="exact"/>
              <w:jc w:val="center"/>
              <w:rPr>
                <w:rFonts w:hint="eastAsia" w:ascii="宋体" w:hAnsi="宋体"/>
                <w:kern w:val="0"/>
                <w:sz w:val="21"/>
                <w:szCs w:val="21"/>
              </w:rPr>
            </w:pPr>
            <w:r>
              <w:rPr>
                <w:rFonts w:hint="eastAsia" w:ascii="宋体" w:hAnsi="宋体"/>
                <w:kern w:val="0"/>
                <w:sz w:val="21"/>
                <w:szCs w:val="21"/>
              </w:rPr>
              <w:t>消防管理</w:t>
            </w:r>
          </w:p>
        </w:tc>
        <w:tc>
          <w:tcPr>
            <w:tcW w:w="6011" w:type="dxa"/>
            <w:vAlign w:val="center"/>
          </w:tcPr>
          <w:p w14:paraId="222C3FDF">
            <w:pPr>
              <w:spacing w:line="360" w:lineRule="exact"/>
              <w:jc w:val="left"/>
              <w:rPr>
                <w:rFonts w:hint="eastAsia" w:ascii="宋体" w:hAnsi="宋体"/>
                <w:kern w:val="0"/>
                <w:sz w:val="21"/>
                <w:szCs w:val="21"/>
              </w:rPr>
            </w:pPr>
            <w:r>
              <w:rPr>
                <w:rFonts w:ascii="宋体" w:hAnsi="宋体"/>
                <w:kern w:val="0"/>
                <w:sz w:val="21"/>
                <w:szCs w:val="21"/>
              </w:rPr>
              <w:t>a</w:t>
            </w:r>
            <w:r>
              <w:rPr>
                <w:rFonts w:hint="eastAsia" w:ascii="宋体" w:hAnsi="宋体"/>
                <w:kern w:val="0"/>
                <w:sz w:val="21"/>
                <w:szCs w:val="21"/>
              </w:rPr>
              <w:t>）定期进行消防安全检查，保证现场消防设施、器材配置齐全运行正常。</w:t>
            </w:r>
          </w:p>
          <w:p w14:paraId="169B2229">
            <w:pPr>
              <w:spacing w:line="360" w:lineRule="exact"/>
              <w:jc w:val="left"/>
              <w:rPr>
                <w:rFonts w:hint="eastAsia" w:ascii="宋体" w:hAnsi="宋体"/>
                <w:kern w:val="0"/>
                <w:sz w:val="21"/>
                <w:szCs w:val="21"/>
              </w:rPr>
            </w:pPr>
            <w:r>
              <w:rPr>
                <w:rFonts w:hint="eastAsia" w:ascii="宋体" w:hAnsi="宋体"/>
                <w:kern w:val="0"/>
                <w:sz w:val="21"/>
                <w:szCs w:val="21"/>
              </w:rPr>
              <w:t>b)自觉遵守公司消防安全管理办法、岗位消防安全操作规程，禁止违章作业。</w:t>
            </w:r>
          </w:p>
          <w:p w14:paraId="587A31B2">
            <w:pPr>
              <w:spacing w:line="360" w:lineRule="exact"/>
              <w:jc w:val="left"/>
              <w:rPr>
                <w:rFonts w:ascii="宋体" w:hAnsi="宋体"/>
                <w:kern w:val="0"/>
                <w:sz w:val="21"/>
                <w:szCs w:val="21"/>
              </w:rPr>
            </w:pPr>
            <w:r>
              <w:rPr>
                <w:rFonts w:hint="eastAsia" w:ascii="宋体" w:hAnsi="宋体"/>
                <w:kern w:val="0"/>
                <w:sz w:val="21"/>
                <w:szCs w:val="21"/>
              </w:rPr>
              <w:t>C)落实设备、人员静电防护要求，按照规范标准要求储存易燃易爆品，并建立台账专人管理。</w:t>
            </w:r>
          </w:p>
        </w:tc>
      </w:tr>
    </w:tbl>
    <w:p w14:paraId="145D8373">
      <w:pPr>
        <w:spacing w:line="480" w:lineRule="exact"/>
        <w:ind w:firstLine="480"/>
        <w:jc w:val="left"/>
        <w:rPr>
          <w:rStyle w:val="69"/>
          <w:sz w:val="24"/>
        </w:rPr>
      </w:pPr>
    </w:p>
    <w:p w14:paraId="62889DA1">
      <w:pPr>
        <w:spacing w:line="480" w:lineRule="exact"/>
        <w:ind w:firstLine="480"/>
        <w:jc w:val="left"/>
        <w:rPr>
          <w:rStyle w:val="69"/>
          <w:sz w:val="24"/>
        </w:rPr>
      </w:pPr>
      <w:r>
        <w:rPr>
          <w:rStyle w:val="69"/>
          <w:rFonts w:hint="eastAsia"/>
          <w:sz w:val="24"/>
        </w:rPr>
        <w:t>说明：以上是可满足卡车公司</w:t>
      </w:r>
      <w:r>
        <w:rPr>
          <w:rStyle w:val="69"/>
          <w:rFonts w:hint="eastAsia"/>
          <w:sz w:val="24"/>
          <w:highlight w:val="yellow"/>
        </w:rPr>
        <w:t>总产量</w:t>
      </w:r>
      <w:r>
        <w:rPr>
          <w:rStyle w:val="69"/>
          <w:rFonts w:hint="eastAsia" w:eastAsia="宋体"/>
          <w:sz w:val="24"/>
          <w:highlight w:val="yellow"/>
        </w:rPr>
        <w:t>50480</w:t>
      </w:r>
      <w:r>
        <w:rPr>
          <w:rStyle w:val="69"/>
          <w:rFonts w:hint="eastAsia"/>
          <w:sz w:val="24"/>
          <w:highlight w:val="yellow"/>
        </w:rPr>
        <w:t>辆时</w:t>
      </w:r>
      <w:r>
        <w:rPr>
          <w:rStyle w:val="69"/>
          <w:rFonts w:hint="eastAsia"/>
          <w:sz w:val="24"/>
        </w:rPr>
        <w:t>的基本配置，仅供投标人参考。以上配置均由投标人负责配置，费用均已包含在服务费中。如后期业务量发生增减变化，报价不予调整。投标人不能因此影响招标人的生产经营。</w:t>
      </w:r>
    </w:p>
    <w:p w14:paraId="2E1414F0">
      <w:pPr>
        <w:spacing w:line="480" w:lineRule="exact"/>
        <w:ind w:firstLine="480"/>
        <w:jc w:val="left"/>
        <w:rPr>
          <w:rFonts w:hint="eastAsia" w:ascii="宋体" w:hAnsi="宋体"/>
          <w:szCs w:val="21"/>
        </w:rPr>
      </w:pPr>
      <w:r>
        <w:rPr>
          <w:rFonts w:hint="eastAsia"/>
        </w:rPr>
        <w:t>聚脲喷涂工序工艺、产品严格按照卡车公司技术、质量部门要求进行操作；产能满足卡车公司生产单位生产需求。外包</w:t>
      </w:r>
      <w:r>
        <w:rPr>
          <w:rFonts w:hint="eastAsia" w:ascii="宋体" w:hAnsi="宋体"/>
          <w:szCs w:val="21"/>
        </w:rPr>
        <w:t>业务、产品、程序、研究或发展有关的一切数据、工艺、配方、图纸、商业秘密（包括但不限于市场信息及客户名单）（以下统称“保密资料”），上述保密资料均归发包方所有，未经发包方的事先书面授权，中标方不得把保密资料泄漏或转让、转许可给任何个人、单位或团体；承包方不得将上述图纸、工艺或技术等申报专利，详情见附件。</w:t>
      </w:r>
    </w:p>
    <w:p w14:paraId="782BC0AF">
      <w:pPr>
        <w:rPr>
          <w:rFonts w:hint="eastAsia"/>
        </w:rPr>
      </w:pPr>
    </w:p>
    <w:p w14:paraId="481E0104">
      <w:pPr>
        <w:rPr>
          <w:rFonts w:hint="eastAsia"/>
        </w:rPr>
      </w:pPr>
    </w:p>
    <w:p w14:paraId="55C56A76">
      <w:pPr>
        <w:rPr>
          <w:rFonts w:hint="default"/>
          <w:lang w:val="en-US" w:eastAsia="zh-CN"/>
        </w:rPr>
      </w:pPr>
      <w:r>
        <w:rPr>
          <w:rFonts w:hint="default"/>
          <w:lang w:val="en-US" w:eastAsia="zh-CN"/>
        </w:rPr>
        <w:br w:type="page"/>
      </w:r>
    </w:p>
    <w:p w14:paraId="5871DF53">
      <w:pPr>
        <w:pStyle w:val="71"/>
      </w:pPr>
      <w:bookmarkStart w:id="18" w:name="_Toc20595"/>
      <w:bookmarkStart w:id="19" w:name="_Toc47976609"/>
      <w:r>
        <w:rPr>
          <w:rFonts w:hint="eastAsia"/>
        </w:rPr>
        <w:t>第三部分　合同主要条款</w:t>
      </w:r>
      <w:bookmarkEnd w:id="18"/>
      <w:bookmarkEnd w:id="19"/>
    </w:p>
    <w:p w14:paraId="23914DBE">
      <w:pPr>
        <w:pStyle w:val="72"/>
        <w:numPr>
          <w:ilvl w:val="0"/>
          <w:numId w:val="34"/>
        </w:numPr>
        <w:ind w:left="420"/>
      </w:pPr>
      <w:bookmarkStart w:id="20" w:name="_Toc47976610"/>
      <w:r>
        <w:rPr>
          <w:rFonts w:hint="eastAsia"/>
          <w:lang w:val="en-US" w:eastAsia="zh-CN"/>
        </w:rPr>
        <w:t>标的、数量、</w:t>
      </w:r>
      <w:r>
        <w:rPr>
          <w:rFonts w:hint="eastAsia"/>
        </w:rPr>
        <w:t>交货期</w:t>
      </w:r>
      <w:bookmarkEnd w:id="20"/>
    </w:p>
    <w:p w14:paraId="18603CA8">
      <w:pPr>
        <w:pStyle w:val="72"/>
      </w:pPr>
      <w:bookmarkStart w:id="21" w:name="_Toc47976611"/>
      <w:r>
        <w:rPr>
          <w:rFonts w:hint="eastAsia"/>
        </w:rPr>
        <w:t>交货地点</w:t>
      </w:r>
      <w:bookmarkEnd w:id="21"/>
    </w:p>
    <w:p w14:paraId="3F03A936">
      <w:pPr>
        <w:pStyle w:val="72"/>
      </w:pPr>
      <w:bookmarkStart w:id="22" w:name="_Toc47976612"/>
      <w:r>
        <w:rPr>
          <w:rFonts w:hint="eastAsia"/>
          <w:lang w:val="en-US" w:eastAsia="zh-CN"/>
        </w:rPr>
        <w:t>价款及</w:t>
      </w:r>
      <w:r>
        <w:rPr>
          <w:rFonts w:hint="eastAsia"/>
        </w:rPr>
        <w:t>付款方式</w:t>
      </w:r>
      <w:bookmarkEnd w:id="22"/>
    </w:p>
    <w:p w14:paraId="0A7F4E98">
      <w:pPr>
        <w:pStyle w:val="72"/>
      </w:pPr>
      <w:bookmarkStart w:id="23" w:name="_Toc47976613"/>
      <w:r>
        <w:rPr>
          <w:rFonts w:hint="eastAsia"/>
          <w:lang w:val="en-US" w:eastAsia="zh-CN"/>
        </w:rPr>
        <w:t>质量要求、</w:t>
      </w:r>
      <w:r>
        <w:rPr>
          <w:rFonts w:hint="eastAsia"/>
        </w:rPr>
        <w:t>保修期及售后服务</w:t>
      </w:r>
      <w:bookmarkEnd w:id="23"/>
    </w:p>
    <w:p w14:paraId="50F6C5C1">
      <w:pPr>
        <w:pStyle w:val="72"/>
      </w:pPr>
      <w:bookmarkStart w:id="24" w:name="_Toc47976614"/>
      <w:r>
        <w:rPr>
          <w:rFonts w:hint="eastAsia"/>
        </w:rPr>
        <w:t>安装、调试及验收要求</w:t>
      </w:r>
      <w:bookmarkEnd w:id="24"/>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5" w:name="_Toc47976615"/>
      <w:bookmarkStart w:id="26" w:name="_Toc5925"/>
      <w:r>
        <w:rPr>
          <w:rFonts w:hint="eastAsia"/>
        </w:rPr>
        <w:t>第四部分　</w:t>
      </w:r>
      <w:bookmarkEnd w:id="25"/>
      <w:r>
        <w:rPr>
          <w:rFonts w:hint="eastAsia"/>
          <w:lang w:val="en-US" w:eastAsia="zh-CN"/>
        </w:rPr>
        <w:t>投标文件附件</w:t>
      </w:r>
      <w:bookmarkEnd w:id="26"/>
    </w:p>
    <w:p w14:paraId="600DE1DD">
      <w:pPr>
        <w:pStyle w:val="71"/>
        <w:jc w:val="left"/>
        <w:rPr>
          <w:rFonts w:hint="eastAsia" w:ascii="宋体" w:hAnsi="宋体" w:eastAsia="宋体" w:cs="宋体"/>
          <w:sz w:val="32"/>
          <w:szCs w:val="32"/>
          <w:highlight w:val="yellow"/>
          <w:lang w:eastAsia="zh-CN"/>
        </w:rPr>
      </w:pPr>
      <w:bookmarkStart w:id="27" w:name="_Toc47976616"/>
      <w:bookmarkStart w:id="28" w:name="_Toc4225"/>
      <w:r>
        <w:rPr>
          <w:rFonts w:hint="eastAsia" w:ascii="宋体" w:hAnsi="宋体" w:eastAsia="宋体" w:cs="宋体"/>
          <w:sz w:val="32"/>
          <w:szCs w:val="32"/>
          <w:highlight w:val="yellow"/>
        </w:rPr>
        <w:t>附件</w:t>
      </w:r>
      <w:bookmarkEnd w:id="27"/>
      <w:bookmarkEnd w:id="28"/>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9" w:name="_Toc47976618"/>
      <w:bookmarkStart w:id="30" w:name="_Toc29366865"/>
      <w:bookmarkStart w:id="31" w:name="_Toc29366869"/>
      <w:r>
        <w:rPr>
          <w:rFonts w:hint="eastAsia" w:ascii="宋体" w:hAnsi="宋体" w:eastAsia="宋体" w:cs="宋体"/>
          <w:sz w:val="32"/>
          <w:szCs w:val="32"/>
          <w:highlight w:val="yellow"/>
          <w:lang w:val="en-US" w:eastAsia="zh-CN"/>
        </w:rPr>
        <w:t>附件2</w:t>
      </w:r>
    </w:p>
    <w:bookmarkEnd w:id="29"/>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0"/>
    <w:bookmarkEnd w:id="31"/>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08FC764">
      <w:pPr>
        <w:pStyle w:val="72"/>
        <w:numPr>
          <w:ilvl w:val="0"/>
          <w:numId w:val="0"/>
        </w:numPr>
        <w:ind w:leftChars="0"/>
        <w:jc w:val="center"/>
        <w:rPr>
          <w:rFonts w:hint="eastAsia"/>
          <w:lang w:val="en-US" w:eastAsia="zh-CN"/>
        </w:rPr>
      </w:pPr>
      <w:r>
        <w:rPr>
          <w:rFonts w:hint="eastAsia"/>
          <w:lang w:val="en-US" w:eastAsia="zh-CN"/>
        </w:rPr>
        <w:t>开标一览表</w:t>
      </w:r>
    </w:p>
    <w:p w14:paraId="5C1305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526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936B4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1E0709A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7FDCA5F">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CFDF6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A18842B">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5BAA2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A5755E0">
            <w:pPr>
              <w:jc w:val="center"/>
              <w:rPr>
                <w:rFonts w:ascii="Times New Roman" w:hAnsi="Times New Roman" w:eastAsia="宋体" w:cs="Times New Roman"/>
                <w:b/>
                <w:szCs w:val="20"/>
              </w:rPr>
            </w:pPr>
          </w:p>
        </w:tc>
        <w:tc>
          <w:tcPr>
            <w:tcW w:w="1518" w:type="dxa"/>
            <w:vAlign w:val="center"/>
          </w:tcPr>
          <w:p w14:paraId="54DC8446">
            <w:pPr>
              <w:jc w:val="center"/>
              <w:rPr>
                <w:rFonts w:hint="eastAsia" w:ascii="Times New Roman" w:hAnsi="Times New Roman" w:eastAsia="宋体" w:cs="Times New Roman"/>
                <w:b/>
                <w:szCs w:val="20"/>
                <w:lang w:eastAsia="zh-CN"/>
              </w:rPr>
            </w:pPr>
          </w:p>
        </w:tc>
        <w:tc>
          <w:tcPr>
            <w:tcW w:w="848" w:type="dxa"/>
            <w:vAlign w:val="center"/>
          </w:tcPr>
          <w:p w14:paraId="36DF2E5E">
            <w:pPr>
              <w:jc w:val="center"/>
              <w:rPr>
                <w:rFonts w:hint="eastAsia" w:ascii="Times New Roman" w:hAnsi="Times New Roman" w:eastAsia="宋体" w:cs="Times New Roman"/>
                <w:b/>
                <w:szCs w:val="20"/>
                <w:lang w:val="en-US" w:eastAsia="zh-CN"/>
              </w:rPr>
            </w:pPr>
          </w:p>
        </w:tc>
        <w:tc>
          <w:tcPr>
            <w:tcW w:w="2270" w:type="dxa"/>
            <w:vAlign w:val="center"/>
          </w:tcPr>
          <w:p w14:paraId="0FB381A6">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3D09461">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097597C8">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FCF983E">
            <w:pPr>
              <w:jc w:val="center"/>
              <w:rPr>
                <w:rFonts w:ascii="Times New Roman" w:hAnsi="Times New Roman" w:eastAsia="宋体" w:cs="Times New Roman"/>
                <w:b/>
                <w:szCs w:val="20"/>
              </w:rPr>
            </w:pPr>
          </w:p>
        </w:tc>
      </w:tr>
    </w:tbl>
    <w:p w14:paraId="2D275DAE">
      <w:pPr>
        <w:rPr>
          <w:rFonts w:ascii="宋体" w:hAnsi="Arial" w:eastAsia="宋体" w:cs="Times New Roman"/>
          <w:sz w:val="24"/>
          <w:szCs w:val="24"/>
        </w:rPr>
      </w:pPr>
    </w:p>
    <w:p w14:paraId="631E0DA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489D3A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FF33B77">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04E7938D">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7948116">
      <w:pPr>
        <w:pStyle w:val="14"/>
        <w:rPr>
          <w:rFonts w:hint="eastAsia" w:hAnsi="宋体" w:eastAsia="宋体" w:cs="Times New Roman"/>
          <w:b/>
          <w:bCs/>
          <w:szCs w:val="21"/>
          <w:highlight w:val="yellow"/>
        </w:rPr>
      </w:pPr>
    </w:p>
    <w:p w14:paraId="122437DB">
      <w:pPr>
        <w:pStyle w:val="14"/>
        <w:rPr>
          <w:rFonts w:hint="eastAsia" w:hAnsi="宋体" w:eastAsia="宋体" w:cs="Times New Roman"/>
          <w:b/>
          <w:bCs/>
          <w:szCs w:val="21"/>
          <w:highlight w:val="yellow"/>
        </w:rPr>
      </w:pPr>
    </w:p>
    <w:p w14:paraId="04CA4F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56A16EB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C8223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5FBE699">
      <w:pPr>
        <w:pStyle w:val="72"/>
        <w:numPr>
          <w:ilvl w:val="0"/>
          <w:numId w:val="0"/>
        </w:numPr>
        <w:ind w:leftChars="0"/>
      </w:pPr>
      <w:r>
        <w:t xml:space="preserve"> </w:t>
      </w:r>
    </w:p>
    <w:p w14:paraId="629CACEA">
      <w:pPr>
        <w:pStyle w:val="72"/>
        <w:numPr>
          <w:ilvl w:val="0"/>
          <w:numId w:val="0"/>
        </w:numPr>
        <w:ind w:leftChars="0"/>
      </w:pPr>
    </w:p>
    <w:p w14:paraId="2CE14CF3">
      <w:pPr>
        <w:pStyle w:val="72"/>
        <w:numPr>
          <w:ilvl w:val="0"/>
          <w:numId w:val="0"/>
        </w:numPr>
        <w:ind w:leftChars="0"/>
      </w:pPr>
    </w:p>
    <w:p w14:paraId="2FBF7315">
      <w:pPr>
        <w:pStyle w:val="72"/>
        <w:numPr>
          <w:ilvl w:val="0"/>
          <w:numId w:val="0"/>
        </w:numPr>
        <w:ind w:leftChars="0"/>
      </w:pPr>
    </w:p>
    <w:p w14:paraId="5938BB61">
      <w:pPr>
        <w:pStyle w:val="72"/>
        <w:numPr>
          <w:ilvl w:val="0"/>
          <w:numId w:val="0"/>
        </w:numPr>
        <w:ind w:leftChars="0"/>
      </w:pPr>
    </w:p>
    <w:p w14:paraId="093739FC">
      <w:pPr>
        <w:pStyle w:val="72"/>
        <w:numPr>
          <w:ilvl w:val="0"/>
          <w:numId w:val="0"/>
        </w:numPr>
        <w:ind w:leftChars="0"/>
      </w:pPr>
    </w:p>
    <w:p w14:paraId="2C9B5DBD">
      <w:pPr>
        <w:pStyle w:val="72"/>
        <w:numPr>
          <w:ilvl w:val="0"/>
          <w:numId w:val="0"/>
        </w:numPr>
        <w:ind w:leftChars="0"/>
      </w:pPr>
    </w:p>
    <w:p w14:paraId="0013F30B">
      <w:pPr>
        <w:pStyle w:val="76"/>
        <w:ind w:firstLine="630" w:firstLineChars="300"/>
        <w:rPr>
          <w:rFonts w:hint="eastAsia"/>
        </w:rPr>
      </w:pPr>
    </w:p>
    <w:p w14:paraId="5824C4BF">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01026E">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53969182">
      <w:pPr>
        <w:rPr>
          <w:rFonts w:hint="eastAsia" w:ascii="宋体" w:hAnsi="宋体"/>
          <w:sz w:val="24"/>
          <w:highlight w:val="none"/>
        </w:rPr>
      </w:pPr>
      <w:r>
        <w:rPr>
          <w:rFonts w:hint="eastAsia" w:ascii="宋体" w:hAnsi="宋体"/>
          <w:sz w:val="24"/>
          <w:highlight w:val="none"/>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7EFCD97E">
      <w:pPr>
        <w:pStyle w:val="76"/>
        <w:rPr>
          <w:rFonts w:hint="default" w:ascii="宋体" w:hAnsi="宋体"/>
          <w:sz w:val="24"/>
          <w:highlight w:val="none"/>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A062A3A8"/>
    <w:multiLevelType w:val="singleLevel"/>
    <w:tmpl w:val="A062A3A8"/>
    <w:lvl w:ilvl="0" w:tentative="0">
      <w:start w:val="1"/>
      <w:numFmt w:val="lowerLetter"/>
      <w:suff w:val="nothing"/>
      <w:lvlText w:val="%1）"/>
      <w:lvlJc w:val="left"/>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9665F8D"/>
    <w:multiLevelType w:val="singleLevel"/>
    <w:tmpl w:val="F9665F8D"/>
    <w:lvl w:ilvl="0" w:tentative="0">
      <w:start w:val="2"/>
      <w:numFmt w:val="chineseCounting"/>
      <w:suff w:val="nothing"/>
      <w:lvlText w:val="第%1部分　"/>
      <w:lvlJc w:val="left"/>
      <w:rPr>
        <w:rFonts w:hint="eastAsia"/>
      </w:rPr>
    </w:lvl>
  </w:abstractNum>
  <w:abstractNum w:abstractNumId="13">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4">
    <w:nsid w:val="04BF98CE"/>
    <w:multiLevelType w:val="singleLevel"/>
    <w:tmpl w:val="04BF98CE"/>
    <w:lvl w:ilvl="0" w:tentative="0">
      <w:start w:val="1"/>
      <w:numFmt w:val="decimal"/>
      <w:suff w:val="nothing"/>
      <w:lvlText w:val="%1、"/>
      <w:lvlJc w:val="left"/>
    </w:lvl>
  </w:abstractNum>
  <w:abstractNum w:abstractNumId="1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6">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2463DD8B"/>
    <w:multiLevelType w:val="singleLevel"/>
    <w:tmpl w:val="2463DD8B"/>
    <w:lvl w:ilvl="0" w:tentative="0">
      <w:start w:val="1"/>
      <w:numFmt w:val="decimal"/>
      <w:suff w:val="nothing"/>
      <w:lvlText w:val="（%1）"/>
      <w:lvlJc w:val="left"/>
    </w:lvl>
  </w:abstractNum>
  <w:abstractNum w:abstractNumId="20">
    <w:nsid w:val="3265E1EC"/>
    <w:multiLevelType w:val="singleLevel"/>
    <w:tmpl w:val="3265E1EC"/>
    <w:lvl w:ilvl="0" w:tentative="0">
      <w:start w:val="1"/>
      <w:numFmt w:val="decimal"/>
      <w:lvlText w:val="(%1)"/>
      <w:lvlJc w:val="left"/>
      <w:pPr>
        <w:ind w:left="425" w:hanging="425"/>
      </w:pPr>
      <w:rPr>
        <w:rFonts w:hint="default"/>
      </w:rPr>
    </w:lvl>
  </w:abstractNum>
  <w:abstractNum w:abstractNumId="21">
    <w:nsid w:val="3CF6EF77"/>
    <w:multiLevelType w:val="singleLevel"/>
    <w:tmpl w:val="3CF6EF77"/>
    <w:lvl w:ilvl="0" w:tentative="0">
      <w:start w:val="1"/>
      <w:numFmt w:val="decimal"/>
      <w:lvlText w:val="%1."/>
      <w:lvlJc w:val="left"/>
      <w:pPr>
        <w:ind w:left="425" w:hanging="425"/>
      </w:pPr>
      <w:rPr>
        <w:rFonts w:hint="default"/>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38DCB07"/>
    <w:multiLevelType w:val="singleLevel"/>
    <w:tmpl w:val="738DCB07"/>
    <w:lvl w:ilvl="0" w:tentative="0">
      <w:start w:val="2"/>
      <w:numFmt w:val="decimal"/>
      <w:suff w:val="nothing"/>
      <w:lvlText w:val="%1、"/>
      <w:lvlJc w:val="left"/>
    </w:lvl>
  </w:abstractNum>
  <w:abstractNum w:abstractNumId="30">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28"/>
  </w:num>
  <w:num w:numId="3">
    <w:abstractNumId w:val="26"/>
  </w:num>
  <w:num w:numId="4">
    <w:abstractNumId w:val="24"/>
  </w:num>
  <w:num w:numId="5">
    <w:abstractNumId w:val="15"/>
  </w:num>
  <w:num w:numId="6">
    <w:abstractNumId w:val="17"/>
  </w:num>
  <w:num w:numId="7">
    <w:abstractNumId w:val="18"/>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6"/>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6"/>
  </w:num>
  <w:num w:numId="15">
    <w:abstractNumId w:val="0"/>
  </w:num>
  <w:num w:numId="16">
    <w:abstractNumId w:val="3"/>
  </w:num>
  <w:num w:numId="17">
    <w:abstractNumId w:val="27"/>
  </w:num>
  <w:num w:numId="18">
    <w:abstractNumId w:val="30"/>
  </w:num>
  <w:num w:numId="19">
    <w:abstractNumId w:val="20"/>
  </w:num>
  <w:num w:numId="20">
    <w:abstractNumId w:val="10"/>
  </w:num>
  <w:num w:numId="21">
    <w:abstractNumId w:val="9"/>
  </w:num>
  <w:num w:numId="22">
    <w:abstractNumId w:val="4"/>
  </w:num>
  <w:num w:numId="23">
    <w:abstractNumId w:val="1"/>
  </w:num>
  <w:num w:numId="24">
    <w:abstractNumId w:val="7"/>
  </w:num>
  <w:num w:numId="25">
    <w:abstractNumId w:val="13"/>
  </w:num>
  <w:num w:numId="26">
    <w:abstractNumId w:val="11"/>
  </w:num>
  <w:num w:numId="27">
    <w:abstractNumId w:val="22"/>
  </w:num>
  <w:num w:numId="28">
    <w:abstractNumId w:val="14"/>
  </w:num>
  <w:num w:numId="29">
    <w:abstractNumId w:val="21"/>
  </w:num>
  <w:num w:numId="30">
    <w:abstractNumId w:val="12"/>
  </w:num>
  <w:num w:numId="31">
    <w:abstractNumId w:val="19"/>
  </w:num>
  <w:num w:numId="32">
    <w:abstractNumId w:val="29"/>
  </w:num>
  <w:num w:numId="33">
    <w:abstractNumId w:val="5"/>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BF4552"/>
    <w:rsid w:val="2CF6734C"/>
    <w:rsid w:val="2D663463"/>
    <w:rsid w:val="2EF96EE4"/>
    <w:rsid w:val="33817008"/>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94372E0"/>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28</Pages>
  <Words>7961</Words>
  <Characters>8388</Characters>
  <Lines>127</Lines>
  <Paragraphs>35</Paragraphs>
  <TotalTime>0</TotalTime>
  <ScaleCrop>false</ScaleCrop>
  <LinksUpToDate>false</LinksUpToDate>
  <CharactersWithSpaces>8442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2025-12-05T08:55:56Z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