
<file path=[Content_Types].xml><?xml version="1.0" encoding="utf-8"?>
<Types xmlns="http://schemas.openxmlformats.org/package/2006/content-types">
  <Default Extension="xml" ContentType="application/xml"/>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BBB9930">
      <w:pPr>
        <w:pStyle w:val="94"/>
      </w:pPr>
      <w:r>
        <w:rPr>
          <w:sz w:val="48"/>
          <w:szCs w:val="48"/>
        </w:rPr>
        <w:drawing>
          <wp:anchor distT="0" distB="0" distL="114300" distR="114300" simplePos="0" relativeHeight="251659264" behindDoc="0" locked="0" layoutInCell="1" allowOverlap="1">
            <wp:simplePos x="0" y="0"/>
            <wp:positionH relativeFrom="column">
              <wp:posOffset>10795</wp:posOffset>
            </wp:positionH>
            <wp:positionV relativeFrom="paragraph">
              <wp:posOffset>-6350</wp:posOffset>
            </wp:positionV>
            <wp:extent cx="2548890" cy="889000"/>
            <wp:effectExtent l="0" t="0" r="3810" b="6350"/>
            <wp:wrapNone/>
            <wp:docPr id="1" name="图片 1" descr="tim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tim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2548890" cy="889000"/>
                    </a:xfrm>
                    <a:prstGeom prst="rect">
                      <a:avLst/>
                    </a:prstGeom>
                    <a:noFill/>
                    <a:ln>
                      <a:noFill/>
                    </a:ln>
                  </pic:spPr>
                </pic:pic>
              </a:graphicData>
            </a:graphic>
          </wp:anchor>
        </w:drawing>
      </w:r>
    </w:p>
    <w:p w14:paraId="66F0CAD5">
      <w:pPr>
        <w:ind w:right="280"/>
        <w:jc w:val="center"/>
        <w:rPr>
          <w:rFonts w:ascii="宋体" w:hAnsi="宋体"/>
          <w:sz w:val="48"/>
          <w:szCs w:val="48"/>
        </w:rPr>
      </w:pPr>
    </w:p>
    <w:p w14:paraId="3EA24C15">
      <w:pPr>
        <w:ind w:right="280"/>
        <w:jc w:val="center"/>
        <w:rPr>
          <w:rFonts w:ascii="宋体" w:hAnsi="宋体"/>
          <w:sz w:val="48"/>
          <w:szCs w:val="48"/>
        </w:rPr>
      </w:pPr>
    </w:p>
    <w:p w14:paraId="734DA162">
      <w:pPr>
        <w:ind w:right="280"/>
        <w:jc w:val="center"/>
        <w:rPr>
          <w:rFonts w:ascii="宋体" w:hAnsi="宋体"/>
          <w:sz w:val="48"/>
          <w:szCs w:val="48"/>
        </w:rPr>
      </w:pPr>
    </w:p>
    <w:p w14:paraId="0435320E">
      <w:pPr>
        <w:ind w:right="280"/>
        <w:jc w:val="center"/>
        <w:rPr>
          <w:rFonts w:ascii="宋体" w:hAnsi="宋体"/>
          <w:sz w:val="48"/>
          <w:szCs w:val="48"/>
        </w:rPr>
      </w:pPr>
    </w:p>
    <w:p w14:paraId="07CDE389">
      <w:pPr>
        <w:ind w:right="280"/>
        <w:jc w:val="center"/>
        <w:rPr>
          <w:rFonts w:ascii="楷体_GB2312" w:hAnsi="宋体" w:eastAsia="楷体_GB2312"/>
          <w:sz w:val="52"/>
          <w:szCs w:val="52"/>
        </w:rPr>
      </w:pPr>
    </w:p>
    <w:p w14:paraId="612663B5">
      <w:pPr>
        <w:ind w:right="280"/>
        <w:jc w:val="center"/>
        <w:rPr>
          <w:sz w:val="28"/>
          <w:szCs w:val="28"/>
        </w:rPr>
      </w:pPr>
      <w:r>
        <w:rPr>
          <w:rFonts w:hint="eastAsia" w:ascii="楷体_GB2312" w:hAnsi="宋体" w:eastAsia="楷体_GB2312"/>
          <w:sz w:val="52"/>
          <w:szCs w:val="52"/>
          <w:highlight w:val="yellow"/>
        </w:rPr>
        <w:t>2026年卡车公司聚脲喷涂项目</w:t>
      </w:r>
    </w:p>
    <w:p w14:paraId="18CBF8EA">
      <w:pPr>
        <w:ind w:right="280"/>
        <w:jc w:val="center"/>
        <w:rPr>
          <w:sz w:val="28"/>
          <w:szCs w:val="28"/>
        </w:rPr>
      </w:pPr>
    </w:p>
    <w:p w14:paraId="6418E5FF">
      <w:pPr>
        <w:jc w:val="center"/>
        <w:rPr>
          <w:rFonts w:ascii="宋体" w:hAnsi="宋体" w:cs="宋体"/>
          <w:sz w:val="72"/>
          <w:szCs w:val="72"/>
        </w:rPr>
      </w:pPr>
      <w:r>
        <w:rPr>
          <w:rFonts w:hint="eastAsia" w:ascii="宋体" w:hAnsi="宋体" w:cs="宋体"/>
          <w:sz w:val="72"/>
          <w:szCs w:val="72"/>
        </w:rPr>
        <w:t>招标文件</w:t>
      </w:r>
    </w:p>
    <w:p w14:paraId="2A3C624C">
      <w:pPr>
        <w:jc w:val="center"/>
        <w:rPr>
          <w:rFonts w:ascii="宋体" w:hAnsi="宋体"/>
          <w:sz w:val="48"/>
          <w:szCs w:val="48"/>
        </w:rPr>
      </w:pPr>
    </w:p>
    <w:p w14:paraId="6993BE58">
      <w:pPr>
        <w:jc w:val="center"/>
        <w:rPr>
          <w:rFonts w:ascii="宋体" w:hAnsi="宋体"/>
          <w:sz w:val="48"/>
          <w:szCs w:val="48"/>
        </w:rPr>
      </w:pPr>
    </w:p>
    <w:p w14:paraId="63FA33C5">
      <w:pPr>
        <w:widowControl/>
        <w:spacing w:line="360" w:lineRule="auto"/>
        <w:jc w:val="center"/>
        <w:rPr>
          <w:rFonts w:ascii="宋体" w:hAnsi="宋体" w:cs="宋体"/>
          <w:b/>
          <w:bCs/>
          <w:kern w:val="0"/>
          <w:sz w:val="32"/>
          <w:szCs w:val="32"/>
          <w:u w:val="single"/>
        </w:rPr>
      </w:pPr>
      <w:r>
        <w:rPr>
          <w:rFonts w:hint="eastAsia" w:ascii="宋体" w:hAnsi="宋体" w:cs="宋体"/>
          <w:b/>
          <w:bCs/>
          <w:kern w:val="0"/>
          <w:sz w:val="32"/>
          <w:szCs w:val="32"/>
        </w:rPr>
        <w:t>项目编号：</w:t>
      </w:r>
      <w:r>
        <w:rPr>
          <w:rFonts w:hint="eastAsia" w:ascii="宋体" w:hAnsi="宋体" w:cs="宋体"/>
          <w:b/>
          <w:bCs/>
          <w:kern w:val="0"/>
          <w:sz w:val="32"/>
          <w:szCs w:val="32"/>
          <w:highlight w:val="yellow"/>
        </w:rPr>
        <w:t>FSCZB2025110316</w:t>
      </w:r>
    </w:p>
    <w:p w14:paraId="10A10BCC">
      <w:pPr>
        <w:jc w:val="center"/>
        <w:rPr>
          <w:rFonts w:ascii="宋体" w:hAnsi="宋体"/>
          <w:sz w:val="48"/>
          <w:szCs w:val="48"/>
        </w:rPr>
      </w:pPr>
    </w:p>
    <w:p w14:paraId="0D4E54EC">
      <w:pPr>
        <w:jc w:val="center"/>
        <w:rPr>
          <w:rFonts w:ascii="宋体" w:hAnsi="宋体"/>
          <w:sz w:val="48"/>
          <w:szCs w:val="48"/>
        </w:rPr>
      </w:pPr>
    </w:p>
    <w:p w14:paraId="111CA3F9">
      <w:pPr>
        <w:jc w:val="center"/>
        <w:rPr>
          <w:rFonts w:ascii="宋体" w:hAnsi="宋体"/>
          <w:sz w:val="28"/>
          <w:szCs w:val="28"/>
        </w:rPr>
      </w:pPr>
    </w:p>
    <w:p w14:paraId="12CB50D1">
      <w:pPr>
        <w:jc w:val="center"/>
        <w:rPr>
          <w:rFonts w:ascii="宋体" w:hAnsi="宋体"/>
          <w:sz w:val="28"/>
          <w:szCs w:val="28"/>
        </w:rPr>
      </w:pPr>
    </w:p>
    <w:p w14:paraId="1CE80EBC">
      <w:pPr>
        <w:jc w:val="center"/>
        <w:rPr>
          <w:rFonts w:ascii="宋体" w:hAnsi="宋体"/>
          <w:sz w:val="28"/>
          <w:szCs w:val="28"/>
        </w:rPr>
      </w:pPr>
      <w:r>
        <w:rPr>
          <w:rFonts w:hint="eastAsia" w:ascii="宋体" w:hAnsi="宋体"/>
          <w:sz w:val="28"/>
          <w:szCs w:val="28"/>
        </w:rPr>
        <w:t>招 标 人：中国重汽集团济南卡车股份有限公司制造公司</w:t>
      </w:r>
    </w:p>
    <w:p w14:paraId="0D8A0D9A">
      <w:pPr>
        <w:jc w:val="center"/>
        <w:rPr>
          <w:rFonts w:ascii="宋体" w:hAnsi="宋体"/>
          <w:sz w:val="28"/>
          <w:szCs w:val="28"/>
        </w:rPr>
      </w:pPr>
    </w:p>
    <w:p w14:paraId="0438957B">
      <w:pPr>
        <w:jc w:val="center"/>
        <w:rPr>
          <w:rFonts w:ascii="宋体" w:hAnsi="宋体"/>
          <w:sz w:val="28"/>
          <w:szCs w:val="28"/>
          <w:u w:val="single"/>
        </w:rPr>
      </w:pPr>
      <w:r>
        <w:rPr>
          <w:rFonts w:hint="eastAsia" w:ascii="宋体" w:hAnsi="宋体"/>
          <w:sz w:val="28"/>
          <w:szCs w:val="28"/>
          <w:u w:val="single"/>
        </w:rPr>
        <w:t>20</w:t>
      </w:r>
      <w:r>
        <w:rPr>
          <w:rFonts w:hint="eastAsia" w:ascii="宋体" w:hAnsi="宋体"/>
          <w:sz w:val="28"/>
          <w:szCs w:val="28"/>
          <w:u w:val="single"/>
          <w:lang w:val="en-US" w:eastAsia="zh-CN"/>
        </w:rPr>
        <w:t>25</w:t>
      </w:r>
      <w:r>
        <w:rPr>
          <w:rFonts w:hint="eastAsia" w:ascii="宋体" w:hAnsi="宋体"/>
          <w:sz w:val="28"/>
          <w:szCs w:val="28"/>
          <w:u w:val="single"/>
        </w:rPr>
        <w:t>年</w:t>
      </w:r>
      <w:r>
        <w:rPr>
          <w:rFonts w:hint="eastAsia" w:ascii="宋体" w:hAnsi="宋体"/>
          <w:sz w:val="28"/>
          <w:szCs w:val="28"/>
          <w:u w:val="single"/>
          <w:lang w:val="en-US" w:eastAsia="zh-CN"/>
        </w:rPr>
        <w:t>11</w:t>
      </w:r>
      <w:r>
        <w:rPr>
          <w:rFonts w:hint="eastAsia" w:ascii="宋体" w:hAnsi="宋体"/>
          <w:sz w:val="28"/>
          <w:szCs w:val="28"/>
          <w:u w:val="single"/>
        </w:rPr>
        <w:t>月</w:t>
      </w:r>
    </w:p>
    <w:p w14:paraId="09CB3C92">
      <w:pPr>
        <w:spacing w:line="480" w:lineRule="auto"/>
        <w:jc w:val="center"/>
        <w:rPr>
          <w:rFonts w:ascii="宋体" w:hAnsi="宋体"/>
          <w:b/>
          <w:bCs/>
          <w:sz w:val="48"/>
          <w:szCs w:val="48"/>
        </w:rPr>
      </w:pPr>
    </w:p>
    <w:p w14:paraId="2E11C4D8">
      <w:pPr>
        <w:spacing w:line="480" w:lineRule="auto"/>
        <w:jc w:val="center"/>
        <w:rPr>
          <w:rFonts w:ascii="宋体" w:hAnsi="宋体"/>
          <w:b/>
          <w:bCs/>
          <w:sz w:val="48"/>
          <w:szCs w:val="48"/>
        </w:rPr>
        <w:sectPr>
          <w:footerReference r:id="rId6" w:type="first"/>
          <w:headerReference r:id="rId3" w:type="default"/>
          <w:footerReference r:id="rId4" w:type="default"/>
          <w:footerReference r:id="rId5" w:type="even"/>
          <w:pgSz w:w="11906" w:h="16838"/>
          <w:pgMar w:top="1701" w:right="1418" w:bottom="1134" w:left="1418" w:header="851" w:footer="992" w:gutter="0"/>
          <w:pgNumType w:fmt="numberInDash" w:start="1"/>
          <w:cols w:space="720" w:num="1"/>
          <w:titlePg/>
          <w:docGrid w:type="lines" w:linePitch="312" w:charSpace="0"/>
        </w:sectPr>
      </w:pPr>
    </w:p>
    <w:sdt>
      <w:sdtPr>
        <w:rPr>
          <w:rFonts w:ascii="Times New Roman" w:hAnsi="Times New Roman" w:eastAsia="宋体" w:cs="Times New Roman"/>
          <w:color w:val="auto"/>
          <w:kern w:val="2"/>
          <w:sz w:val="21"/>
          <w:szCs w:val="20"/>
          <w:lang w:val="zh-CN"/>
        </w:rPr>
        <w:id w:val="-629018532"/>
        <w:docPartObj>
          <w:docPartGallery w:val="Table of Contents"/>
          <w:docPartUnique/>
        </w:docPartObj>
      </w:sdtPr>
      <w:sdtEndPr>
        <w:rPr>
          <w:rFonts w:ascii="Times New Roman" w:hAnsi="Times New Roman" w:eastAsia="宋体" w:cs="Times New Roman"/>
          <w:b/>
          <w:bCs/>
          <w:color w:val="auto"/>
          <w:kern w:val="2"/>
          <w:sz w:val="21"/>
          <w:szCs w:val="20"/>
          <w:lang w:val="zh-CN"/>
        </w:rPr>
      </w:sdtEndPr>
      <w:sdtContent>
        <w:p w14:paraId="176426B1">
          <w:pPr>
            <w:pStyle w:val="68"/>
            <w:jc w:val="center"/>
            <w:rPr>
              <w:rFonts w:ascii="黑体" w:hAnsi="黑体" w:eastAsia="黑体"/>
              <w:b/>
              <w:color w:val="auto"/>
              <w:sz w:val="44"/>
              <w:szCs w:val="44"/>
              <w:lang w:val="zh-CN"/>
            </w:rPr>
          </w:pPr>
          <w:r>
            <w:rPr>
              <w:rFonts w:ascii="黑体" w:hAnsi="黑体" w:eastAsia="黑体"/>
              <w:b/>
              <w:color w:val="auto"/>
              <w:sz w:val="44"/>
              <w:szCs w:val="44"/>
              <w:lang w:val="zh-CN"/>
            </w:rPr>
            <w:t>目</w:t>
          </w:r>
          <w:r>
            <w:rPr>
              <w:rFonts w:hint="eastAsia" w:ascii="黑体" w:hAnsi="黑体" w:eastAsia="黑体"/>
              <w:b/>
              <w:color w:val="auto"/>
              <w:sz w:val="44"/>
              <w:szCs w:val="44"/>
              <w:lang w:val="zh-CN"/>
            </w:rPr>
            <w:t xml:space="preserve"> </w:t>
          </w:r>
          <w:r>
            <w:rPr>
              <w:rFonts w:ascii="黑体" w:hAnsi="黑体" w:eastAsia="黑体"/>
              <w:b/>
              <w:color w:val="auto"/>
              <w:sz w:val="44"/>
              <w:szCs w:val="44"/>
              <w:lang w:val="zh-CN"/>
            </w:rPr>
            <w:t xml:space="preserve">    录</w:t>
          </w:r>
        </w:p>
        <w:p w14:paraId="46B5AC1E">
          <w:pPr>
            <w:pStyle w:val="20"/>
            <w:tabs>
              <w:tab w:val="right" w:leader="middleDot" w:pos="9070"/>
              <w:tab w:val="clear" w:pos="8729"/>
            </w:tabs>
          </w:pPr>
          <w:r>
            <w:rPr>
              <w:rFonts w:hint="eastAsia" w:ascii="Calibri" w:hAnsi="Calibri"/>
              <w:bCs/>
              <w:kern w:val="44"/>
              <w:sz w:val="36"/>
              <w:szCs w:val="44"/>
            </w:rPr>
            <w:fldChar w:fldCharType="begin"/>
          </w:r>
          <w:r>
            <w:rPr>
              <w:rFonts w:hint="eastAsia" w:ascii="Calibri" w:hAnsi="Calibri"/>
              <w:bCs/>
              <w:kern w:val="44"/>
              <w:sz w:val="36"/>
              <w:szCs w:val="44"/>
            </w:rPr>
            <w:instrText xml:space="preserve">TOC \o "1-1" \h \u </w:instrText>
          </w:r>
          <w:r>
            <w:rPr>
              <w:rFonts w:hint="eastAsia" w:ascii="Calibri" w:hAnsi="Calibri"/>
              <w:bCs/>
              <w:kern w:val="44"/>
              <w:sz w:val="36"/>
              <w:szCs w:val="44"/>
            </w:rPr>
            <w:fldChar w:fldCharType="separate"/>
          </w:r>
          <w:r>
            <w:rPr>
              <w:rFonts w:hint="eastAsia" w:ascii="Calibri" w:hAnsi="Calibri"/>
              <w:bCs/>
              <w:kern w:val="44"/>
              <w:szCs w:val="44"/>
            </w:rPr>
            <w:fldChar w:fldCharType="begin"/>
          </w:r>
          <w:r>
            <w:rPr>
              <w:rFonts w:hint="eastAsia" w:ascii="Calibri" w:hAnsi="Calibri"/>
              <w:bCs/>
              <w:kern w:val="44"/>
              <w:szCs w:val="44"/>
            </w:rPr>
            <w:instrText xml:space="preserve"> HYPERLINK \l _Toc7104 </w:instrText>
          </w:r>
          <w:r>
            <w:rPr>
              <w:rFonts w:hint="eastAsia" w:ascii="Calibri" w:hAnsi="Calibri"/>
              <w:bCs/>
              <w:kern w:val="44"/>
              <w:szCs w:val="44"/>
            </w:rPr>
            <w:fldChar w:fldCharType="separate"/>
          </w:r>
          <w:r>
            <w:rPr>
              <w:rFonts w:hint="eastAsia"/>
            </w:rPr>
            <w:t>招标公告</w:t>
          </w:r>
          <w:r>
            <w:tab/>
          </w:r>
          <w:r>
            <w:fldChar w:fldCharType="begin"/>
          </w:r>
          <w:r>
            <w:instrText xml:space="preserve"> PAGEREF _Toc7104 \h </w:instrText>
          </w:r>
          <w:r>
            <w:fldChar w:fldCharType="separate"/>
          </w:r>
          <w:r>
            <w:t>- 1 -</w:t>
          </w:r>
          <w:r>
            <w:fldChar w:fldCharType="end"/>
          </w:r>
          <w:r>
            <w:rPr>
              <w:rFonts w:hint="eastAsia" w:ascii="Calibri" w:hAnsi="Calibri"/>
              <w:bCs/>
              <w:kern w:val="44"/>
              <w:szCs w:val="44"/>
            </w:rPr>
            <w:fldChar w:fldCharType="end"/>
          </w:r>
        </w:p>
        <w:p w14:paraId="3718B9B5">
          <w:pPr>
            <w:pStyle w:val="20"/>
            <w:tabs>
              <w:tab w:val="right" w:leader="middleDot" w:pos="9070"/>
              <w:tab w:val="clear" w:pos="8729"/>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_Toc7753 </w:instrText>
          </w:r>
          <w:r>
            <w:rPr>
              <w:rFonts w:hint="eastAsia" w:ascii="Calibri" w:hAnsi="Calibri" w:eastAsia="宋体" w:cs="Times New Roman"/>
              <w:bCs/>
              <w:kern w:val="44"/>
              <w:szCs w:val="44"/>
            </w:rPr>
            <w:fldChar w:fldCharType="separate"/>
          </w:r>
          <w:r>
            <w:rPr>
              <w:rFonts w:hint="eastAsia"/>
            </w:rPr>
            <w:t>第一部分  投标人须知</w:t>
          </w:r>
          <w:r>
            <w:tab/>
          </w:r>
          <w:r>
            <w:fldChar w:fldCharType="begin"/>
          </w:r>
          <w:r>
            <w:instrText xml:space="preserve"> PAGEREF _Toc7753 \h </w:instrText>
          </w:r>
          <w:r>
            <w:fldChar w:fldCharType="separate"/>
          </w:r>
          <w:r>
            <w:t>- 2 -</w:t>
          </w:r>
          <w:r>
            <w:fldChar w:fldCharType="end"/>
          </w:r>
          <w:r>
            <w:rPr>
              <w:rFonts w:hint="eastAsia" w:ascii="Calibri" w:hAnsi="Calibri" w:eastAsia="宋体" w:cs="Times New Roman"/>
              <w:bCs/>
              <w:kern w:val="44"/>
              <w:szCs w:val="44"/>
            </w:rPr>
            <w:fldChar w:fldCharType="end"/>
          </w:r>
        </w:p>
        <w:p w14:paraId="4D6E9C52">
          <w:pPr>
            <w:pStyle w:val="20"/>
            <w:tabs>
              <w:tab w:val="right" w:leader="middleDot" w:pos="9070"/>
              <w:tab w:val="clear" w:pos="8729"/>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_Toc1910 </w:instrText>
          </w:r>
          <w:r>
            <w:rPr>
              <w:rFonts w:hint="eastAsia" w:ascii="Calibri" w:hAnsi="Calibri" w:eastAsia="宋体" w:cs="Times New Roman"/>
              <w:bCs/>
              <w:kern w:val="44"/>
              <w:szCs w:val="44"/>
            </w:rPr>
            <w:fldChar w:fldCharType="separate"/>
          </w:r>
          <w:r>
            <w:rPr>
              <w:rFonts w:hint="eastAsia"/>
            </w:rPr>
            <w:t>第二部分　</w:t>
          </w:r>
          <w:r>
            <w:rPr>
              <w:rFonts w:hint="eastAsia"/>
              <w:lang w:val="en-US" w:eastAsia="zh-CN"/>
            </w:rPr>
            <w:t>技术标书</w:t>
          </w:r>
          <w:r>
            <w:tab/>
          </w:r>
          <w:r>
            <w:fldChar w:fldCharType="begin"/>
          </w:r>
          <w:r>
            <w:instrText xml:space="preserve"> PAGEREF _Toc1910 \h </w:instrText>
          </w:r>
          <w:r>
            <w:fldChar w:fldCharType="separate"/>
          </w:r>
          <w:r>
            <w:t>- 8 -</w:t>
          </w:r>
          <w:r>
            <w:fldChar w:fldCharType="end"/>
          </w:r>
          <w:r>
            <w:rPr>
              <w:rFonts w:hint="eastAsia" w:ascii="Calibri" w:hAnsi="Calibri" w:eastAsia="宋体" w:cs="Times New Roman"/>
              <w:bCs/>
              <w:kern w:val="44"/>
              <w:szCs w:val="44"/>
            </w:rPr>
            <w:fldChar w:fldCharType="end"/>
          </w:r>
        </w:p>
        <w:p w14:paraId="5D6BEB3E">
          <w:pPr>
            <w:pStyle w:val="20"/>
            <w:tabs>
              <w:tab w:val="right" w:leader="middleDot" w:pos="9070"/>
              <w:tab w:val="clear" w:pos="8729"/>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_Toc20595 </w:instrText>
          </w:r>
          <w:r>
            <w:rPr>
              <w:rFonts w:hint="eastAsia" w:ascii="Calibri" w:hAnsi="Calibri" w:eastAsia="宋体" w:cs="Times New Roman"/>
              <w:bCs/>
              <w:kern w:val="44"/>
              <w:szCs w:val="44"/>
            </w:rPr>
            <w:fldChar w:fldCharType="separate"/>
          </w:r>
          <w:r>
            <w:rPr>
              <w:rFonts w:hint="eastAsia"/>
            </w:rPr>
            <w:t>第三部分　合同主要条款</w:t>
          </w:r>
          <w:r>
            <w:tab/>
          </w:r>
          <w:r>
            <w:fldChar w:fldCharType="begin"/>
          </w:r>
          <w:r>
            <w:instrText xml:space="preserve"> PAGEREF _Toc20595 \h </w:instrText>
          </w:r>
          <w:r>
            <w:fldChar w:fldCharType="separate"/>
          </w:r>
          <w:r>
            <w:t>- 8 -</w:t>
          </w:r>
          <w:r>
            <w:fldChar w:fldCharType="end"/>
          </w:r>
          <w:r>
            <w:rPr>
              <w:rFonts w:hint="eastAsia" w:ascii="Calibri" w:hAnsi="Calibri" w:eastAsia="宋体" w:cs="Times New Roman"/>
              <w:bCs/>
              <w:kern w:val="44"/>
              <w:szCs w:val="44"/>
            </w:rPr>
            <w:fldChar w:fldCharType="end"/>
          </w:r>
        </w:p>
        <w:p w14:paraId="7691DBF9">
          <w:pPr>
            <w:pStyle w:val="20"/>
            <w:tabs>
              <w:tab w:val="right" w:leader="middleDot" w:pos="9070"/>
              <w:tab w:val="clear" w:pos="8729"/>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_Toc5925 </w:instrText>
          </w:r>
          <w:r>
            <w:rPr>
              <w:rFonts w:hint="eastAsia" w:ascii="Calibri" w:hAnsi="Calibri" w:eastAsia="宋体" w:cs="Times New Roman"/>
              <w:bCs/>
              <w:kern w:val="44"/>
              <w:szCs w:val="44"/>
            </w:rPr>
            <w:fldChar w:fldCharType="separate"/>
          </w:r>
          <w:r>
            <w:rPr>
              <w:rFonts w:hint="eastAsia"/>
            </w:rPr>
            <w:t>第四部分　</w:t>
          </w:r>
          <w:r>
            <w:rPr>
              <w:rFonts w:hint="eastAsia"/>
              <w:lang w:val="en-US" w:eastAsia="zh-CN"/>
            </w:rPr>
            <w:t>投标文件附件</w:t>
          </w:r>
          <w:r>
            <w:tab/>
          </w:r>
          <w:r>
            <w:fldChar w:fldCharType="begin"/>
          </w:r>
          <w:r>
            <w:instrText xml:space="preserve"> PAGEREF _Toc5925 \h </w:instrText>
          </w:r>
          <w:r>
            <w:fldChar w:fldCharType="separate"/>
          </w:r>
          <w:r>
            <w:t>- 9 -</w:t>
          </w:r>
          <w:r>
            <w:fldChar w:fldCharType="end"/>
          </w:r>
          <w:r>
            <w:rPr>
              <w:rFonts w:hint="eastAsia" w:ascii="Calibri" w:hAnsi="Calibri" w:eastAsia="宋体" w:cs="Times New Roman"/>
              <w:bCs/>
              <w:kern w:val="44"/>
              <w:szCs w:val="44"/>
            </w:rPr>
            <w:fldChar w:fldCharType="end"/>
          </w:r>
        </w:p>
        <w:p w14:paraId="6617A57C">
          <w:pPr>
            <w:pStyle w:val="20"/>
          </w:pPr>
          <w:r>
            <w:rPr>
              <w:rFonts w:hint="eastAsia" w:ascii="Calibri" w:hAnsi="Calibri" w:eastAsia="宋体" w:cs="Times New Roman"/>
              <w:bCs/>
              <w:kern w:val="44"/>
              <w:szCs w:val="44"/>
            </w:rPr>
            <w:fldChar w:fldCharType="end"/>
          </w:r>
        </w:p>
      </w:sdtContent>
    </w:sdt>
    <w:p w14:paraId="582BF911">
      <w:pPr>
        <w:pStyle w:val="14"/>
        <w:tabs>
          <w:tab w:val="left" w:pos="2940"/>
        </w:tabs>
        <w:spacing w:line="360" w:lineRule="auto"/>
      </w:pPr>
      <w:r>
        <w:tab/>
      </w:r>
    </w:p>
    <w:p w14:paraId="29FEE1FC">
      <w:pPr>
        <w:pStyle w:val="14"/>
        <w:spacing w:line="360" w:lineRule="auto"/>
        <w:jc w:val="center"/>
      </w:pPr>
    </w:p>
    <w:p w14:paraId="1A6E7B1A">
      <w:pPr>
        <w:pStyle w:val="14"/>
        <w:spacing w:line="360" w:lineRule="auto"/>
        <w:jc w:val="center"/>
        <w:sectPr>
          <w:pgSz w:w="11906" w:h="16838"/>
          <w:pgMar w:top="1701" w:right="1418" w:bottom="1134" w:left="1418" w:header="851" w:footer="992" w:gutter="0"/>
          <w:pgNumType w:fmt="numberInDash" w:start="1"/>
          <w:cols w:space="720" w:num="1"/>
          <w:titlePg/>
          <w:docGrid w:type="lines" w:linePitch="312" w:charSpace="0"/>
        </w:sectPr>
      </w:pPr>
    </w:p>
    <w:p w14:paraId="0230EEDA">
      <w:pPr>
        <w:pStyle w:val="71"/>
      </w:pPr>
      <w:bookmarkStart w:id="0" w:name="_Toc7104"/>
      <w:bookmarkStart w:id="1" w:name="_Toc47976587"/>
      <w:r>
        <w:rPr>
          <w:rFonts w:hint="eastAsia"/>
        </w:rPr>
        <w:t>招标公告</w:t>
      </w:r>
      <w:bookmarkEnd w:id="0"/>
      <w:bookmarkEnd w:id="1"/>
    </w:p>
    <w:p w14:paraId="3B867C39">
      <w:pPr>
        <w:pStyle w:val="71"/>
        <w:rPr>
          <w:rFonts w:hint="eastAsia"/>
        </w:rPr>
      </w:pPr>
    </w:p>
    <w:p w14:paraId="2A47C58A">
      <w:pPr>
        <w:pStyle w:val="72"/>
      </w:pPr>
      <w:bookmarkStart w:id="2" w:name="_Toc47976588"/>
      <w:r>
        <w:rPr>
          <w:rFonts w:hint="eastAsia"/>
        </w:rPr>
        <w:t>项目名称及项目编号</w:t>
      </w:r>
      <w:bookmarkEnd w:id="2"/>
    </w:p>
    <w:p w14:paraId="1E71F649">
      <w:pPr>
        <w:pStyle w:val="73"/>
      </w:pPr>
      <w:r>
        <w:rPr>
          <w:rFonts w:hint="eastAsia"/>
        </w:rPr>
        <w:t>项目名称：</w:t>
      </w:r>
      <w:r>
        <w:rPr>
          <w:rFonts w:hint="eastAsia"/>
          <w:highlight w:val="yellow"/>
        </w:rPr>
        <w:t xml:space="preserve"> 2026年卡车公司聚脲喷涂项目</w:t>
      </w:r>
    </w:p>
    <w:p w14:paraId="15020D03">
      <w:pPr>
        <w:pStyle w:val="73"/>
      </w:pPr>
      <w:r>
        <w:rPr>
          <w:rFonts w:hint="eastAsia"/>
        </w:rPr>
        <w:t>项目编号：</w:t>
      </w:r>
      <w:r>
        <w:rPr>
          <w:rFonts w:hint="eastAsia"/>
          <w:highlight w:val="yellow"/>
        </w:rPr>
        <w:t xml:space="preserve"> FSCZB2025110316</w:t>
      </w:r>
    </w:p>
    <w:p w14:paraId="0AB9F24D">
      <w:pPr>
        <w:pStyle w:val="72"/>
      </w:pPr>
      <w:bookmarkStart w:id="3" w:name="_Toc47976589"/>
      <w:r>
        <w:rPr>
          <w:rFonts w:hint="eastAsia"/>
          <w:lang w:val="en-US" w:eastAsia="zh-CN"/>
        </w:rPr>
        <w:t>项目概况</w:t>
      </w:r>
      <w:r>
        <w:rPr>
          <w:rFonts w:hint="eastAsia"/>
        </w:rPr>
        <w:t>及招标形式</w:t>
      </w:r>
      <w:bookmarkEnd w:id="3"/>
    </w:p>
    <w:p w14:paraId="1A912F05">
      <w:pPr>
        <w:pStyle w:val="73"/>
        <w:numPr>
          <w:ilvl w:val="0"/>
          <w:numId w:val="9"/>
        </w:numPr>
      </w:pPr>
      <w:r>
        <w:rPr>
          <w:rFonts w:hint="eastAsia"/>
        </w:rPr>
        <w:t>招标内容：</w:t>
      </w:r>
      <w:r>
        <w:rPr>
          <w:rFonts w:hint="eastAsia"/>
          <w:highlight w:val="yellow"/>
        </w:rPr>
        <w:t>2026年卡车公司聚脲喷涂项目</w:t>
      </w:r>
    </w:p>
    <w:p w14:paraId="4EC58B63">
      <w:pPr>
        <w:pStyle w:val="73"/>
      </w:pPr>
      <w:r>
        <w:rPr>
          <w:rFonts w:hint="eastAsia"/>
        </w:rPr>
        <w:t>招标形式：</w:t>
      </w:r>
      <w:r>
        <w:rPr>
          <w:rFonts w:hint="eastAsia"/>
          <w:highlight w:val="yellow"/>
        </w:rPr>
        <w:t>公开招标</w:t>
      </w:r>
      <w:r>
        <w:rPr>
          <w:rStyle w:val="97"/>
          <w:rFonts w:hint="eastAsia"/>
          <w:b w:val="0"/>
          <w:highlight w:val="yellow"/>
        </w:rPr>
        <w:t>。</w:t>
      </w:r>
    </w:p>
    <w:p w14:paraId="76B97D53">
      <w:pPr>
        <w:pStyle w:val="72"/>
        <w:rPr>
          <w:highlight w:val="yellow"/>
        </w:rPr>
      </w:pPr>
      <w:bookmarkStart w:id="4" w:name="_Toc47976591"/>
      <w:r>
        <w:rPr>
          <w:rFonts w:hint="eastAsia"/>
          <w:highlight w:val="yellow"/>
        </w:rPr>
        <w:t>报名及招标文件的获取</w:t>
      </w:r>
      <w:bookmarkEnd w:id="4"/>
    </w:p>
    <w:p w14:paraId="0E06EF19">
      <w:pPr>
        <w:pStyle w:val="14"/>
        <w:numPr>
          <w:ilvl w:val="0"/>
          <w:numId w:val="10"/>
        </w:numPr>
        <w:spacing w:line="360" w:lineRule="auto"/>
        <w:ind w:firstLine="422" w:firstLineChars="200"/>
        <w:rPr>
          <w:rFonts w:hAnsi="宋体" w:cs="宋体"/>
          <w:szCs w:val="21"/>
          <w:highlight w:val="yellow"/>
        </w:rPr>
      </w:pPr>
      <w:r>
        <w:rPr>
          <w:rFonts w:hint="eastAsia" w:hAnsi="宋体" w:cs="宋体"/>
          <w:b/>
          <w:bCs/>
          <w:szCs w:val="21"/>
        </w:rPr>
        <w:t>报名截止时间：2025年1</w:t>
      </w:r>
      <w:r>
        <w:rPr>
          <w:rFonts w:hint="eastAsia" w:hAnsi="宋体" w:cs="宋体"/>
          <w:b/>
          <w:bCs/>
          <w:szCs w:val="21"/>
          <w:lang w:val="en-US" w:eastAsia="zh-CN"/>
        </w:rPr>
        <w:t>2</w:t>
      </w:r>
      <w:r>
        <w:rPr>
          <w:rFonts w:hint="eastAsia" w:hAnsi="宋体" w:cs="宋体"/>
          <w:b/>
          <w:bCs/>
          <w:szCs w:val="21"/>
        </w:rPr>
        <w:t>月</w:t>
      </w:r>
      <w:r>
        <w:rPr>
          <w:rFonts w:hint="eastAsia" w:hAnsi="宋体" w:cs="宋体"/>
          <w:b/>
          <w:bCs/>
          <w:szCs w:val="21"/>
          <w:lang w:val="en-US" w:eastAsia="zh-CN"/>
        </w:rPr>
        <w:t>10</w:t>
      </w:r>
      <w:r>
        <w:rPr>
          <w:rFonts w:hint="eastAsia" w:hAnsi="宋体" w:cs="宋体"/>
          <w:b/>
          <w:bCs/>
          <w:szCs w:val="21"/>
        </w:rPr>
        <w:t>日下午17点</w:t>
      </w:r>
    </w:p>
    <w:p w14:paraId="6BBCD822">
      <w:pPr>
        <w:pStyle w:val="14"/>
        <w:numPr>
          <w:ilvl w:val="0"/>
          <w:numId w:val="10"/>
        </w:numPr>
        <w:spacing w:line="360" w:lineRule="auto"/>
        <w:ind w:firstLine="422" w:firstLineChars="200"/>
        <w:rPr>
          <w:rFonts w:hAnsi="宋体" w:cs="宋体"/>
          <w:szCs w:val="21"/>
          <w:highlight w:val="yellow"/>
        </w:rPr>
      </w:pPr>
      <w:r>
        <w:rPr>
          <w:rFonts w:hint="eastAsia" w:hAnsi="宋体" w:cs="宋体"/>
          <w:b/>
          <w:bCs/>
          <w:szCs w:val="21"/>
        </w:rPr>
        <w:t>招标文件获取方式：投标人在上述时间范围内，在中国重汽e采通平台上获取招标文件</w:t>
      </w:r>
    </w:p>
    <w:p w14:paraId="7A0927CB">
      <w:pPr>
        <w:pStyle w:val="72"/>
        <w:numPr>
          <w:ilvl w:val="0"/>
          <w:numId w:val="0"/>
        </w:numPr>
        <w:ind w:leftChars="0"/>
        <w:rPr>
          <w:highlight w:val="yellow"/>
        </w:rPr>
      </w:pPr>
      <w:r>
        <w:rPr>
          <w:rFonts w:hint="eastAsia" w:ascii="宋体" w:hAnsi="宋体" w:eastAsia="宋体" w:cs="宋体"/>
          <w:sz w:val="21"/>
          <w:szCs w:val="21"/>
        </w:rPr>
        <w:t>报名方式：拟投标人根据招标人在中国重汽官网等公开媒体上发布的招标信息，在“中国重汽e采通”平台报名。按照中国重汽e采通“SRM非生产供应商注册手册”进行注册，注册完毕后按照“SRM系统供应商用户手册”，登录重汽e采通平台后进入“供应商应标”，选择对应的项目，点击“应标”后按照招标文件</w:t>
      </w:r>
      <w:r>
        <w:rPr>
          <w:rFonts w:hint="eastAsia" w:ascii="宋体" w:hAnsi="宋体" w:eastAsia="宋体" w:cs="宋体"/>
          <w:sz w:val="21"/>
          <w:szCs w:val="21"/>
          <w:lang w:val="en-US" w:eastAsia="zh-CN"/>
        </w:rPr>
        <w:t>中的</w:t>
      </w:r>
      <w:r>
        <w:rPr>
          <w:rFonts w:hint="eastAsia" w:ascii="宋体" w:hAnsi="宋体" w:eastAsia="宋体" w:cs="宋体"/>
          <w:sz w:val="21"/>
          <w:szCs w:val="21"/>
        </w:rPr>
        <w:t>投标文件</w:t>
      </w:r>
      <w:r>
        <w:rPr>
          <w:rFonts w:hint="eastAsia" w:ascii="宋体" w:hAnsi="宋体" w:eastAsia="宋体" w:cs="宋体"/>
          <w:sz w:val="21"/>
          <w:szCs w:val="21"/>
          <w:lang w:eastAsia="zh-CN"/>
        </w:rPr>
        <w:t>《</w:t>
      </w:r>
      <w:r>
        <w:rPr>
          <w:rFonts w:hint="eastAsia" w:ascii="宋体" w:hAnsi="宋体" w:eastAsia="宋体" w:cs="宋体"/>
          <w:sz w:val="21"/>
          <w:szCs w:val="21"/>
          <w:lang w:val="en-US" w:eastAsia="zh-CN"/>
        </w:rPr>
        <w:t>资质标书》</w:t>
      </w:r>
      <w:r>
        <w:rPr>
          <w:rFonts w:hint="eastAsia" w:ascii="宋体" w:hAnsi="宋体" w:eastAsia="宋体" w:cs="宋体"/>
          <w:sz w:val="21"/>
          <w:szCs w:val="21"/>
        </w:rPr>
        <w:t>准备资料并上传，资质审查通过即为报名成功；公示期间请尽快报名。</w:t>
      </w:r>
    </w:p>
    <w:p w14:paraId="654E7574">
      <w:pPr>
        <w:pStyle w:val="72"/>
        <w:rPr>
          <w:highlight w:val="yellow"/>
        </w:rPr>
      </w:pPr>
      <w:r>
        <w:rPr>
          <w:rFonts w:hint="eastAsia"/>
          <w:highlight w:val="yellow"/>
        </w:rPr>
        <w:t>投标文件的递交</w:t>
      </w:r>
    </w:p>
    <w:p w14:paraId="3AE4448B">
      <w:pPr>
        <w:pStyle w:val="72"/>
        <w:numPr>
          <w:ilvl w:val="0"/>
          <w:numId w:val="0"/>
        </w:numPr>
        <w:ind w:leftChars="0"/>
        <w:rPr>
          <w:highlight w:val="yellow"/>
        </w:rPr>
      </w:pPr>
      <w:r>
        <w:rPr>
          <w:rFonts w:hint="eastAsia" w:ascii="宋体" w:hAnsi="宋体" w:eastAsia="宋体" w:cs="宋体"/>
          <w:sz w:val="21"/>
          <w:szCs w:val="21"/>
        </w:rPr>
        <w:t>投标方式：在中国重汽e采通平台应标成功后，进入“供应商投标”环节，投递盖章扫描版电子标书（包含资质标书、技术标书、商务标书），若逾期未在中国重汽e采通平台上传电子标书，一律视为无效投标。</w:t>
      </w:r>
    </w:p>
    <w:p w14:paraId="4FB336BE">
      <w:pPr>
        <w:pStyle w:val="72"/>
        <w:rPr>
          <w:highlight w:val="yellow"/>
        </w:rPr>
      </w:pPr>
      <w:r>
        <w:rPr>
          <w:rFonts w:hint="eastAsia"/>
          <w:highlight w:val="yellow"/>
          <w:lang w:val="en-US" w:eastAsia="zh-CN"/>
        </w:rPr>
        <w:t>开标时间和地点</w:t>
      </w:r>
    </w:p>
    <w:p w14:paraId="08ED514D">
      <w:pPr>
        <w:pStyle w:val="72"/>
        <w:numPr>
          <w:ilvl w:val="0"/>
          <w:numId w:val="11"/>
        </w:numPr>
        <w:ind w:left="840"/>
        <w:rPr>
          <w:highlight w:val="yellow"/>
        </w:rPr>
      </w:pPr>
      <w:r>
        <w:rPr>
          <w:rFonts w:hint="eastAsia" w:ascii="宋体" w:hAnsi="宋体" w:eastAsia="宋体" w:cs="宋体"/>
          <w:sz w:val="21"/>
          <w:szCs w:val="21"/>
          <w:highlight w:val="yellow"/>
        </w:rPr>
        <w:t>时间：2025年1</w:t>
      </w:r>
      <w:r>
        <w:rPr>
          <w:rFonts w:hint="eastAsia" w:ascii="宋体" w:hAnsi="宋体" w:eastAsia="宋体" w:cs="宋体"/>
          <w:sz w:val="21"/>
          <w:szCs w:val="21"/>
          <w:highlight w:val="yellow"/>
          <w:lang w:val="en-US" w:eastAsia="zh-CN"/>
        </w:rPr>
        <w:t>2</w:t>
      </w:r>
      <w:r>
        <w:rPr>
          <w:rFonts w:hint="eastAsia" w:ascii="宋体" w:hAnsi="宋体" w:eastAsia="宋体" w:cs="宋体"/>
          <w:sz w:val="21"/>
          <w:szCs w:val="21"/>
          <w:highlight w:val="yellow"/>
        </w:rPr>
        <w:t>月</w:t>
      </w:r>
      <w:r>
        <w:rPr>
          <w:rFonts w:hint="eastAsia" w:ascii="宋体" w:hAnsi="宋体" w:eastAsia="宋体" w:cs="宋体"/>
          <w:sz w:val="21"/>
          <w:szCs w:val="21"/>
          <w:highlight w:val="yellow"/>
          <w:lang w:val="en-US" w:eastAsia="zh-CN"/>
        </w:rPr>
        <w:t>15</w:t>
      </w:r>
      <w:r>
        <w:rPr>
          <w:rFonts w:hint="eastAsia" w:ascii="宋体" w:hAnsi="宋体" w:eastAsia="宋体" w:cs="宋体"/>
          <w:sz w:val="21"/>
          <w:szCs w:val="21"/>
          <w:highlight w:val="yellow"/>
        </w:rPr>
        <w:t>日9:00:00</w:t>
      </w:r>
    </w:p>
    <w:p w14:paraId="15ABDA21">
      <w:pPr>
        <w:pStyle w:val="72"/>
        <w:numPr>
          <w:ilvl w:val="0"/>
          <w:numId w:val="11"/>
        </w:numPr>
        <w:ind w:left="840"/>
        <w:rPr>
          <w:highlight w:val="yellow"/>
        </w:rPr>
      </w:pPr>
      <w:r>
        <w:rPr>
          <w:rFonts w:hint="eastAsia" w:ascii="宋体" w:hAnsi="宋体" w:eastAsia="宋体" w:cs="宋体"/>
          <w:sz w:val="21"/>
          <w:szCs w:val="21"/>
          <w:highlight w:val="yellow"/>
        </w:rPr>
        <w:t>地点：济南市历城区华奥路777号重汽科技大厦</w:t>
      </w:r>
    </w:p>
    <w:p w14:paraId="373B9D6F">
      <w:pPr>
        <w:pStyle w:val="72"/>
      </w:pPr>
      <w:r>
        <w:rPr>
          <w:rFonts w:hint="eastAsia"/>
        </w:rPr>
        <w:t>招标公告发布媒介</w:t>
      </w:r>
    </w:p>
    <w:p w14:paraId="1E6442DC">
      <w:pPr>
        <w:pStyle w:val="73"/>
        <w:numPr>
          <w:ilvl w:val="0"/>
          <w:numId w:val="0"/>
        </w:numPr>
        <w:ind w:left="1130" w:hanging="420"/>
        <w:rPr>
          <w:rFonts w:hint="eastAsia"/>
          <w:highlight w:val="none"/>
        </w:rPr>
      </w:pPr>
      <w:r>
        <w:rPr>
          <w:rFonts w:hint="eastAsia"/>
          <w:highlight w:val="none"/>
        </w:rPr>
        <w:t>本次招标公告同时在</w:t>
      </w:r>
      <w:r>
        <w:rPr>
          <w:rFonts w:hint="eastAsia"/>
          <w:highlight w:val="yellow"/>
        </w:rPr>
        <w:t>中国重型汽车集团有限公司官网</w:t>
      </w:r>
      <w:r>
        <w:rPr>
          <w:rFonts w:hint="eastAsia"/>
          <w:highlight w:val="yellow"/>
          <w:lang w:eastAsia="zh-CN"/>
        </w:rPr>
        <w:t>、</w:t>
      </w:r>
      <w:r>
        <w:rPr>
          <w:rFonts w:hint="eastAsia"/>
          <w:highlight w:val="yellow"/>
          <w:lang w:val="en-US" w:eastAsia="zh-CN"/>
        </w:rPr>
        <w:t>山东省阳光采购平台</w:t>
      </w:r>
      <w:r>
        <w:rPr>
          <w:rFonts w:hint="eastAsia"/>
          <w:highlight w:val="none"/>
        </w:rPr>
        <w:t>上发布。</w:t>
      </w:r>
    </w:p>
    <w:p w14:paraId="7D20EAC6">
      <w:pPr>
        <w:pStyle w:val="72"/>
        <w:rPr>
          <w:highlight w:val="yellow"/>
        </w:rPr>
      </w:pPr>
      <w:r>
        <w:rPr>
          <w:rFonts w:hint="eastAsia"/>
          <w:highlight w:val="yellow"/>
        </w:rPr>
        <w:t>联系方式</w:t>
      </w:r>
    </w:p>
    <w:p w14:paraId="32DD4A06">
      <w:pPr>
        <w:ind w:firstLine="422" w:firstLineChars="200"/>
        <w:rPr>
          <w:rFonts w:ascii="宋体" w:hAnsi="宋体" w:cs="宋体"/>
          <w:b/>
          <w:snapToGrid w:val="0"/>
          <w:kern w:val="0"/>
          <w:szCs w:val="21"/>
        </w:rPr>
      </w:pPr>
      <w:r>
        <w:rPr>
          <w:rFonts w:hint="eastAsia" w:ascii="宋体" w:hAnsi="宋体" w:cs="宋体"/>
          <w:b/>
          <w:snapToGrid w:val="0"/>
          <w:kern w:val="0"/>
          <w:szCs w:val="21"/>
        </w:rPr>
        <w:t>招标人名称：</w:t>
      </w:r>
      <w:r>
        <w:rPr>
          <w:rFonts w:hint="eastAsia" w:ascii="宋体" w:hAnsi="宋体" w:cs="宋体"/>
          <w:b/>
          <w:szCs w:val="21"/>
          <w:u w:val="single"/>
        </w:rPr>
        <w:t>中国重汽集团济南卡车股份有限公司制造公司</w:t>
      </w:r>
    </w:p>
    <w:p w14:paraId="3794D399">
      <w:pPr>
        <w:pStyle w:val="72"/>
        <w:numPr>
          <w:ilvl w:val="0"/>
          <w:numId w:val="0"/>
        </w:numPr>
        <w:ind w:firstLine="422" w:firstLineChars="200"/>
        <w:rPr>
          <w:rFonts w:ascii="宋体" w:hAnsi="宋体" w:eastAsia="宋体" w:cs="宋体"/>
          <w:bCs w:val="0"/>
          <w:sz w:val="21"/>
          <w:szCs w:val="21"/>
        </w:rPr>
      </w:pPr>
      <w:r>
        <w:rPr>
          <w:rFonts w:hint="eastAsia" w:ascii="宋体" w:hAnsi="宋体" w:eastAsia="宋体" w:cs="宋体"/>
          <w:bCs w:val="0"/>
          <w:sz w:val="21"/>
          <w:szCs w:val="21"/>
          <w:highlight w:val="yellow"/>
        </w:rPr>
        <w:t>商务联系人：</w:t>
      </w:r>
      <w:r>
        <w:rPr>
          <w:rFonts w:hint="eastAsia" w:ascii="宋体" w:hAnsi="宋体" w:eastAsia="宋体" w:cs="宋体"/>
          <w:bCs w:val="0"/>
          <w:sz w:val="21"/>
          <w:szCs w:val="21"/>
        </w:rPr>
        <w:t>郭朝琛</w:t>
      </w:r>
    </w:p>
    <w:p w14:paraId="70DECEA2">
      <w:pPr>
        <w:pStyle w:val="72"/>
        <w:numPr>
          <w:ilvl w:val="0"/>
          <w:numId w:val="0"/>
        </w:numPr>
        <w:ind w:firstLine="422" w:firstLineChars="200"/>
        <w:rPr>
          <w:rFonts w:hint="default" w:ascii="宋体" w:hAnsi="宋体" w:eastAsia="宋体" w:cs="宋体"/>
          <w:bCs w:val="0"/>
          <w:sz w:val="21"/>
          <w:szCs w:val="21"/>
          <w:lang w:val="en-US" w:eastAsia="zh-CN"/>
        </w:rPr>
      </w:pPr>
      <w:r>
        <w:rPr>
          <w:rFonts w:hint="eastAsia" w:ascii="宋体" w:hAnsi="宋体" w:eastAsia="宋体" w:cs="宋体"/>
          <w:bCs w:val="0"/>
          <w:sz w:val="21"/>
          <w:szCs w:val="21"/>
        </w:rPr>
        <w:t>电话：</w:t>
      </w:r>
      <w:r>
        <w:rPr>
          <w:rFonts w:hint="eastAsia" w:ascii="宋体" w:hAnsi="宋体" w:eastAsia="宋体" w:cs="宋体"/>
          <w:bCs w:val="0"/>
          <w:sz w:val="21"/>
          <w:szCs w:val="21"/>
          <w:lang w:val="en-US" w:eastAsia="zh-CN"/>
        </w:rPr>
        <w:t>17860606311</w:t>
      </w:r>
    </w:p>
    <w:p w14:paraId="30718E39">
      <w:pPr>
        <w:pStyle w:val="72"/>
        <w:numPr>
          <w:ilvl w:val="0"/>
          <w:numId w:val="0"/>
        </w:numPr>
        <w:ind w:firstLine="422" w:firstLineChars="200"/>
        <w:rPr>
          <w:rFonts w:ascii="宋体" w:hAnsi="宋体" w:eastAsia="宋体" w:cs="宋体"/>
          <w:bCs w:val="0"/>
          <w:sz w:val="21"/>
          <w:szCs w:val="21"/>
        </w:rPr>
      </w:pPr>
      <w:r>
        <w:rPr>
          <w:rFonts w:hint="eastAsia" w:ascii="宋体" w:hAnsi="宋体" w:eastAsia="宋体" w:cs="宋体"/>
          <w:bCs w:val="0"/>
          <w:sz w:val="21"/>
          <w:szCs w:val="21"/>
        </w:rPr>
        <w:t>邮箱：1494144783@qq.com</w:t>
      </w:r>
    </w:p>
    <w:p w14:paraId="72CEDDCB">
      <w:pPr>
        <w:pStyle w:val="72"/>
        <w:numPr>
          <w:ilvl w:val="0"/>
          <w:numId w:val="0"/>
        </w:numPr>
        <w:ind w:firstLine="422" w:firstLineChars="200"/>
        <w:rPr>
          <w:rFonts w:hint="default" w:ascii="宋体" w:hAnsi="宋体" w:eastAsia="宋体" w:cs="宋体"/>
          <w:bCs w:val="0"/>
          <w:sz w:val="21"/>
          <w:szCs w:val="21"/>
          <w:lang w:val="en-US" w:eastAsia="zh-CN"/>
        </w:rPr>
      </w:pPr>
      <w:r>
        <w:rPr>
          <w:rFonts w:hint="eastAsia" w:ascii="宋体" w:hAnsi="宋体" w:eastAsia="宋体" w:cs="宋体"/>
          <w:bCs w:val="0"/>
          <w:sz w:val="21"/>
          <w:szCs w:val="21"/>
          <w:highlight w:val="yellow"/>
        </w:rPr>
        <w:t>技术联系人：</w:t>
      </w:r>
      <w:r>
        <w:rPr>
          <w:rFonts w:hint="eastAsia" w:ascii="宋体" w:hAnsi="宋体" w:eastAsia="宋体" w:cs="宋体"/>
          <w:bCs w:val="0"/>
          <w:sz w:val="21"/>
          <w:szCs w:val="21"/>
          <w:lang w:val="en-US" w:eastAsia="zh-CN"/>
        </w:rPr>
        <w:t>杨淑清</w:t>
      </w:r>
    </w:p>
    <w:p w14:paraId="58A6D100">
      <w:pPr>
        <w:pStyle w:val="72"/>
        <w:numPr>
          <w:ilvl w:val="0"/>
          <w:numId w:val="0"/>
        </w:numPr>
        <w:ind w:firstLine="422" w:firstLineChars="200"/>
        <w:rPr>
          <w:rFonts w:ascii="宋体" w:hAnsi="宋体" w:eastAsia="宋体" w:cs="宋体"/>
          <w:bCs w:val="0"/>
          <w:sz w:val="21"/>
          <w:szCs w:val="21"/>
        </w:rPr>
      </w:pPr>
      <w:r>
        <w:rPr>
          <w:rFonts w:hint="eastAsia" w:ascii="宋体" w:hAnsi="宋体" w:eastAsia="宋体" w:cs="宋体"/>
          <w:bCs w:val="0"/>
          <w:sz w:val="21"/>
          <w:szCs w:val="21"/>
        </w:rPr>
        <w:t>电话：13210630938</w:t>
      </w:r>
    </w:p>
    <w:p w14:paraId="774EF198">
      <w:pPr>
        <w:pStyle w:val="72"/>
        <w:numPr>
          <w:ilvl w:val="0"/>
          <w:numId w:val="0"/>
        </w:numPr>
        <w:ind w:leftChars="0" w:firstLine="422" w:firstLineChars="200"/>
        <w:rPr>
          <w:highlight w:val="yellow"/>
        </w:rPr>
      </w:pPr>
      <w:r>
        <w:rPr>
          <w:rFonts w:hint="eastAsia" w:ascii="宋体" w:hAnsi="宋体" w:eastAsia="宋体" w:cs="宋体"/>
          <w:b/>
          <w:bCs/>
          <w:sz w:val="21"/>
          <w:szCs w:val="21"/>
        </w:rPr>
        <w:t>邮箱：yangshuqing1@sinotruk.com</w:t>
      </w:r>
    </w:p>
    <w:p w14:paraId="5F538BD8">
      <w:pPr>
        <w:pStyle w:val="76"/>
      </w:pPr>
    </w:p>
    <w:p w14:paraId="6D4C3503">
      <w:pPr>
        <w:pStyle w:val="76"/>
      </w:pPr>
    </w:p>
    <w:p w14:paraId="70A7FEA7">
      <w:pPr>
        <w:pStyle w:val="76"/>
        <w:jc w:val="both"/>
        <w:rPr>
          <w:rFonts w:hint="default"/>
          <w:highlight w:val="cyan"/>
          <w:u w:val="single"/>
          <w:lang w:val="en-US" w:eastAsia="zh-CN"/>
        </w:rPr>
      </w:pPr>
    </w:p>
    <w:p w14:paraId="3A7E2D48">
      <w:pPr>
        <w:pStyle w:val="76"/>
        <w:jc w:val="right"/>
        <w:rPr>
          <w:rFonts w:hint="eastAsia"/>
          <w:highlight w:val="cyan"/>
          <w:u w:val="single"/>
          <w:lang w:val="en-US" w:eastAsia="zh-CN"/>
        </w:rPr>
      </w:pPr>
    </w:p>
    <w:p w14:paraId="22C6BEDA">
      <w:pPr>
        <w:pStyle w:val="76"/>
        <w:jc w:val="right"/>
        <w:rPr>
          <w:rFonts w:hint="eastAsia"/>
          <w:highlight w:val="cyan"/>
          <w:u w:val="single"/>
          <w:lang w:val="en-US" w:eastAsia="zh-CN"/>
        </w:rPr>
      </w:pPr>
    </w:p>
    <w:p w14:paraId="410F58AB">
      <w:pPr>
        <w:pStyle w:val="76"/>
        <w:ind w:firstLine="6510" w:firstLineChars="3100"/>
        <w:jc w:val="both"/>
      </w:pPr>
      <w:r>
        <w:rPr>
          <w:rFonts w:hint="eastAsia"/>
          <w:highlight w:val="none"/>
          <w:u w:val="single"/>
          <w:lang w:val="en-US" w:eastAsia="zh-CN"/>
        </w:rPr>
        <w:t>2025</w:t>
      </w:r>
      <w:r>
        <w:rPr>
          <w:rFonts w:hint="eastAsia"/>
        </w:rPr>
        <w:t>年</w:t>
      </w:r>
      <w:r>
        <w:rPr>
          <w:rFonts w:hint="eastAsia"/>
          <w:lang w:val="en-US" w:eastAsia="zh-CN"/>
        </w:rPr>
        <w:t>11</w:t>
      </w:r>
      <w:r>
        <w:rPr>
          <w:rFonts w:hint="eastAsia"/>
        </w:rPr>
        <w:t>月</w:t>
      </w:r>
      <w:r>
        <w:rPr>
          <w:rFonts w:hint="eastAsia"/>
          <w:lang w:val="en-US" w:eastAsia="zh-CN"/>
        </w:rPr>
        <w:t>26</w:t>
      </w:r>
      <w:r>
        <w:rPr>
          <w:rFonts w:hint="eastAsia"/>
        </w:rPr>
        <w:t>日</w:t>
      </w:r>
    </w:p>
    <w:p w14:paraId="04C96706">
      <w:pPr>
        <w:pStyle w:val="76"/>
      </w:pPr>
    </w:p>
    <w:p w14:paraId="3D820EEC">
      <w:pPr>
        <w:pStyle w:val="71"/>
      </w:pPr>
      <w:bookmarkStart w:id="5" w:name="_Toc7753"/>
      <w:bookmarkStart w:id="6" w:name="_Toc47976595"/>
      <w:r>
        <w:rPr>
          <w:rFonts w:hint="eastAsia"/>
        </w:rPr>
        <w:t>第一部分  投标人须知</w:t>
      </w:r>
      <w:bookmarkEnd w:id="5"/>
      <w:bookmarkEnd w:id="6"/>
    </w:p>
    <w:p w14:paraId="418340FC">
      <w:pPr>
        <w:pStyle w:val="72"/>
        <w:numPr>
          <w:ilvl w:val="0"/>
          <w:numId w:val="12"/>
        </w:numPr>
        <w:ind w:left="420"/>
        <w:jc w:val="left"/>
      </w:pPr>
      <w:bookmarkStart w:id="7" w:name="_Toc47976596"/>
      <w:r>
        <w:rPr>
          <w:rFonts w:hint="eastAsia"/>
        </w:rPr>
        <w:t>项目介绍</w:t>
      </w:r>
      <w:bookmarkEnd w:id="7"/>
    </w:p>
    <w:p w14:paraId="742B3A80">
      <w:pPr>
        <w:pStyle w:val="76"/>
        <w:numPr>
          <w:ilvl w:val="0"/>
          <w:numId w:val="13"/>
        </w:numPr>
        <w:ind w:left="425" w:leftChars="0" w:hanging="425" w:firstLineChars="0"/>
      </w:pPr>
      <w:bookmarkStart w:id="8" w:name="_Toc47112482"/>
      <w:r>
        <w:rPr>
          <w:rFonts w:hint="eastAsia"/>
          <w:lang w:val="en-US" w:eastAsia="zh-CN"/>
        </w:rPr>
        <w:t>项目概况：</w:t>
      </w:r>
      <w:r>
        <w:rPr>
          <w:rFonts w:hint="eastAsia"/>
          <w:highlight w:val="yellow"/>
        </w:rPr>
        <w:t>本项目主要为卡车公司党家庄工厂及绵阳工厂提供聚脲喷涂服务</w:t>
      </w:r>
    </w:p>
    <w:p w14:paraId="151561C8">
      <w:pPr>
        <w:pStyle w:val="76"/>
        <w:numPr>
          <w:ilvl w:val="0"/>
          <w:numId w:val="13"/>
        </w:numPr>
        <w:ind w:left="425" w:leftChars="0" w:hanging="425" w:firstLineChars="0"/>
        <w:rPr>
          <w:rFonts w:hint="default" w:ascii="宋体" w:hAnsi="Courier New" w:eastAsia="宋体" w:cs="Times New Roman"/>
          <w:highlight w:val="none"/>
          <w:lang w:val="en-US" w:eastAsia="zh-CN"/>
        </w:rPr>
      </w:pPr>
      <w:r>
        <w:rPr>
          <w:rFonts w:hint="eastAsia" w:cs="Times New Roman"/>
          <w:highlight w:val="none"/>
          <w:lang w:val="en-US" w:eastAsia="zh-CN"/>
        </w:rPr>
        <w:t>招标内容</w:t>
      </w:r>
      <w:r>
        <w:rPr>
          <w:rFonts w:hint="eastAsia" w:ascii="宋体" w:hAnsi="Courier New" w:eastAsia="宋体" w:cs="Times New Roman"/>
          <w:highlight w:val="none"/>
          <w:lang w:val="en-US" w:eastAsia="zh-CN"/>
        </w:rPr>
        <w:t>具体要求详见《技术标书》。</w:t>
      </w:r>
    </w:p>
    <w:p w14:paraId="10BC6F77">
      <w:pPr>
        <w:pStyle w:val="76"/>
        <w:numPr>
          <w:ilvl w:val="0"/>
          <w:numId w:val="13"/>
        </w:numPr>
        <w:ind w:left="425" w:leftChars="0" w:hanging="425" w:firstLineChars="0"/>
        <w:rPr>
          <w:rFonts w:hint="default" w:cs="Times New Roman"/>
          <w:u w:val="none"/>
          <w:lang w:val="en-US" w:eastAsia="zh-CN"/>
        </w:rPr>
      </w:pPr>
      <w:r>
        <w:rPr>
          <w:rFonts w:hint="eastAsia"/>
          <w:lang w:val="en-US" w:eastAsia="zh-CN"/>
        </w:rPr>
        <w:t>报价：</w:t>
      </w:r>
      <w:r>
        <w:rPr>
          <w:rFonts w:hint="eastAsia" w:cs="Times New Roman"/>
          <w:b/>
          <w:bCs/>
          <w:color w:val="FF0000"/>
          <w:highlight w:val="yellow"/>
          <w:u w:val="none"/>
          <w:lang w:val="en-US" w:eastAsia="zh-CN"/>
        </w:rPr>
        <w:t>报价应包含币种、不含税金额、税率及价税合计金额</w:t>
      </w:r>
    </w:p>
    <w:bookmarkEnd w:id="8"/>
    <w:p w14:paraId="50DC6C75">
      <w:pPr>
        <w:pStyle w:val="72"/>
      </w:pPr>
      <w:bookmarkStart w:id="9" w:name="_Toc47976598"/>
      <w:r>
        <w:rPr>
          <w:rFonts w:hint="eastAsia"/>
        </w:rPr>
        <w:t>合格的投标人。</w:t>
      </w:r>
      <w:bookmarkEnd w:id="9"/>
    </w:p>
    <w:p w14:paraId="544F1CE3">
      <w:pPr>
        <w:pStyle w:val="73"/>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eastAsia"/>
          <w:b w:val="0"/>
          <w:bCs/>
          <w:strike w:val="0"/>
          <w:dstrike w:val="0"/>
          <w:highlight w:val="none"/>
        </w:rPr>
      </w:pPr>
      <w:r>
        <w:rPr>
          <w:rFonts w:hint="eastAsia"/>
          <w:b w:val="0"/>
          <w:bCs/>
          <w:strike w:val="0"/>
          <w:dstrike w:val="0"/>
          <w:highlight w:val="none"/>
        </w:rPr>
        <w:t>（1投标人须遵守《中华人民共和国招标投标法》、《中华人民共和国民法典》及其它有关的法律和法规；为中华人民共和国境内注册的独立法人机构，具有独立承担民事责任能力；</w:t>
      </w:r>
    </w:p>
    <w:p w14:paraId="621F8CD7">
      <w:pPr>
        <w:pStyle w:val="73"/>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eastAsia"/>
          <w:b w:val="0"/>
          <w:bCs/>
          <w:strike w:val="0"/>
          <w:dstrike w:val="0"/>
          <w:highlight w:val="none"/>
        </w:rPr>
      </w:pPr>
      <w:r>
        <w:rPr>
          <w:rFonts w:hint="eastAsia"/>
          <w:b w:val="0"/>
          <w:bCs/>
          <w:strike w:val="0"/>
          <w:dstrike w:val="0"/>
          <w:highlight w:val="none"/>
        </w:rPr>
        <w:t>（2具有独立法人资格和国家综合服务型物流企业认证资质，注册资本金500万元以上（已进入中国重汽物流商目录的不受该条件限制）；经营范围应包括涂料施工、喷漆技术服务、涂装施工等服务项目；</w:t>
      </w:r>
    </w:p>
    <w:p w14:paraId="176C34F1">
      <w:pPr>
        <w:pStyle w:val="73"/>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eastAsia"/>
          <w:b w:val="0"/>
          <w:bCs/>
          <w:strike w:val="0"/>
          <w:dstrike w:val="0"/>
          <w:highlight w:val="none"/>
        </w:rPr>
      </w:pPr>
      <w:r>
        <w:rPr>
          <w:rFonts w:hint="eastAsia"/>
          <w:b w:val="0"/>
          <w:bCs/>
          <w:strike w:val="0"/>
          <w:dstrike w:val="0"/>
          <w:highlight w:val="none"/>
        </w:rPr>
        <w:t>（3有3年以上汽车行业涂料喷涂服务经验，有经验丰富的从事喷涂业务的员工团队，有为客户提供一体化涂装服务的硬件资源和运营能力；</w:t>
      </w:r>
    </w:p>
    <w:p w14:paraId="5C448308">
      <w:pPr>
        <w:pStyle w:val="73"/>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eastAsia"/>
          <w:b w:val="0"/>
          <w:bCs/>
          <w:strike w:val="0"/>
          <w:dstrike w:val="0"/>
          <w:highlight w:val="none"/>
        </w:rPr>
      </w:pPr>
      <w:r>
        <w:rPr>
          <w:rFonts w:hint="eastAsia"/>
          <w:b w:val="0"/>
          <w:bCs/>
          <w:strike w:val="0"/>
          <w:dstrike w:val="0"/>
          <w:highlight w:val="none"/>
        </w:rPr>
        <w:t>（4投标人须提供具有统一社会信用代码的新版营业执照副本原件及复印件（加盖公章）；</w:t>
      </w:r>
    </w:p>
    <w:p w14:paraId="319863CA">
      <w:pPr>
        <w:pStyle w:val="73"/>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eastAsia"/>
          <w:b w:val="0"/>
          <w:bCs/>
          <w:strike w:val="0"/>
          <w:dstrike w:val="0"/>
          <w:highlight w:val="none"/>
        </w:rPr>
      </w:pPr>
      <w:r>
        <w:rPr>
          <w:rFonts w:hint="eastAsia"/>
          <w:b w:val="0"/>
          <w:bCs/>
          <w:strike w:val="0"/>
          <w:dstrike w:val="0"/>
          <w:highlight w:val="none"/>
        </w:rPr>
        <w:t>（5具有良好的商业信誉，在国家企业信用信息公示系统中无与本项目有关的行政处罚、列入经营异常名录和列入严重违法失信企业名单（黑名单）信息或上述信息已被移除；</w:t>
      </w:r>
    </w:p>
    <w:p w14:paraId="12FD593D">
      <w:pPr>
        <w:pStyle w:val="73"/>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eastAsia"/>
          <w:b w:val="0"/>
          <w:bCs/>
          <w:strike w:val="0"/>
          <w:dstrike w:val="0"/>
          <w:highlight w:val="none"/>
        </w:rPr>
      </w:pPr>
      <w:r>
        <w:rPr>
          <w:rFonts w:hint="eastAsia"/>
          <w:b w:val="0"/>
          <w:bCs/>
          <w:strike w:val="0"/>
          <w:dstrike w:val="0"/>
          <w:highlight w:val="none"/>
        </w:rPr>
        <w:t>（6投标人近三年内在经营活动中无与本项目有关的违法及重大违规情况；</w:t>
      </w:r>
    </w:p>
    <w:p w14:paraId="4873E22F">
      <w:pPr>
        <w:pStyle w:val="73"/>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eastAsia"/>
          <w:b w:val="0"/>
          <w:bCs/>
          <w:strike w:val="0"/>
          <w:dstrike w:val="0"/>
          <w:highlight w:val="none"/>
        </w:rPr>
      </w:pPr>
      <w:r>
        <w:rPr>
          <w:rFonts w:hint="eastAsia"/>
          <w:b w:val="0"/>
          <w:bCs/>
          <w:strike w:val="0"/>
          <w:dstrike w:val="0"/>
          <w:highlight w:val="none"/>
        </w:rPr>
        <w:t>（7具有健全的财务会计制度，财务状况和市场行为良好。没有处于被有权机关吊销营业执照、吊销资质、停业整顿、取消投标资格以及财产被接管、冻结或进入破产程序等。</w:t>
      </w:r>
    </w:p>
    <w:p w14:paraId="546F5641">
      <w:pPr>
        <w:pStyle w:val="73"/>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eastAsia"/>
          <w:b w:val="0"/>
          <w:bCs/>
          <w:strike w:val="0"/>
          <w:dstrike w:val="0"/>
          <w:highlight w:val="none"/>
        </w:rPr>
      </w:pPr>
      <w:r>
        <w:rPr>
          <w:rFonts w:hint="eastAsia"/>
          <w:b w:val="0"/>
          <w:bCs/>
          <w:strike w:val="0"/>
          <w:dstrike w:val="0"/>
          <w:highlight w:val="none"/>
        </w:rPr>
        <w:t>（8投标人没有被列入招标人处《黑名单》（《黑名单》指投标人与招标人在以往或正在进行的合作中，存在招标人认为的违反合同约定或违反法律法规等的失信行为）的；</w:t>
      </w:r>
    </w:p>
    <w:p w14:paraId="11B911BB">
      <w:pPr>
        <w:pStyle w:val="73"/>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eastAsia"/>
          <w:b w:val="0"/>
          <w:bCs/>
          <w:strike w:val="0"/>
          <w:dstrike w:val="0"/>
          <w:highlight w:val="none"/>
        </w:rPr>
      </w:pPr>
      <w:r>
        <w:rPr>
          <w:rFonts w:hint="eastAsia"/>
          <w:b w:val="0"/>
          <w:bCs/>
          <w:strike w:val="0"/>
          <w:dstrike w:val="0"/>
          <w:highlight w:val="none"/>
        </w:rPr>
        <w:t>（9投标人须提供法人授权委托书原件（在投标文件副本中可用复印件）及投标单位的法定代表人或授权代表的身份证原件及复印件（加盖公章）；</w:t>
      </w:r>
    </w:p>
    <w:p w14:paraId="0F4BDF03">
      <w:pPr>
        <w:pStyle w:val="73"/>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eastAsia"/>
          <w:b w:val="0"/>
          <w:bCs/>
          <w:strike w:val="0"/>
          <w:dstrike w:val="0"/>
          <w:highlight w:val="none"/>
        </w:rPr>
      </w:pPr>
      <w:r>
        <w:rPr>
          <w:rFonts w:hint="eastAsia"/>
          <w:b w:val="0"/>
          <w:bCs/>
          <w:strike w:val="0"/>
          <w:dstrike w:val="0"/>
          <w:highlight w:val="none"/>
        </w:rPr>
        <w:t>（10投标人须具有履行合同所必须的财务、技术、服务等方面的资质和能力；</w:t>
      </w:r>
    </w:p>
    <w:p w14:paraId="7FAFF5B8">
      <w:pPr>
        <w:pStyle w:val="73"/>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eastAsia"/>
          <w:b w:val="0"/>
          <w:bCs/>
          <w:strike w:val="0"/>
          <w:dstrike w:val="0"/>
          <w:highlight w:val="none"/>
        </w:rPr>
      </w:pPr>
      <w:r>
        <w:rPr>
          <w:rFonts w:hint="eastAsia"/>
          <w:b w:val="0"/>
          <w:bCs/>
          <w:strike w:val="0"/>
          <w:dstrike w:val="0"/>
          <w:highlight w:val="none"/>
        </w:rPr>
        <w:t>（11标人须具有完全履行招标文件的所有要求的能力；</w:t>
      </w:r>
    </w:p>
    <w:p w14:paraId="6572FE39">
      <w:pPr>
        <w:pStyle w:val="73"/>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eastAsia"/>
          <w:b w:val="0"/>
          <w:bCs/>
          <w:strike w:val="0"/>
          <w:dstrike w:val="0"/>
          <w:highlight w:val="none"/>
        </w:rPr>
      </w:pPr>
      <w:r>
        <w:rPr>
          <w:rFonts w:hint="eastAsia"/>
          <w:b w:val="0"/>
          <w:bCs/>
          <w:strike w:val="0"/>
          <w:dstrike w:val="0"/>
          <w:highlight w:val="none"/>
        </w:rPr>
        <w:t>（12投标人须认可招标人的工作指令，包括节、假日能正常开展工作的要求；</w:t>
      </w:r>
    </w:p>
    <w:p w14:paraId="714B48C1">
      <w:pPr>
        <w:pStyle w:val="73"/>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eastAsia"/>
          <w:b w:val="0"/>
          <w:bCs/>
          <w:strike w:val="0"/>
          <w:dstrike w:val="0"/>
          <w:highlight w:val="none"/>
        </w:rPr>
      </w:pPr>
      <w:r>
        <w:rPr>
          <w:rFonts w:hint="eastAsia"/>
          <w:b w:val="0"/>
          <w:bCs/>
          <w:strike w:val="0"/>
          <w:dstrike w:val="0"/>
          <w:highlight w:val="none"/>
        </w:rPr>
        <w:t>（13供方的直接或间接股东、法定代表人、董事、监事、高管非重汽员工及其亲属；</w:t>
      </w:r>
    </w:p>
    <w:p w14:paraId="35BD7208">
      <w:pPr>
        <w:pStyle w:val="73"/>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eastAsia"/>
          <w:b w:val="0"/>
          <w:bCs/>
          <w:strike w:val="0"/>
          <w:dstrike w:val="0"/>
          <w:highlight w:val="none"/>
        </w:rPr>
      </w:pPr>
      <w:r>
        <w:rPr>
          <w:rFonts w:hint="eastAsia"/>
          <w:b w:val="0"/>
          <w:bCs/>
          <w:strike w:val="0"/>
          <w:dstrike w:val="0"/>
          <w:highlight w:val="none"/>
        </w:rPr>
        <w:t>（14不接受联合体投标；</w:t>
      </w:r>
    </w:p>
    <w:p w14:paraId="3339A7C9">
      <w:pPr>
        <w:pStyle w:val="73"/>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b w:val="0"/>
          <w:bCs/>
          <w:strike w:val="0"/>
          <w:dstrike w:val="0"/>
          <w:highlight w:val="none"/>
        </w:rPr>
      </w:pPr>
      <w:r>
        <w:rPr>
          <w:rFonts w:hint="eastAsia"/>
          <w:b w:val="0"/>
          <w:bCs/>
          <w:strike w:val="0"/>
          <w:dstrike w:val="0"/>
          <w:highlight w:val="none"/>
        </w:rPr>
        <w:t>（15投标人必须是最终投保、签订合同的单位，不得以任何理由将已中标项目以任何形式分包或转包给其他单位。</w:t>
      </w:r>
    </w:p>
    <w:p w14:paraId="31CA8C38">
      <w:pPr>
        <w:pStyle w:val="72"/>
        <w:rPr>
          <w:rFonts w:hint="eastAsia" w:hAnsi="Courier New" w:cs="Times New Roman"/>
          <w:highlight w:val="none"/>
        </w:rPr>
      </w:pPr>
      <w:r>
        <w:rPr>
          <w:rFonts w:hint="eastAsia" w:hAnsi="Courier New" w:cs="Times New Roman"/>
          <w:highlight w:val="none"/>
        </w:rPr>
        <w:t>招标文件的</w:t>
      </w:r>
      <w:r>
        <w:rPr>
          <w:rFonts w:hint="eastAsia" w:hAnsi="Courier New" w:cs="Times New Roman"/>
          <w:highlight w:val="none"/>
          <w:lang w:val="en-US" w:eastAsia="zh-CN"/>
        </w:rPr>
        <w:t>领取、</w:t>
      </w:r>
      <w:r>
        <w:rPr>
          <w:rFonts w:hint="eastAsia" w:hAnsi="Courier New" w:cs="Times New Roman"/>
          <w:highlight w:val="none"/>
        </w:rPr>
        <w:t>答疑、</w:t>
      </w:r>
      <w:r>
        <w:rPr>
          <w:rFonts w:hint="eastAsia" w:hAnsi="Courier New" w:cs="Times New Roman"/>
          <w:highlight w:val="none"/>
          <w:lang w:val="en-US" w:eastAsia="zh-CN"/>
        </w:rPr>
        <w:t>应标</w:t>
      </w:r>
      <w:r>
        <w:rPr>
          <w:rFonts w:hint="eastAsia" w:hAnsi="Courier New" w:cs="Times New Roman"/>
          <w:highlight w:val="none"/>
        </w:rPr>
        <w:t>及投标报名</w:t>
      </w:r>
    </w:p>
    <w:p w14:paraId="50E89FE8">
      <w:pPr>
        <w:pStyle w:val="76"/>
        <w:numPr>
          <w:ilvl w:val="0"/>
          <w:numId w:val="14"/>
        </w:numPr>
        <w:ind w:left="425" w:leftChars="0" w:hanging="425" w:firstLineChars="0"/>
        <w:jc w:val="both"/>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发标时间：</w:t>
      </w:r>
      <w:r>
        <w:rPr>
          <w:rFonts w:hint="eastAsia" w:ascii="宋体" w:hAnsi="Courier New" w:eastAsia="宋体" w:cs="Times New Roman"/>
          <w:highlight w:val="yellow"/>
          <w:lang w:val="en-US" w:eastAsia="zh-CN"/>
        </w:rPr>
        <w:t>20</w:t>
      </w:r>
      <w:r>
        <w:rPr>
          <w:rFonts w:hint="eastAsia" w:cs="Times New Roman"/>
          <w:highlight w:val="yellow"/>
          <w:lang w:val="en-US" w:eastAsia="zh-CN"/>
        </w:rPr>
        <w:t>25</w:t>
      </w:r>
      <w:r>
        <w:rPr>
          <w:rFonts w:hint="eastAsia" w:ascii="宋体" w:hAnsi="Courier New" w:eastAsia="宋体" w:cs="Times New Roman"/>
          <w:highlight w:val="yellow"/>
          <w:lang w:val="en-US" w:eastAsia="zh-CN"/>
        </w:rPr>
        <w:t>年</w:t>
      </w:r>
      <w:r>
        <w:rPr>
          <w:rFonts w:hint="eastAsia" w:cs="Times New Roman"/>
          <w:highlight w:val="yellow"/>
          <w:lang w:val="en-US" w:eastAsia="zh-CN"/>
        </w:rPr>
        <w:t>11</w:t>
      </w:r>
      <w:r>
        <w:rPr>
          <w:rFonts w:hint="eastAsia" w:ascii="宋体" w:hAnsi="Courier New" w:eastAsia="宋体" w:cs="Times New Roman"/>
          <w:highlight w:val="yellow"/>
          <w:lang w:val="en-US" w:eastAsia="zh-CN"/>
        </w:rPr>
        <w:t>月</w:t>
      </w:r>
      <w:r>
        <w:rPr>
          <w:rFonts w:hint="eastAsia" w:cs="Times New Roman"/>
          <w:highlight w:val="yellow"/>
          <w:lang w:val="en-US" w:eastAsia="zh-CN"/>
        </w:rPr>
        <w:t>26</w:t>
      </w:r>
      <w:r>
        <w:rPr>
          <w:rFonts w:hint="eastAsia" w:ascii="宋体" w:hAnsi="Courier New" w:eastAsia="宋体" w:cs="Times New Roman"/>
          <w:highlight w:val="yellow"/>
          <w:lang w:val="en-US" w:eastAsia="zh-CN"/>
        </w:rPr>
        <w:t>日</w:t>
      </w:r>
    </w:p>
    <w:p w14:paraId="39B4A55D">
      <w:pPr>
        <w:pStyle w:val="76"/>
        <w:numPr>
          <w:ilvl w:val="0"/>
          <w:numId w:val="14"/>
        </w:numPr>
        <w:jc w:val="both"/>
        <w:rPr>
          <w:highlight w:val="yellow"/>
        </w:rPr>
      </w:pPr>
      <w:r>
        <w:rPr>
          <w:rFonts w:hint="eastAsia"/>
          <w:highlight w:val="yellow"/>
        </w:rPr>
        <w:t>招标文件领取方式：线上</w:t>
      </w:r>
    </w:p>
    <w:p w14:paraId="341AF0FF">
      <w:pPr>
        <w:pStyle w:val="76"/>
        <w:ind w:firstLine="210" w:firstLineChars="100"/>
        <w:jc w:val="both"/>
        <w:rPr>
          <w:highlight w:val="yellow"/>
        </w:rPr>
      </w:pPr>
      <w:r>
        <w:rPr>
          <w:rFonts w:hint="eastAsia"/>
          <w:highlight w:val="yellow"/>
        </w:rPr>
        <w:t>地点：中国重汽e采通平台</w:t>
      </w:r>
    </w:p>
    <w:p w14:paraId="7B36AD99">
      <w:pPr>
        <w:pStyle w:val="76"/>
        <w:ind w:firstLine="210" w:firstLineChars="100"/>
        <w:jc w:val="both"/>
        <w:rPr>
          <w:highlight w:val="yellow"/>
        </w:rPr>
      </w:pPr>
      <w:r>
        <w:rPr>
          <w:rFonts w:hint="eastAsia"/>
          <w:highlight w:val="yellow"/>
        </w:rPr>
        <w:t>领取截止时间：2025年1</w:t>
      </w:r>
      <w:r>
        <w:rPr>
          <w:rFonts w:hint="eastAsia"/>
          <w:highlight w:val="yellow"/>
          <w:lang w:val="en-US" w:eastAsia="zh-CN"/>
        </w:rPr>
        <w:t>2</w:t>
      </w:r>
      <w:r>
        <w:rPr>
          <w:rFonts w:hint="eastAsia"/>
          <w:highlight w:val="yellow"/>
        </w:rPr>
        <w:t>月</w:t>
      </w:r>
      <w:r>
        <w:rPr>
          <w:rFonts w:hint="eastAsia"/>
          <w:highlight w:val="yellow"/>
          <w:lang w:val="en-US" w:eastAsia="zh-CN"/>
        </w:rPr>
        <w:t>10</w:t>
      </w:r>
      <w:r>
        <w:rPr>
          <w:rFonts w:hint="eastAsia"/>
          <w:highlight w:val="yellow"/>
        </w:rPr>
        <w:t>日</w:t>
      </w:r>
    </w:p>
    <w:p w14:paraId="40FAA4B7">
      <w:pPr>
        <w:pStyle w:val="76"/>
        <w:numPr>
          <w:ilvl w:val="0"/>
          <w:numId w:val="14"/>
        </w:numPr>
        <w:ind w:left="425" w:leftChars="0" w:hanging="425" w:firstLineChars="0"/>
        <w:jc w:val="both"/>
        <w:rPr>
          <w:rFonts w:hint="eastAsia" w:ascii="宋体" w:hAnsi="Courier New" w:eastAsia="宋体" w:cs="Times New Roman"/>
          <w:highlight w:val="none"/>
          <w:lang w:val="en-US" w:eastAsia="zh-CN"/>
        </w:rPr>
      </w:pPr>
      <w:r>
        <w:rPr>
          <w:rFonts w:hint="eastAsia"/>
        </w:rPr>
        <w:t>答疑时间：</w:t>
      </w:r>
      <w:r>
        <w:rPr>
          <w:rFonts w:hint="eastAsia"/>
          <w:highlight w:val="yellow"/>
        </w:rPr>
        <w:t>2025年1</w:t>
      </w:r>
      <w:r>
        <w:rPr>
          <w:rFonts w:hint="eastAsia"/>
          <w:highlight w:val="yellow"/>
          <w:lang w:val="en-US" w:eastAsia="zh-CN"/>
        </w:rPr>
        <w:t>2</w:t>
      </w:r>
      <w:r>
        <w:rPr>
          <w:rFonts w:hint="eastAsia"/>
          <w:highlight w:val="yellow"/>
        </w:rPr>
        <w:t>月</w:t>
      </w:r>
      <w:r>
        <w:rPr>
          <w:rFonts w:hint="eastAsia"/>
          <w:highlight w:val="yellow"/>
          <w:lang w:val="en-US" w:eastAsia="zh-CN"/>
        </w:rPr>
        <w:t>10</w:t>
      </w:r>
      <w:r>
        <w:rPr>
          <w:rFonts w:hint="eastAsia"/>
          <w:highlight w:val="yellow"/>
        </w:rPr>
        <w:t>日</w:t>
      </w:r>
      <w:r>
        <w:rPr>
          <w:rFonts w:hint="eastAsia" w:hAnsi="宋体" w:cs="宋体"/>
          <w:bCs/>
          <w:szCs w:val="21"/>
          <w:highlight w:val="yellow"/>
        </w:rPr>
        <w:t>12:00:00</w:t>
      </w:r>
      <w:r>
        <w:rPr>
          <w:rFonts w:hint="eastAsia"/>
          <w:highlight w:val="yellow"/>
        </w:rPr>
        <w:t>前</w:t>
      </w:r>
    </w:p>
    <w:p w14:paraId="03B57AB4">
      <w:pPr>
        <w:pStyle w:val="76"/>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jc w:val="both"/>
        <w:textAlignment w:val="auto"/>
        <w:rPr>
          <w:rFonts w:hint="eastAsia" w:cs="Times New Roman"/>
          <w:highlight w:val="none"/>
          <w:lang w:val="en-US" w:eastAsia="zh-CN"/>
        </w:rPr>
      </w:pPr>
      <w:r>
        <w:rPr>
          <w:rFonts w:hint="eastAsia" w:cs="Times New Roman"/>
          <w:highlight w:val="none"/>
          <w:lang w:val="en-US" w:eastAsia="zh-CN"/>
        </w:rPr>
        <w:t>提交疑问</w:t>
      </w:r>
      <w:r>
        <w:rPr>
          <w:rFonts w:hint="eastAsia" w:ascii="宋体" w:hAnsi="Courier New" w:eastAsia="宋体" w:cs="Times New Roman"/>
          <w:highlight w:val="none"/>
          <w:lang w:val="en-US" w:eastAsia="zh-CN"/>
        </w:rPr>
        <w:t>方式</w:t>
      </w:r>
      <w:r>
        <w:rPr>
          <w:rFonts w:hint="eastAsia" w:cs="Times New Roman"/>
          <w:highlight w:val="none"/>
          <w:lang w:val="en-US" w:eastAsia="zh-CN"/>
        </w:rPr>
        <w:t>：将答疑问题以word文件格式发送至联系人邮件内，并电话联系工作人员查收，</w:t>
      </w:r>
      <w:r>
        <w:rPr>
          <w:rFonts w:hint="eastAsia" w:cs="Times New Roman"/>
          <w:b/>
          <w:bCs/>
          <w:highlight w:val="none"/>
          <w:lang w:val="en-US" w:eastAsia="zh-CN"/>
        </w:rPr>
        <w:t>邮件名格式为：XXX公司（五个字以内公司简称）XX项目答疑文件。同时必须在邮件中以文字方式提供投标人全称、投标授权人姓名、联系方式（固定电话、手机、电子邮箱），并提供附件2法定代表人授权委托书。</w:t>
      </w:r>
    </w:p>
    <w:p w14:paraId="5A0E4F2B">
      <w:pPr>
        <w:pStyle w:val="76"/>
        <w:numPr>
          <w:ilvl w:val="0"/>
          <w:numId w:val="14"/>
        </w:numPr>
        <w:ind w:left="425" w:leftChars="0" w:hanging="425" w:firstLineChars="0"/>
        <w:jc w:val="both"/>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领取答疑、澄清和修改文件时间：</w:t>
      </w:r>
      <w:r>
        <w:rPr>
          <w:rFonts w:hint="eastAsia"/>
          <w:highlight w:val="yellow"/>
        </w:rPr>
        <w:t>2025年1</w:t>
      </w:r>
      <w:r>
        <w:rPr>
          <w:rFonts w:hint="eastAsia"/>
          <w:highlight w:val="yellow"/>
          <w:lang w:val="en-US" w:eastAsia="zh-CN"/>
        </w:rPr>
        <w:t>2</w:t>
      </w:r>
      <w:r>
        <w:rPr>
          <w:rFonts w:hint="eastAsia"/>
          <w:highlight w:val="yellow"/>
        </w:rPr>
        <w:t>月</w:t>
      </w:r>
      <w:r>
        <w:rPr>
          <w:rFonts w:hint="eastAsia"/>
          <w:highlight w:val="yellow"/>
          <w:lang w:val="en-US" w:eastAsia="zh-CN"/>
        </w:rPr>
        <w:t>10</w:t>
      </w:r>
      <w:r>
        <w:rPr>
          <w:rFonts w:hint="eastAsia"/>
          <w:highlight w:val="yellow"/>
        </w:rPr>
        <w:t>日</w:t>
      </w:r>
      <w:r>
        <w:rPr>
          <w:rFonts w:hint="eastAsia" w:hAnsi="宋体" w:cs="宋体"/>
          <w:bCs/>
          <w:szCs w:val="21"/>
          <w:highlight w:val="yellow"/>
        </w:rPr>
        <w:t>17:00:00</w:t>
      </w:r>
      <w:r>
        <w:rPr>
          <w:rFonts w:hint="eastAsia"/>
          <w:highlight w:val="yellow"/>
        </w:rPr>
        <w:t>前：</w:t>
      </w:r>
    </w:p>
    <w:p w14:paraId="56BA0758">
      <w:pPr>
        <w:pStyle w:val="76"/>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jc w:val="both"/>
        <w:textAlignment w:val="auto"/>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答疑、澄清和修改文件方式：招标人将以电子邮件的方式将招标文件的答疑澄清文件发送至答疑文件提交时登记的电子邮箱。</w:t>
      </w:r>
    </w:p>
    <w:p w14:paraId="0418F5CA">
      <w:pPr>
        <w:pStyle w:val="76"/>
        <w:numPr>
          <w:ilvl w:val="0"/>
          <w:numId w:val="14"/>
        </w:numPr>
        <w:jc w:val="both"/>
        <w:rPr>
          <w:highlight w:val="yellow"/>
        </w:rPr>
      </w:pPr>
      <w:r>
        <w:rPr>
          <w:rFonts w:hint="eastAsia"/>
          <w:highlight w:val="yellow"/>
        </w:rPr>
        <w:t>报名方式：在“中国重汽e采通”平台报名</w:t>
      </w:r>
    </w:p>
    <w:p w14:paraId="36FDB5A2">
      <w:pPr>
        <w:pStyle w:val="76"/>
        <w:numPr>
          <w:ilvl w:val="0"/>
          <w:numId w:val="14"/>
        </w:numPr>
        <w:ind w:left="425" w:leftChars="0" w:hanging="425" w:firstLineChars="0"/>
        <w:jc w:val="both"/>
        <w:rPr>
          <w:rFonts w:hint="eastAsia" w:ascii="宋体" w:hAnsi="Courier New" w:eastAsia="宋体" w:cs="Times New Roman"/>
          <w:highlight w:val="yellow"/>
          <w:lang w:val="en-US" w:eastAsia="zh-CN"/>
        </w:rPr>
      </w:pPr>
      <w:r>
        <w:rPr>
          <w:rFonts w:hint="eastAsia"/>
          <w:highlight w:val="yellow"/>
        </w:rPr>
        <w:t>应标截止时间：</w:t>
      </w:r>
      <w:r>
        <w:rPr>
          <w:rFonts w:hint="eastAsia" w:hAnsi="宋体" w:cs="宋体"/>
          <w:sz w:val="24"/>
          <w:szCs w:val="24"/>
          <w:highlight w:val="yellow"/>
        </w:rPr>
        <w:t>2025年</w:t>
      </w:r>
      <w:r>
        <w:rPr>
          <w:rFonts w:hint="eastAsia" w:hAnsi="宋体" w:cs="宋体"/>
          <w:sz w:val="24"/>
          <w:szCs w:val="24"/>
          <w:highlight w:val="yellow"/>
          <w:lang w:val="en-US" w:eastAsia="zh-CN"/>
        </w:rPr>
        <w:t>12</w:t>
      </w:r>
      <w:r>
        <w:rPr>
          <w:rFonts w:hint="eastAsia" w:hAnsi="宋体" w:cs="宋体"/>
          <w:sz w:val="24"/>
          <w:szCs w:val="24"/>
          <w:highlight w:val="yellow"/>
        </w:rPr>
        <w:t>月</w:t>
      </w:r>
      <w:r>
        <w:rPr>
          <w:rFonts w:hint="eastAsia" w:hAnsi="宋体" w:cs="宋体"/>
          <w:sz w:val="24"/>
          <w:szCs w:val="24"/>
          <w:highlight w:val="yellow"/>
          <w:lang w:val="en-US" w:eastAsia="zh-CN"/>
        </w:rPr>
        <w:t>10</w:t>
      </w:r>
      <w:r>
        <w:rPr>
          <w:rFonts w:hint="eastAsia" w:hAnsi="宋体" w:cs="宋体"/>
          <w:sz w:val="24"/>
          <w:szCs w:val="24"/>
          <w:highlight w:val="yellow"/>
        </w:rPr>
        <w:t>日</w:t>
      </w:r>
      <w:r>
        <w:rPr>
          <w:rFonts w:hint="eastAsia" w:hAnsi="宋体" w:cs="宋体"/>
          <w:bCs/>
          <w:sz w:val="24"/>
          <w:szCs w:val="24"/>
          <w:highlight w:val="yellow"/>
        </w:rPr>
        <w:t>17:00:00</w:t>
      </w:r>
      <w:r>
        <w:rPr>
          <w:rFonts w:hint="eastAsia" w:cs="宋体"/>
          <w:bCs/>
          <w:highlight w:val="yellow"/>
        </w:rPr>
        <w:t>前</w:t>
      </w:r>
    </w:p>
    <w:p w14:paraId="0C785EC5">
      <w:pPr>
        <w:pStyle w:val="72"/>
        <w:rPr>
          <w:rFonts w:hint="eastAsia" w:ascii="宋体" w:hAnsi="Courier New" w:eastAsia="宋体" w:cs="Times New Roman"/>
          <w:highlight w:val="none"/>
          <w:lang w:val="en-US" w:eastAsia="zh-CN"/>
        </w:rPr>
      </w:pPr>
      <w:r>
        <w:rPr>
          <w:rFonts w:hint="eastAsia" w:hAnsi="Courier New" w:cs="Times New Roman"/>
          <w:highlight w:val="none"/>
        </w:rPr>
        <w:t>投标文件</w:t>
      </w:r>
      <w:r>
        <w:rPr>
          <w:rFonts w:hint="eastAsia" w:cs="Times New Roman"/>
          <w:highlight w:val="none"/>
          <w:lang w:val="en-US" w:eastAsia="zh-CN"/>
        </w:rPr>
        <w:t>编制</w:t>
      </w:r>
    </w:p>
    <w:p w14:paraId="59493963">
      <w:pPr>
        <w:pStyle w:val="73"/>
        <w:keepNext w:val="0"/>
        <w:keepLines w:val="0"/>
        <w:pageBreakBefore w:val="0"/>
        <w:widowControl w:val="0"/>
        <w:numPr>
          <w:ilvl w:val="0"/>
          <w:numId w:val="15"/>
        </w:numPr>
        <w:kinsoku/>
        <w:wordWrap/>
        <w:overflowPunct/>
        <w:topLinePunct w:val="0"/>
        <w:autoSpaceDE/>
        <w:autoSpaceDN/>
        <w:bidi w:val="0"/>
        <w:adjustRightInd/>
        <w:snapToGrid/>
        <w:ind w:left="0" w:leftChars="0" w:firstLine="0" w:firstLineChars="0"/>
        <w:textAlignment w:val="auto"/>
        <w:rPr>
          <w:b w:val="0"/>
        </w:rPr>
      </w:pPr>
      <w:r>
        <w:rPr>
          <w:rFonts w:hint="eastAsia"/>
          <w:b w:val="0"/>
          <w:lang w:val="en-US" w:eastAsia="zh-CN"/>
        </w:rPr>
        <w:t>投标文件的组成</w:t>
      </w:r>
    </w:p>
    <w:p w14:paraId="5EA04826">
      <w:pPr>
        <w:pStyle w:val="73"/>
        <w:keepNext w:val="0"/>
        <w:keepLines w:val="0"/>
        <w:pageBreakBefore w:val="0"/>
        <w:widowControl w:val="0"/>
        <w:numPr>
          <w:ilvl w:val="0"/>
          <w:numId w:val="0"/>
        </w:numPr>
        <w:kinsoku/>
        <w:wordWrap/>
        <w:overflowPunct/>
        <w:topLinePunct w:val="0"/>
        <w:autoSpaceDE/>
        <w:autoSpaceDN/>
        <w:bidi w:val="0"/>
        <w:adjustRightInd/>
        <w:snapToGrid/>
        <w:textAlignment w:val="auto"/>
        <w:rPr>
          <w:rFonts w:hint="eastAsia" w:ascii="宋体" w:hAnsi="Courier New" w:eastAsia="宋体" w:cs="Times New Roman"/>
          <w:b w:val="0"/>
          <w:bCs/>
          <w:highlight w:val="none"/>
          <w:lang w:val="en-US" w:eastAsia="zh-CN"/>
        </w:rPr>
      </w:pPr>
      <w:r>
        <w:rPr>
          <w:rFonts w:hint="eastAsia" w:ascii="宋体" w:hAnsi="Courier New" w:eastAsia="宋体" w:cs="Times New Roman"/>
          <w:b w:val="0"/>
          <w:bCs/>
          <w:highlight w:val="none"/>
          <w:lang w:val="en-US" w:eastAsia="zh-CN"/>
        </w:rPr>
        <w:t>投标人编写的投标文件由《投标文件（资质标）》、《投标文件（技术标）》(若有）、《投标文件（商务标）》（开标一览表）文件组成，共计</w:t>
      </w:r>
      <w:r>
        <w:rPr>
          <w:rFonts w:hint="eastAsia" w:ascii="宋体" w:hAnsi="Courier New" w:eastAsia="宋体" w:cs="Times New Roman"/>
          <w:b w:val="0"/>
          <w:bCs/>
          <w:highlight w:val="yellow"/>
          <w:u w:val="single"/>
          <w:lang w:val="en-US" w:eastAsia="zh-CN"/>
        </w:rPr>
        <w:t xml:space="preserve"> </w:t>
      </w:r>
      <w:r>
        <w:rPr>
          <w:rFonts w:hint="eastAsia" w:cs="Times New Roman"/>
          <w:b w:val="0"/>
          <w:bCs/>
          <w:highlight w:val="yellow"/>
          <w:u w:val="single"/>
          <w:lang w:val="en-US" w:eastAsia="zh-CN"/>
        </w:rPr>
        <w:t>3</w:t>
      </w:r>
      <w:r>
        <w:rPr>
          <w:rFonts w:hint="eastAsia" w:ascii="宋体" w:hAnsi="Courier New" w:eastAsia="宋体" w:cs="Times New Roman"/>
          <w:b w:val="0"/>
          <w:bCs/>
          <w:highlight w:val="yellow"/>
          <w:u w:val="single"/>
          <w:lang w:val="en-US" w:eastAsia="zh-CN"/>
        </w:rPr>
        <w:t xml:space="preserve"> </w:t>
      </w:r>
      <w:r>
        <w:rPr>
          <w:rFonts w:hint="eastAsia" w:ascii="宋体" w:hAnsi="Courier New" w:eastAsia="宋体" w:cs="Times New Roman"/>
          <w:b w:val="0"/>
          <w:bCs/>
          <w:highlight w:val="none"/>
          <w:lang w:val="en-US" w:eastAsia="zh-CN"/>
        </w:rPr>
        <w:t>个文件。</w:t>
      </w:r>
    </w:p>
    <w:p w14:paraId="2DD7BA97">
      <w:pPr>
        <w:pStyle w:val="74"/>
        <w:numPr>
          <w:ilvl w:val="0"/>
          <w:numId w:val="16"/>
        </w:numPr>
        <w:ind w:left="425" w:leftChars="0" w:hanging="425" w:firstLineChars="0"/>
        <w:rPr>
          <w:b w:val="0"/>
          <w:bCs/>
          <w:highlight w:val="none"/>
        </w:rPr>
      </w:pPr>
      <w:r>
        <w:rPr>
          <w:rFonts w:hint="eastAsia"/>
          <w:b w:val="0"/>
          <w:bCs/>
          <w:highlight w:val="none"/>
        </w:rPr>
        <w:t>资质文件：</w:t>
      </w:r>
    </w:p>
    <w:p w14:paraId="13BAC003">
      <w:pPr>
        <w:pStyle w:val="75"/>
        <w:numPr>
          <w:ilvl w:val="0"/>
          <w:numId w:val="17"/>
        </w:numPr>
        <w:ind w:left="425" w:leftChars="0" w:hanging="425" w:firstLineChars="0"/>
        <w:rPr>
          <w:b w:val="0"/>
          <w:bCs/>
          <w:highlight w:val="none"/>
        </w:rPr>
      </w:pPr>
      <w:r>
        <w:rPr>
          <w:rFonts w:hint="eastAsia"/>
          <w:b w:val="0"/>
          <w:bCs/>
          <w:highlight w:val="none"/>
        </w:rPr>
        <w:t>法定代表人身份证明；</w:t>
      </w:r>
    </w:p>
    <w:p w14:paraId="4DBDF119">
      <w:pPr>
        <w:pStyle w:val="75"/>
        <w:numPr>
          <w:ilvl w:val="0"/>
          <w:numId w:val="17"/>
        </w:numPr>
        <w:ind w:left="425" w:leftChars="0" w:hanging="425" w:firstLineChars="0"/>
        <w:rPr>
          <w:b w:val="0"/>
          <w:bCs/>
          <w:highlight w:val="none"/>
        </w:rPr>
      </w:pPr>
      <w:r>
        <w:rPr>
          <w:rFonts w:hint="eastAsia"/>
          <w:b w:val="0"/>
          <w:bCs/>
          <w:highlight w:val="none"/>
        </w:rPr>
        <w:t>法定代表人授权委托书（授权人需带身份证原件）；</w:t>
      </w:r>
    </w:p>
    <w:p w14:paraId="73FE5F95">
      <w:pPr>
        <w:pStyle w:val="75"/>
        <w:numPr>
          <w:ilvl w:val="0"/>
          <w:numId w:val="17"/>
        </w:numPr>
        <w:ind w:left="425" w:leftChars="0" w:hanging="425" w:firstLineChars="0"/>
        <w:rPr>
          <w:b w:val="0"/>
          <w:bCs/>
          <w:highlight w:val="none"/>
        </w:rPr>
      </w:pPr>
      <w:r>
        <w:rPr>
          <w:rFonts w:hint="eastAsia"/>
          <w:b w:val="0"/>
          <w:bCs/>
          <w:highlight w:val="none"/>
        </w:rPr>
        <w:t>营业执照副本原件</w:t>
      </w:r>
      <w:r>
        <w:rPr>
          <w:rFonts w:hint="eastAsia"/>
          <w:b w:val="0"/>
          <w:bCs/>
          <w:highlight w:val="none"/>
          <w:lang w:val="en-US" w:eastAsia="zh-CN"/>
        </w:rPr>
        <w:t>或复印件并加盖公章</w:t>
      </w:r>
      <w:r>
        <w:rPr>
          <w:rFonts w:hint="eastAsia"/>
          <w:b w:val="0"/>
          <w:bCs/>
          <w:highlight w:val="none"/>
        </w:rPr>
        <w:t>；</w:t>
      </w:r>
    </w:p>
    <w:p w14:paraId="440F9E5B">
      <w:pPr>
        <w:pStyle w:val="75"/>
        <w:keepNext w:val="0"/>
        <w:keepLines w:val="0"/>
        <w:pageBreakBefore w:val="0"/>
        <w:widowControl w:val="0"/>
        <w:numPr>
          <w:ilvl w:val="0"/>
          <w:numId w:val="17"/>
        </w:numPr>
        <w:kinsoku/>
        <w:wordWrap/>
        <w:overflowPunct/>
        <w:topLinePunct w:val="0"/>
        <w:autoSpaceDE/>
        <w:autoSpaceDN/>
        <w:bidi w:val="0"/>
        <w:adjustRightInd/>
        <w:snapToGrid/>
        <w:ind w:left="0" w:leftChars="0" w:firstLine="0" w:firstLineChars="0"/>
        <w:textAlignment w:val="auto"/>
        <w:rPr>
          <w:b w:val="0"/>
          <w:bCs/>
          <w:highlight w:val="yellow"/>
        </w:rPr>
      </w:pPr>
      <w:r>
        <w:rPr>
          <w:rFonts w:hint="eastAsia"/>
          <w:b w:val="0"/>
          <w:bCs/>
          <w:highlight w:val="yellow"/>
        </w:rPr>
        <w:t>投标人应具有相应生产证明</w:t>
      </w:r>
      <w:r>
        <w:rPr>
          <w:rFonts w:hint="eastAsia"/>
          <w:b w:val="0"/>
          <w:bCs/>
          <w:highlight w:val="yellow"/>
          <w:lang w:val="en-US" w:eastAsia="zh-CN"/>
        </w:rPr>
        <w:t>或相关资质，并上传相关证明文件；</w:t>
      </w:r>
    </w:p>
    <w:p w14:paraId="6A7B69C9">
      <w:pPr>
        <w:pStyle w:val="75"/>
        <w:keepNext w:val="0"/>
        <w:keepLines w:val="0"/>
        <w:pageBreakBefore w:val="0"/>
        <w:widowControl w:val="0"/>
        <w:numPr>
          <w:ilvl w:val="0"/>
          <w:numId w:val="17"/>
        </w:numPr>
        <w:kinsoku/>
        <w:wordWrap/>
        <w:overflowPunct/>
        <w:topLinePunct w:val="0"/>
        <w:autoSpaceDE/>
        <w:autoSpaceDN/>
        <w:bidi w:val="0"/>
        <w:adjustRightInd/>
        <w:snapToGrid/>
        <w:ind w:left="0" w:leftChars="0" w:firstLine="0" w:firstLineChars="0"/>
        <w:textAlignment w:val="auto"/>
        <w:rPr>
          <w:b w:val="0"/>
          <w:bCs/>
          <w:highlight w:val="none"/>
        </w:rPr>
      </w:pPr>
      <w:r>
        <w:rPr>
          <w:rFonts w:hint="eastAsia"/>
          <w:b w:val="0"/>
          <w:bCs/>
          <w:highlight w:val="none"/>
        </w:rPr>
        <w:t>证明投标人满足投标资料表中列出的业绩要求的文件</w:t>
      </w:r>
      <w:r>
        <w:rPr>
          <w:rFonts w:hint="eastAsia"/>
          <w:b w:val="0"/>
          <w:bCs/>
          <w:highlight w:val="none"/>
          <w:lang w:eastAsia="zh-CN"/>
        </w:rPr>
        <w:t>；</w:t>
      </w:r>
    </w:p>
    <w:p w14:paraId="2E43C7FD">
      <w:pPr>
        <w:pStyle w:val="75"/>
        <w:keepNext w:val="0"/>
        <w:keepLines w:val="0"/>
        <w:pageBreakBefore w:val="0"/>
        <w:widowControl w:val="0"/>
        <w:numPr>
          <w:ilvl w:val="0"/>
          <w:numId w:val="17"/>
        </w:numPr>
        <w:kinsoku/>
        <w:wordWrap/>
        <w:overflowPunct/>
        <w:topLinePunct w:val="0"/>
        <w:autoSpaceDE/>
        <w:autoSpaceDN/>
        <w:bidi w:val="0"/>
        <w:adjustRightInd/>
        <w:snapToGrid/>
        <w:ind w:left="0" w:leftChars="0" w:firstLine="0" w:firstLineChars="0"/>
        <w:textAlignment w:val="auto"/>
        <w:rPr>
          <w:b w:val="0"/>
          <w:bCs/>
          <w:highlight w:val="none"/>
        </w:rPr>
      </w:pPr>
      <w:r>
        <w:rPr>
          <w:rFonts w:hint="eastAsia" w:hAnsi="Courier New"/>
          <w:b w:val="0"/>
          <w:bCs/>
          <w:highlight w:val="none"/>
        </w:rPr>
        <w:t>经会计师事务所审计且出具无保留意见的近三年的财务审计报告原件，并加盖公章，包括但不限于报告页、经审计的资产负债表、利润表、现金流量表及报表附注。如投标人公司没有经审计的财务报告，可提供加盖公章的近三年财务报表，包括但不限于资产负债表、利润表、现金流量表。应提供中文版本的审计报告或财务报表；</w:t>
      </w:r>
    </w:p>
    <w:p w14:paraId="7CB7B902">
      <w:pPr>
        <w:pStyle w:val="75"/>
        <w:numPr>
          <w:ilvl w:val="0"/>
          <w:numId w:val="17"/>
        </w:numPr>
        <w:ind w:left="425" w:leftChars="0" w:hanging="425" w:firstLineChars="0"/>
        <w:rPr>
          <w:rFonts w:hint="eastAsia" w:hAnsi="Courier New"/>
          <w:b w:val="0"/>
          <w:bCs/>
          <w:highlight w:val="none"/>
        </w:rPr>
      </w:pPr>
      <w:r>
        <w:rPr>
          <w:rFonts w:hint="eastAsia" w:hAnsi="Courier New"/>
          <w:b w:val="0"/>
          <w:bCs/>
          <w:highlight w:val="none"/>
        </w:rPr>
        <w:t>企业最近半年完税证明、信用证明材料（征信报告）；</w:t>
      </w:r>
    </w:p>
    <w:p w14:paraId="2F1917FF">
      <w:pPr>
        <w:pStyle w:val="75"/>
        <w:numPr>
          <w:ilvl w:val="0"/>
          <w:numId w:val="17"/>
        </w:numPr>
        <w:ind w:left="425" w:leftChars="0" w:hanging="425" w:firstLineChars="0"/>
        <w:rPr>
          <w:rFonts w:hint="eastAsia" w:hAnsi="Courier New"/>
          <w:b w:val="0"/>
          <w:bCs/>
          <w:highlight w:val="none"/>
        </w:rPr>
      </w:pPr>
      <w:r>
        <w:rPr>
          <w:rFonts w:hint="eastAsia" w:hAnsi="Courier New"/>
          <w:b w:val="0"/>
          <w:bCs/>
          <w:highlight w:val="none"/>
        </w:rPr>
        <w:t>年度纳税信用评价信息（可从电子税务局查询截图，需加盖公章）；</w:t>
      </w:r>
    </w:p>
    <w:p w14:paraId="66CC3FFB">
      <w:pPr>
        <w:pStyle w:val="75"/>
        <w:numPr>
          <w:ilvl w:val="0"/>
          <w:numId w:val="17"/>
        </w:numPr>
        <w:ind w:left="425" w:leftChars="0" w:hanging="425" w:firstLineChars="0"/>
        <w:rPr>
          <w:rFonts w:hint="eastAsia" w:hAnsi="Courier New"/>
          <w:b w:val="0"/>
          <w:bCs/>
          <w:highlight w:val="none"/>
        </w:rPr>
      </w:pPr>
      <w:r>
        <w:rPr>
          <w:rFonts w:hint="eastAsia" w:hAnsi="Courier New"/>
          <w:b w:val="0"/>
          <w:bCs/>
          <w:highlight w:val="none"/>
        </w:rPr>
        <w:t>企业对外担保说明（写明贵单位对外有无对外担保和质押业务，需加盖公章）。</w:t>
      </w:r>
    </w:p>
    <w:p w14:paraId="49857420">
      <w:pPr>
        <w:pStyle w:val="75"/>
        <w:numPr>
          <w:ilvl w:val="0"/>
          <w:numId w:val="17"/>
        </w:numPr>
        <w:ind w:left="425" w:leftChars="0" w:hanging="425" w:firstLineChars="0"/>
        <w:rPr>
          <w:b w:val="0"/>
          <w:bCs/>
          <w:highlight w:val="none"/>
        </w:rPr>
      </w:pPr>
      <w:r>
        <w:rPr>
          <w:rFonts w:hint="eastAsia"/>
          <w:b w:val="0"/>
          <w:bCs/>
          <w:highlight w:val="none"/>
        </w:rPr>
        <w:t>信用中国截图或国家企业信用信息公示系统截图；</w:t>
      </w:r>
    </w:p>
    <w:p w14:paraId="4A1C36E2">
      <w:pPr>
        <w:pStyle w:val="75"/>
        <w:numPr>
          <w:ilvl w:val="0"/>
          <w:numId w:val="17"/>
        </w:numPr>
        <w:ind w:left="425" w:leftChars="0" w:hanging="425" w:firstLineChars="0"/>
        <w:rPr>
          <w:b w:val="0"/>
          <w:bCs/>
          <w:highlight w:val="none"/>
        </w:rPr>
      </w:pPr>
      <w:r>
        <w:rPr>
          <w:rFonts w:hint="eastAsia" w:ascii="宋体" w:hAnsi="宋体" w:cs="宋体"/>
          <w:kern w:val="2"/>
          <w:sz w:val="21"/>
          <w:szCs w:val="21"/>
          <w:lang w:bidi="ar"/>
        </w:rPr>
        <w:t>投标保证金银行转账凭证</w:t>
      </w:r>
      <w:r>
        <w:rPr>
          <w:rFonts w:hint="eastAsia" w:hAnsi="宋体" w:cs="宋体"/>
          <w:kern w:val="2"/>
          <w:sz w:val="21"/>
          <w:szCs w:val="21"/>
          <w:lang w:eastAsia="zh-CN" w:bidi="ar"/>
        </w:rPr>
        <w:t>（</w:t>
      </w:r>
      <w:r>
        <w:rPr>
          <w:rFonts w:hint="eastAsia" w:hAnsi="宋体" w:cs="宋体"/>
          <w:kern w:val="2"/>
          <w:sz w:val="21"/>
          <w:szCs w:val="21"/>
          <w:lang w:val="en-US" w:eastAsia="zh-CN" w:bidi="ar"/>
        </w:rPr>
        <w:t>应标时可不提供）</w:t>
      </w:r>
      <w:r>
        <w:rPr>
          <w:rFonts w:hint="eastAsia" w:ascii="宋体" w:hAnsi="宋体" w:cs="宋体"/>
          <w:kern w:val="2"/>
          <w:sz w:val="21"/>
          <w:szCs w:val="21"/>
          <w:lang w:eastAsia="zh-CN" w:bidi="ar"/>
        </w:rPr>
        <w:t>；</w:t>
      </w:r>
    </w:p>
    <w:p w14:paraId="08F8AAFD">
      <w:pPr>
        <w:pStyle w:val="75"/>
        <w:numPr>
          <w:ilvl w:val="0"/>
          <w:numId w:val="17"/>
        </w:numPr>
        <w:ind w:left="425" w:leftChars="0" w:hanging="425" w:firstLineChars="0"/>
        <w:rPr>
          <w:b w:val="0"/>
          <w:bCs/>
          <w:highlight w:val="none"/>
        </w:rPr>
      </w:pPr>
      <w:r>
        <w:rPr>
          <w:rFonts w:hint="eastAsia"/>
          <w:b w:val="0"/>
          <w:bCs/>
          <w:highlight w:val="none"/>
        </w:rPr>
        <w:t>招标文件中要求的其它资格证明文件。</w:t>
      </w:r>
    </w:p>
    <w:p w14:paraId="0FCAA68A">
      <w:pPr>
        <w:pStyle w:val="75"/>
        <w:keepNext w:val="0"/>
        <w:keepLines w:val="0"/>
        <w:pageBreakBefore w:val="0"/>
        <w:widowControl w:val="0"/>
        <w:numPr>
          <w:ilvl w:val="0"/>
          <w:numId w:val="18"/>
        </w:numPr>
        <w:kinsoku/>
        <w:wordWrap/>
        <w:overflowPunct/>
        <w:topLinePunct w:val="0"/>
        <w:autoSpaceDE/>
        <w:autoSpaceDN/>
        <w:bidi w:val="0"/>
        <w:adjustRightInd/>
        <w:snapToGrid/>
        <w:ind w:left="10" w:leftChars="0" w:firstLine="0"/>
        <w:textAlignment w:val="auto"/>
        <w:rPr>
          <w:b w:val="0"/>
          <w:bCs/>
          <w:highlight w:val="none"/>
        </w:rPr>
      </w:pPr>
      <w:r>
        <w:rPr>
          <w:rFonts w:hint="eastAsia"/>
          <w:b w:val="0"/>
          <w:bCs/>
          <w:highlight w:val="none"/>
        </w:rPr>
        <w:t>对于投标人资质审核不通过的，招标人有权拒绝其投标。</w:t>
      </w:r>
    </w:p>
    <w:p w14:paraId="35D922EF">
      <w:pPr>
        <w:pStyle w:val="74"/>
        <w:numPr>
          <w:ilvl w:val="0"/>
          <w:numId w:val="16"/>
        </w:numPr>
        <w:ind w:left="425" w:leftChars="0" w:hanging="425" w:firstLineChars="0"/>
        <w:rPr>
          <w:rFonts w:hint="eastAsia" w:cs="Times New Roman"/>
          <w:b w:val="0"/>
          <w:bCs/>
          <w:highlight w:val="yellow"/>
        </w:rPr>
      </w:pPr>
      <w:r>
        <w:rPr>
          <w:rFonts w:hint="eastAsia" w:cs="Times New Roman"/>
          <w:b w:val="0"/>
          <w:bCs/>
          <w:highlight w:val="yellow"/>
        </w:rPr>
        <w:t>技术标：</w:t>
      </w:r>
    </w:p>
    <w:p w14:paraId="7CB8DE54">
      <w:pPr>
        <w:pStyle w:val="75"/>
        <w:numPr>
          <w:ilvl w:val="0"/>
          <w:numId w:val="19"/>
        </w:numPr>
        <w:ind w:left="425" w:leftChars="0" w:hanging="425" w:firstLineChars="0"/>
        <w:rPr>
          <w:b w:val="0"/>
          <w:bCs/>
          <w:highlight w:val="yellow"/>
        </w:rPr>
      </w:pPr>
      <w:r>
        <w:rPr>
          <w:rFonts w:hint="eastAsia"/>
          <w:b w:val="0"/>
          <w:bCs/>
          <w:highlight w:val="yellow"/>
        </w:rPr>
        <w:t>技术配置对比表。</w:t>
      </w:r>
    </w:p>
    <w:p w14:paraId="3D6F729D">
      <w:pPr>
        <w:pStyle w:val="75"/>
        <w:numPr>
          <w:ilvl w:val="0"/>
          <w:numId w:val="19"/>
        </w:numPr>
        <w:ind w:left="425" w:leftChars="0" w:hanging="425" w:firstLineChars="0"/>
        <w:rPr>
          <w:b w:val="0"/>
          <w:bCs/>
          <w:highlight w:val="yellow"/>
        </w:rPr>
      </w:pPr>
      <w:r>
        <w:rPr>
          <w:rFonts w:hint="eastAsia"/>
          <w:b w:val="0"/>
          <w:bCs/>
          <w:highlight w:val="yellow"/>
        </w:rPr>
        <w:t>投标设备配置明细表；</w:t>
      </w:r>
    </w:p>
    <w:p w14:paraId="69AE970B">
      <w:pPr>
        <w:pStyle w:val="75"/>
        <w:numPr>
          <w:ilvl w:val="0"/>
          <w:numId w:val="19"/>
        </w:numPr>
        <w:ind w:left="425" w:leftChars="0" w:hanging="425" w:firstLineChars="0"/>
        <w:rPr>
          <w:b w:val="0"/>
          <w:bCs/>
          <w:highlight w:val="yellow"/>
        </w:rPr>
      </w:pPr>
      <w:r>
        <w:rPr>
          <w:rFonts w:hint="eastAsia"/>
          <w:b w:val="0"/>
          <w:bCs/>
          <w:highlight w:val="yellow"/>
        </w:rPr>
        <w:t>技术规格偏离表；</w:t>
      </w:r>
    </w:p>
    <w:p w14:paraId="47175D6D">
      <w:pPr>
        <w:pStyle w:val="74"/>
        <w:numPr>
          <w:ilvl w:val="0"/>
          <w:numId w:val="16"/>
        </w:numPr>
        <w:ind w:left="425" w:leftChars="0" w:hanging="425" w:firstLineChars="0"/>
        <w:rPr>
          <w:rFonts w:hint="eastAsia" w:cs="Times New Roman"/>
          <w:b w:val="0"/>
          <w:bCs/>
          <w:highlight w:val="none"/>
        </w:rPr>
      </w:pPr>
      <w:r>
        <w:rPr>
          <w:rFonts w:hint="eastAsia" w:cs="Times New Roman"/>
          <w:b w:val="0"/>
          <w:bCs/>
          <w:highlight w:val="none"/>
        </w:rPr>
        <w:t>商务标：</w:t>
      </w:r>
    </w:p>
    <w:p w14:paraId="1FEC8CF2">
      <w:pPr>
        <w:pStyle w:val="75"/>
        <w:keepNext w:val="0"/>
        <w:keepLines w:val="0"/>
        <w:pageBreakBefore w:val="0"/>
        <w:widowControl w:val="0"/>
        <w:numPr>
          <w:ilvl w:val="0"/>
          <w:numId w:val="20"/>
        </w:numPr>
        <w:kinsoku/>
        <w:wordWrap/>
        <w:overflowPunct/>
        <w:topLinePunct w:val="0"/>
        <w:autoSpaceDE/>
        <w:autoSpaceDN/>
        <w:bidi w:val="0"/>
        <w:adjustRightInd/>
        <w:snapToGrid/>
        <w:ind w:left="425" w:leftChars="0" w:hanging="425" w:firstLineChars="0"/>
        <w:textAlignment w:val="auto"/>
        <w:rPr>
          <w:b w:val="0"/>
          <w:bCs/>
          <w:highlight w:val="yellow"/>
        </w:rPr>
      </w:pPr>
      <w:r>
        <w:rPr>
          <w:rFonts w:hint="eastAsia"/>
          <w:b w:val="0"/>
          <w:bCs/>
          <w:highlight w:val="yellow"/>
          <w:lang w:val="en-US" w:eastAsia="zh-CN"/>
        </w:rPr>
        <w:t>开标一览表</w:t>
      </w:r>
    </w:p>
    <w:p w14:paraId="0DFA5CBE">
      <w:pPr>
        <w:pStyle w:val="75"/>
        <w:numPr>
          <w:ilvl w:val="0"/>
          <w:numId w:val="20"/>
        </w:numPr>
        <w:ind w:left="425" w:leftChars="0" w:hanging="425" w:firstLineChars="0"/>
        <w:rPr>
          <w:b w:val="0"/>
          <w:bCs/>
          <w:highlight w:val="yellow"/>
        </w:rPr>
      </w:pPr>
      <w:r>
        <w:rPr>
          <w:rFonts w:hint="eastAsia"/>
          <w:b w:val="0"/>
          <w:bCs/>
          <w:highlight w:val="yellow"/>
        </w:rPr>
        <w:t>投标函（格式见附件）;</w:t>
      </w:r>
    </w:p>
    <w:p w14:paraId="5C36F232">
      <w:pPr>
        <w:pStyle w:val="75"/>
        <w:numPr>
          <w:ilvl w:val="0"/>
          <w:numId w:val="20"/>
        </w:numPr>
        <w:ind w:left="425" w:leftChars="0" w:hanging="425" w:firstLineChars="0"/>
        <w:rPr>
          <w:b w:val="0"/>
          <w:bCs/>
          <w:highlight w:val="yellow"/>
        </w:rPr>
      </w:pPr>
      <w:r>
        <w:rPr>
          <w:rFonts w:hint="eastAsia"/>
          <w:b w:val="0"/>
          <w:bCs/>
          <w:highlight w:val="yellow"/>
        </w:rPr>
        <w:t>商务条款偏离表；</w:t>
      </w:r>
    </w:p>
    <w:p w14:paraId="110B2C29">
      <w:pPr>
        <w:pStyle w:val="75"/>
        <w:numPr>
          <w:ilvl w:val="0"/>
          <w:numId w:val="20"/>
        </w:numPr>
        <w:ind w:left="425" w:leftChars="0" w:hanging="425" w:firstLineChars="0"/>
        <w:rPr>
          <w:b w:val="0"/>
          <w:bCs/>
          <w:highlight w:val="yellow"/>
        </w:rPr>
      </w:pPr>
      <w:r>
        <w:rPr>
          <w:rFonts w:hint="eastAsia"/>
          <w:b w:val="0"/>
          <w:bCs/>
          <w:highlight w:val="yellow"/>
        </w:rPr>
        <w:t>投标货物分项报价表</w:t>
      </w:r>
      <w:r>
        <w:rPr>
          <w:rFonts w:hint="eastAsia"/>
          <w:b w:val="0"/>
          <w:bCs/>
          <w:highlight w:val="yellow"/>
          <w:lang w:eastAsia="zh-CN"/>
        </w:rPr>
        <w:t>（</w:t>
      </w:r>
      <w:r>
        <w:rPr>
          <w:rFonts w:hint="eastAsia"/>
          <w:b w:val="0"/>
          <w:bCs/>
          <w:highlight w:val="yellow"/>
          <w:lang w:val="en-US" w:eastAsia="zh-CN"/>
        </w:rPr>
        <w:t>与技术联系人商议拟定）</w:t>
      </w:r>
      <w:r>
        <w:rPr>
          <w:rFonts w:hint="eastAsia"/>
          <w:b w:val="0"/>
          <w:bCs/>
          <w:highlight w:val="yellow"/>
        </w:rPr>
        <w:t>；</w:t>
      </w:r>
    </w:p>
    <w:p w14:paraId="53DECED4">
      <w:pPr>
        <w:pStyle w:val="75"/>
        <w:keepNext w:val="0"/>
        <w:keepLines w:val="0"/>
        <w:pageBreakBefore w:val="0"/>
        <w:widowControl w:val="0"/>
        <w:numPr>
          <w:ilvl w:val="0"/>
          <w:numId w:val="18"/>
        </w:numPr>
        <w:kinsoku/>
        <w:wordWrap/>
        <w:overflowPunct/>
        <w:topLinePunct w:val="0"/>
        <w:autoSpaceDE/>
        <w:autoSpaceDN/>
        <w:bidi w:val="0"/>
        <w:adjustRightInd/>
        <w:snapToGrid/>
        <w:ind w:left="10" w:leftChars="0" w:firstLine="0"/>
        <w:textAlignment w:val="auto"/>
        <w:rPr>
          <w:rFonts w:hint="default" w:cs="Times New Roman"/>
          <w:b w:val="0"/>
          <w:bCs/>
          <w:highlight w:val="none"/>
          <w:lang w:val="en-US" w:eastAsia="zh-CN"/>
        </w:rPr>
      </w:pPr>
      <w:r>
        <w:rPr>
          <w:rFonts w:hint="eastAsia" w:cs="Times New Roman"/>
          <w:b w:val="0"/>
          <w:bCs/>
          <w:highlight w:val="none"/>
          <w:lang w:val="en-US" w:eastAsia="zh-CN"/>
        </w:rPr>
        <w:t>商务报价注意内容：</w:t>
      </w:r>
      <w:r>
        <w:rPr>
          <w:rFonts w:hint="eastAsia" w:cs="Times New Roman"/>
          <w:b w:val="0"/>
          <w:bCs/>
          <w:highlight w:val="none"/>
        </w:rPr>
        <w:t>最高投标限价（招标控制价）：人民币</w:t>
      </w:r>
      <w:r>
        <w:rPr>
          <w:rFonts w:hint="eastAsia" w:cs="Times New Roman"/>
          <w:b w:val="0"/>
          <w:bCs/>
          <w:highlight w:val="yellow"/>
          <w:u w:val="single"/>
          <w:lang w:val="en-US" w:eastAsia="zh-CN"/>
        </w:rPr>
        <w:t xml:space="preserve"> 130.91 </w:t>
      </w:r>
      <w:r>
        <w:rPr>
          <w:rFonts w:hint="eastAsia" w:cs="Times New Roman"/>
          <w:b w:val="0"/>
          <w:bCs/>
          <w:highlight w:val="none"/>
        </w:rPr>
        <w:t>万元（含</w:t>
      </w:r>
      <w:r>
        <w:rPr>
          <w:rFonts w:hint="eastAsia" w:cs="Times New Roman"/>
          <w:b w:val="0"/>
          <w:bCs/>
          <w:highlight w:val="yellow"/>
          <w:u w:val="single"/>
          <w:lang w:val="en-US" w:eastAsia="zh-CN"/>
        </w:rPr>
        <w:t xml:space="preserve"> 13 </w:t>
      </w:r>
      <w:r>
        <w:rPr>
          <w:rFonts w:hint="eastAsia" w:cs="Times New Roman"/>
          <w:b w:val="0"/>
          <w:bCs/>
          <w:highlight w:val="none"/>
        </w:rPr>
        <w:t>%增值税），超过投标限价无法投标。</w:t>
      </w:r>
    </w:p>
    <w:p w14:paraId="70E2A45F">
      <w:pPr>
        <w:pStyle w:val="73"/>
        <w:keepNext w:val="0"/>
        <w:keepLines w:val="0"/>
        <w:pageBreakBefore w:val="0"/>
        <w:widowControl w:val="0"/>
        <w:numPr>
          <w:ilvl w:val="0"/>
          <w:numId w:val="15"/>
        </w:numPr>
        <w:kinsoku/>
        <w:wordWrap/>
        <w:overflowPunct/>
        <w:topLinePunct w:val="0"/>
        <w:autoSpaceDE/>
        <w:autoSpaceDN/>
        <w:bidi w:val="0"/>
        <w:adjustRightInd/>
        <w:snapToGrid/>
        <w:ind w:left="0" w:leftChars="0" w:firstLine="0" w:firstLineChars="0"/>
        <w:textAlignment w:val="auto"/>
        <w:rPr>
          <w:rFonts w:hint="eastAsia" w:cs="Times New Roman"/>
          <w:b w:val="0"/>
          <w:lang w:val="en-US" w:eastAsia="zh-CN"/>
        </w:rPr>
      </w:pPr>
      <w:r>
        <w:rPr>
          <w:rFonts w:hint="eastAsia" w:cs="Times New Roman"/>
          <w:b w:val="0"/>
          <w:lang w:val="en-US" w:eastAsia="zh-CN"/>
        </w:rPr>
        <w:t>投标文件的投递</w:t>
      </w:r>
    </w:p>
    <w:p w14:paraId="608868D9">
      <w:pPr>
        <w:pStyle w:val="75"/>
        <w:numPr>
          <w:ilvl w:val="0"/>
          <w:numId w:val="21"/>
        </w:numPr>
        <w:rPr>
          <w:bCs/>
        </w:rPr>
      </w:pPr>
      <w:r>
        <w:rPr>
          <w:rFonts w:hint="eastAsia"/>
          <w:bCs/>
        </w:rPr>
        <w:t>投标方式：</w:t>
      </w:r>
      <w:r>
        <w:rPr>
          <w:rFonts w:hint="eastAsia"/>
        </w:rPr>
        <w:t>在“中国重汽e采通”平台</w:t>
      </w:r>
      <w:r>
        <w:rPr>
          <w:rFonts w:hint="eastAsia"/>
          <w:bCs/>
        </w:rPr>
        <w:t>线上投标</w:t>
      </w:r>
    </w:p>
    <w:p w14:paraId="3BBC413D">
      <w:pPr>
        <w:pStyle w:val="75"/>
        <w:numPr>
          <w:ilvl w:val="0"/>
          <w:numId w:val="21"/>
        </w:numPr>
        <w:rPr>
          <w:bCs/>
        </w:rPr>
      </w:pPr>
      <w:r>
        <w:rPr>
          <w:rFonts w:hint="eastAsia"/>
          <w:bCs/>
        </w:rPr>
        <w:t>联系人及联系方式：郭朝琛/</w:t>
      </w:r>
      <w:r>
        <w:rPr>
          <w:rFonts w:hint="eastAsia"/>
          <w:bCs/>
          <w:lang w:val="en-US" w:eastAsia="zh-CN"/>
        </w:rPr>
        <w:t>17860606311</w:t>
      </w:r>
    </w:p>
    <w:p w14:paraId="38E5AAE5">
      <w:pPr>
        <w:pStyle w:val="75"/>
        <w:numPr>
          <w:ilvl w:val="0"/>
          <w:numId w:val="21"/>
        </w:numPr>
        <w:ind w:left="425" w:leftChars="0" w:hanging="425" w:firstLineChars="0"/>
        <w:rPr>
          <w:rFonts w:hint="eastAsia" w:ascii="宋体" w:hAnsi="Courier New" w:eastAsia="宋体" w:cs="Times New Roman"/>
          <w:b w:val="0"/>
          <w:bCs/>
          <w:highlight w:val="none"/>
          <w:lang w:val="en-US" w:eastAsia="zh-CN"/>
        </w:rPr>
      </w:pPr>
      <w:r>
        <w:rPr>
          <w:rFonts w:hint="eastAsia"/>
          <w:bCs/>
        </w:rPr>
        <w:t>投标文件递交截止时间：</w:t>
      </w:r>
      <w:r>
        <w:rPr>
          <w:rFonts w:hint="eastAsia"/>
          <w:bCs/>
          <w:highlight w:val="yellow"/>
        </w:rPr>
        <w:t>2025年1</w:t>
      </w:r>
      <w:r>
        <w:rPr>
          <w:rFonts w:hint="eastAsia"/>
          <w:bCs/>
          <w:highlight w:val="yellow"/>
          <w:lang w:val="en-US" w:eastAsia="zh-CN"/>
        </w:rPr>
        <w:t>2</w:t>
      </w:r>
      <w:r>
        <w:rPr>
          <w:rFonts w:hint="eastAsia"/>
          <w:bCs/>
          <w:highlight w:val="yellow"/>
        </w:rPr>
        <w:t>月</w:t>
      </w:r>
      <w:r>
        <w:rPr>
          <w:rFonts w:hint="eastAsia"/>
          <w:bCs/>
          <w:highlight w:val="yellow"/>
          <w:lang w:val="en-US" w:eastAsia="zh-CN"/>
        </w:rPr>
        <w:t>15</w:t>
      </w:r>
      <w:r>
        <w:rPr>
          <w:rFonts w:hint="eastAsia"/>
          <w:bCs/>
          <w:highlight w:val="yellow"/>
        </w:rPr>
        <w:t>日9:00:00</w:t>
      </w:r>
    </w:p>
    <w:p w14:paraId="25974AAC">
      <w:pPr>
        <w:pStyle w:val="72"/>
        <w:rPr>
          <w:rFonts w:hint="eastAsia" w:hAnsi="Courier New" w:cs="Times New Roman"/>
          <w:highlight w:val="none"/>
        </w:rPr>
      </w:pPr>
      <w:bookmarkStart w:id="10" w:name="_Toc47976601"/>
      <w:r>
        <w:rPr>
          <w:rFonts w:hint="eastAsia" w:hAnsi="Courier New" w:cs="Times New Roman"/>
          <w:highlight w:val="none"/>
        </w:rPr>
        <w:t>投标保证金</w:t>
      </w:r>
      <w:r>
        <w:rPr>
          <w:rFonts w:hint="eastAsia" w:hAnsi="Courier New" w:cs="Times New Roman"/>
          <w:highlight w:val="none"/>
          <w:lang w:val="en-US" w:eastAsia="zh-CN"/>
        </w:rPr>
        <w:t>收取</w:t>
      </w:r>
      <w:r>
        <w:rPr>
          <w:rFonts w:hint="eastAsia" w:hAnsi="Courier New" w:cs="Times New Roman"/>
          <w:highlight w:val="none"/>
          <w:lang w:eastAsia="zh-CN"/>
        </w:rPr>
        <w:t>、</w:t>
      </w:r>
      <w:r>
        <w:rPr>
          <w:rFonts w:hint="eastAsia" w:hAnsi="Courier New" w:cs="Times New Roman"/>
          <w:highlight w:val="none"/>
          <w:lang w:val="en-US" w:eastAsia="zh-CN"/>
        </w:rPr>
        <w:t>缴纳</w:t>
      </w:r>
      <w:r>
        <w:rPr>
          <w:rFonts w:hint="eastAsia" w:hAnsi="Courier New" w:cs="Times New Roman"/>
          <w:highlight w:val="none"/>
        </w:rPr>
        <w:t>有效期</w:t>
      </w:r>
      <w:r>
        <w:rPr>
          <w:rFonts w:hint="eastAsia" w:hAnsi="Courier New" w:cs="Times New Roman"/>
          <w:highlight w:val="none"/>
          <w:lang w:val="en-US" w:eastAsia="zh-CN"/>
        </w:rPr>
        <w:t>及罚没</w:t>
      </w:r>
    </w:p>
    <w:p w14:paraId="071E67B8">
      <w:pPr>
        <w:pStyle w:val="72"/>
        <w:numPr>
          <w:ilvl w:val="0"/>
          <w:numId w:val="22"/>
        </w:numPr>
        <w:ind w:leftChars="0"/>
        <w:rPr>
          <w:rFonts w:hint="eastAsia" w:ascii="宋体" w:hAnsi="宋体" w:eastAsia="宋体" w:cs="宋体"/>
          <w:b w:val="0"/>
          <w:bCs w:val="0"/>
          <w:sz w:val="21"/>
          <w:szCs w:val="21"/>
          <w:highlight w:val="none"/>
          <w:u w:val="single"/>
          <w:lang w:val="en-US" w:eastAsia="zh-CN"/>
        </w:rPr>
      </w:pPr>
      <w:r>
        <w:rPr>
          <w:rFonts w:hint="eastAsia" w:ascii="宋体" w:hAnsi="宋体" w:eastAsia="宋体" w:cs="宋体"/>
          <w:b w:val="0"/>
          <w:bCs w:val="0"/>
          <w:sz w:val="21"/>
          <w:szCs w:val="21"/>
          <w:highlight w:val="none"/>
        </w:rPr>
        <w:t>投标保证金的缴纳</w:t>
      </w:r>
    </w:p>
    <w:p w14:paraId="021ADBC0">
      <w:pPr>
        <w:pStyle w:val="72"/>
        <w:numPr>
          <w:ilvl w:val="0"/>
          <w:numId w:val="23"/>
        </w:numPr>
        <w:ind w:left="425" w:leftChars="0" w:hanging="425" w:firstLineChars="0"/>
        <w:rPr>
          <w:rFonts w:hint="eastAsia" w:ascii="宋体" w:hAnsi="宋体" w:eastAsia="宋体" w:cs="宋体"/>
          <w:b w:val="0"/>
          <w:bCs w:val="0"/>
          <w:sz w:val="21"/>
          <w:szCs w:val="21"/>
          <w:highlight w:val="none"/>
          <w:u w:val="single"/>
          <w:lang w:val="en-US" w:eastAsia="zh-CN"/>
        </w:rPr>
      </w:pPr>
      <w:r>
        <w:rPr>
          <w:rFonts w:hint="eastAsia" w:ascii="宋体" w:hAnsi="宋体" w:eastAsia="宋体" w:cs="宋体"/>
          <w:b w:val="0"/>
          <w:bCs w:val="0"/>
          <w:sz w:val="21"/>
          <w:szCs w:val="21"/>
          <w:highlight w:val="none"/>
        </w:rPr>
        <w:t>投标保证金</w:t>
      </w:r>
      <w:r>
        <w:rPr>
          <w:rFonts w:hint="eastAsia" w:ascii="宋体" w:hAnsi="宋体" w:eastAsia="宋体" w:cs="宋体"/>
          <w:b w:val="0"/>
          <w:bCs w:val="0"/>
          <w:sz w:val="21"/>
          <w:szCs w:val="21"/>
          <w:highlight w:val="none"/>
          <w:lang w:val="en-US" w:eastAsia="zh-CN"/>
        </w:rPr>
        <w:t>的缴纳</w:t>
      </w:r>
      <w:r>
        <w:rPr>
          <w:rFonts w:hint="eastAsia" w:ascii="宋体" w:hAnsi="宋体" w:eastAsia="宋体" w:cs="宋体"/>
          <w:b w:val="0"/>
          <w:bCs w:val="0"/>
          <w:sz w:val="21"/>
          <w:szCs w:val="21"/>
          <w:highlight w:val="none"/>
        </w:rPr>
        <w:t>形式：</w:t>
      </w:r>
      <w:r>
        <w:rPr>
          <w:rFonts w:hint="eastAsia" w:ascii="宋体" w:hAnsi="宋体" w:eastAsia="宋体" w:cs="宋体"/>
          <w:b w:val="0"/>
          <w:bCs w:val="0"/>
          <w:sz w:val="21"/>
          <w:szCs w:val="21"/>
          <w:highlight w:val="none"/>
          <w:u w:val="single"/>
          <w:lang w:val="en-US" w:eastAsia="zh-CN"/>
        </w:rPr>
        <w:t>提交银行投标保函或从银行基本账户转账</w:t>
      </w:r>
    </w:p>
    <w:p w14:paraId="04CD311F">
      <w:pPr>
        <w:pStyle w:val="72"/>
        <w:numPr>
          <w:ilvl w:val="0"/>
          <w:numId w:val="23"/>
        </w:numPr>
        <w:ind w:left="425" w:leftChars="0" w:hanging="425" w:firstLineChars="0"/>
        <w:rPr>
          <w:rFonts w:hint="default" w:ascii="宋体" w:hAnsi="宋体" w:eastAsia="宋体" w:cs="宋体"/>
          <w:b w:val="0"/>
          <w:bCs w:val="0"/>
          <w:sz w:val="21"/>
          <w:szCs w:val="21"/>
          <w:highlight w:val="yellow"/>
          <w:u w:val="single"/>
          <w:lang w:val="en-US" w:eastAsia="zh-CN"/>
        </w:rPr>
      </w:pPr>
      <w:r>
        <w:rPr>
          <w:rFonts w:hint="eastAsia" w:ascii="宋体" w:hAnsi="宋体" w:eastAsia="宋体" w:cs="宋体"/>
          <w:b w:val="0"/>
          <w:bCs w:val="0"/>
          <w:sz w:val="21"/>
          <w:szCs w:val="21"/>
          <w:highlight w:val="none"/>
        </w:rPr>
        <w:t>投标保证金的金额：人民币</w:t>
      </w:r>
      <w:r>
        <w:rPr>
          <w:rFonts w:hint="eastAsia" w:ascii="宋体" w:hAnsi="宋体" w:eastAsia="宋体" w:cs="宋体"/>
          <w:b w:val="0"/>
          <w:bCs w:val="0"/>
          <w:sz w:val="21"/>
          <w:szCs w:val="21"/>
          <w:highlight w:val="yellow"/>
          <w:u w:val="single"/>
          <w:lang w:val="en-US" w:eastAsia="zh-CN"/>
        </w:rPr>
        <w:t xml:space="preserve"> 2万</w:t>
      </w:r>
      <w:r>
        <w:rPr>
          <w:rFonts w:hint="eastAsia" w:ascii="宋体" w:hAnsi="宋体" w:eastAsia="宋体" w:cs="宋体"/>
          <w:b w:val="0"/>
          <w:bCs w:val="0"/>
          <w:sz w:val="21"/>
          <w:szCs w:val="21"/>
          <w:highlight w:val="none"/>
        </w:rPr>
        <w:t>元</w:t>
      </w:r>
    </w:p>
    <w:p w14:paraId="64CA6B1B">
      <w:pPr>
        <w:pStyle w:val="72"/>
        <w:numPr>
          <w:ilvl w:val="0"/>
          <w:numId w:val="0"/>
        </w:numPr>
        <w:ind w:leftChars="0"/>
        <w:rPr>
          <w:rFonts w:hint="eastAsia" w:ascii="宋体" w:hAnsi="宋体" w:eastAsia="宋体" w:cs="宋体"/>
          <w:b w:val="0"/>
          <w:bCs w:val="0"/>
          <w:sz w:val="21"/>
          <w:szCs w:val="21"/>
          <w:highlight w:val="yellow"/>
          <w:u w:val="single"/>
          <w:lang w:val="en-US" w:eastAsia="zh-CN"/>
        </w:rPr>
      </w:pPr>
      <w:r>
        <w:rPr>
          <w:rFonts w:ascii="宋体" w:hAnsi="宋体" w:eastAsia="宋体" w:cs="宋体"/>
          <w:sz w:val="24"/>
          <w:szCs w:val="24"/>
        </w:rPr>
        <w:t>开户名称：中国重汽集团济南卡车股份有限公司</w:t>
      </w:r>
      <w:r>
        <w:rPr>
          <w:rFonts w:ascii="宋体" w:hAnsi="宋体" w:eastAsia="宋体" w:cs="宋体"/>
          <w:sz w:val="24"/>
          <w:szCs w:val="24"/>
        </w:rPr>
        <w:br w:type="textWrapping"/>
      </w:r>
      <w:r>
        <w:rPr>
          <w:rFonts w:ascii="宋体" w:hAnsi="宋体" w:eastAsia="宋体" w:cs="宋体"/>
          <w:sz w:val="24"/>
          <w:szCs w:val="24"/>
        </w:rPr>
        <w:t>开户银行：招商银行股份有限公司济南分行营业部</w:t>
      </w:r>
      <w:r>
        <w:rPr>
          <w:rFonts w:ascii="宋体" w:hAnsi="宋体" w:eastAsia="宋体" w:cs="宋体"/>
          <w:sz w:val="24"/>
          <w:szCs w:val="24"/>
        </w:rPr>
        <w:br w:type="textWrapping"/>
      </w:r>
      <w:r>
        <w:rPr>
          <w:rFonts w:ascii="宋体" w:hAnsi="宋体" w:eastAsia="宋体" w:cs="宋体"/>
          <w:sz w:val="24"/>
          <w:szCs w:val="24"/>
        </w:rPr>
        <w:t>银行帐号：531900051810601</w:t>
      </w:r>
      <w:r>
        <w:rPr>
          <w:rFonts w:ascii="宋体" w:hAnsi="宋体" w:eastAsia="宋体" w:cs="宋体"/>
          <w:sz w:val="24"/>
          <w:szCs w:val="24"/>
        </w:rPr>
        <w:br w:type="textWrapping"/>
      </w:r>
      <w:r>
        <w:rPr>
          <w:rFonts w:ascii="宋体" w:hAnsi="宋体" w:eastAsia="宋体" w:cs="宋体"/>
          <w:sz w:val="24"/>
          <w:szCs w:val="24"/>
        </w:rPr>
        <w:t>财务电话：0531-58067031</w:t>
      </w:r>
    </w:p>
    <w:p w14:paraId="1591D62C">
      <w:pPr>
        <w:pStyle w:val="75"/>
        <w:keepNext w:val="0"/>
        <w:keepLines w:val="0"/>
        <w:pageBreakBefore w:val="0"/>
        <w:widowControl w:val="0"/>
        <w:numPr>
          <w:ilvl w:val="0"/>
          <w:numId w:val="18"/>
        </w:numPr>
        <w:kinsoku/>
        <w:wordWrap/>
        <w:overflowPunct/>
        <w:topLinePunct w:val="0"/>
        <w:autoSpaceDE/>
        <w:autoSpaceDN/>
        <w:bidi w:val="0"/>
        <w:adjustRightInd/>
        <w:snapToGrid/>
        <w:ind w:left="10" w:leftChars="0" w:firstLine="0"/>
        <w:textAlignment w:val="auto"/>
        <w:rPr>
          <w:rFonts w:hint="eastAsia" w:cs="Times New Roman"/>
          <w:b w:val="0"/>
          <w:bCs/>
          <w:highlight w:val="none"/>
          <w:lang w:val="en-US" w:eastAsia="zh-CN"/>
        </w:rPr>
      </w:pPr>
      <w:r>
        <w:rPr>
          <w:rFonts w:hint="eastAsia" w:cs="Times New Roman"/>
          <w:b w:val="0"/>
          <w:bCs/>
          <w:highlight w:val="none"/>
          <w:lang w:val="en-US" w:eastAsia="zh-CN"/>
        </w:rPr>
        <w:t>转账附言：公司名称+项目名称+投标保证金。</w:t>
      </w:r>
    </w:p>
    <w:p w14:paraId="5568414C">
      <w:pPr>
        <w:pStyle w:val="72"/>
        <w:numPr>
          <w:ilvl w:val="0"/>
          <w:numId w:val="0"/>
        </w:numPr>
        <w:ind w:left="425" w:leftChars="0" w:hanging="425" w:firstLineChars="0"/>
        <w:rPr>
          <w:rFonts w:hint="eastAsia" w:ascii="宋体" w:hAnsi="宋体" w:eastAsia="宋体" w:cs="宋体"/>
          <w:b w:val="0"/>
          <w:bCs w:val="0"/>
          <w:sz w:val="21"/>
          <w:szCs w:val="21"/>
          <w:highlight w:val="none"/>
        </w:rPr>
      </w:pPr>
      <w:r>
        <w:rPr>
          <w:rFonts w:hint="default" w:ascii="宋体" w:hAnsi="宋体" w:eastAsia="宋体" w:cs="宋体"/>
          <w:b w:val="0"/>
          <w:bCs w:val="0"/>
          <w:kern w:val="2"/>
          <w:sz w:val="21"/>
          <w:szCs w:val="21"/>
          <w:lang w:val="en-US" w:eastAsia="zh-CN" w:bidi="ar-SA"/>
        </w:rPr>
        <w:t>(</w:t>
      </w:r>
      <w:r>
        <w:rPr>
          <w:rFonts w:hint="eastAsia" w:ascii="宋体" w:hAnsi="宋体" w:eastAsia="宋体" w:cs="宋体"/>
          <w:b w:val="0"/>
          <w:bCs w:val="0"/>
          <w:kern w:val="2"/>
          <w:sz w:val="21"/>
          <w:szCs w:val="21"/>
          <w:lang w:val="en-US" w:eastAsia="zh-CN" w:bidi="ar-SA"/>
        </w:rPr>
        <w:t>4</w:t>
      </w:r>
      <w:r>
        <w:rPr>
          <w:rFonts w:hint="default" w:ascii="宋体" w:hAnsi="宋体" w:eastAsia="宋体" w:cs="宋体"/>
          <w:b w:val="0"/>
          <w:bCs w:val="0"/>
          <w:kern w:val="2"/>
          <w:sz w:val="21"/>
          <w:szCs w:val="21"/>
          <w:lang w:val="en-US" w:eastAsia="zh-CN" w:bidi="ar-SA"/>
        </w:rPr>
        <w:t>)</w:t>
      </w:r>
      <w:r>
        <w:rPr>
          <w:rFonts w:hint="eastAsia" w:ascii="宋体" w:hAnsi="宋体" w:eastAsia="宋体" w:cs="宋体"/>
          <w:b w:val="0"/>
          <w:bCs w:val="0"/>
          <w:sz w:val="21"/>
          <w:szCs w:val="21"/>
          <w:highlight w:val="none"/>
        </w:rPr>
        <w:t>保证金缴纳截止时间：</w:t>
      </w:r>
      <w:r>
        <w:rPr>
          <w:rFonts w:hint="eastAsia" w:ascii="宋体" w:hAnsi="宋体" w:eastAsia="宋体" w:cs="宋体"/>
          <w:b w:val="0"/>
          <w:bCs w:val="0"/>
          <w:sz w:val="21"/>
          <w:szCs w:val="21"/>
          <w:highlight w:val="yellow"/>
        </w:rPr>
        <w:t>2025年1</w:t>
      </w:r>
      <w:r>
        <w:rPr>
          <w:rFonts w:hint="eastAsia" w:ascii="宋体" w:hAnsi="宋体" w:eastAsia="宋体" w:cs="宋体"/>
          <w:b w:val="0"/>
          <w:bCs w:val="0"/>
          <w:sz w:val="21"/>
          <w:szCs w:val="21"/>
          <w:highlight w:val="yellow"/>
          <w:lang w:val="en-US" w:eastAsia="zh-CN"/>
        </w:rPr>
        <w:t>2</w:t>
      </w:r>
      <w:r>
        <w:rPr>
          <w:rFonts w:hint="eastAsia" w:ascii="宋体" w:hAnsi="宋体" w:eastAsia="宋体" w:cs="宋体"/>
          <w:b w:val="0"/>
          <w:bCs w:val="0"/>
          <w:sz w:val="21"/>
          <w:szCs w:val="21"/>
          <w:highlight w:val="yellow"/>
        </w:rPr>
        <w:t>月</w:t>
      </w:r>
      <w:r>
        <w:rPr>
          <w:rFonts w:hint="eastAsia" w:ascii="宋体" w:hAnsi="宋体" w:eastAsia="宋体" w:cs="宋体"/>
          <w:b w:val="0"/>
          <w:bCs w:val="0"/>
          <w:sz w:val="21"/>
          <w:szCs w:val="21"/>
          <w:highlight w:val="yellow"/>
          <w:lang w:val="en-US" w:eastAsia="zh-CN"/>
        </w:rPr>
        <w:t>15</w:t>
      </w:r>
      <w:r>
        <w:rPr>
          <w:rFonts w:hint="eastAsia" w:ascii="宋体" w:hAnsi="宋体" w:eastAsia="宋体" w:cs="宋体"/>
          <w:b w:val="0"/>
          <w:bCs w:val="0"/>
          <w:sz w:val="21"/>
          <w:szCs w:val="21"/>
          <w:highlight w:val="yellow"/>
        </w:rPr>
        <w:t>日9：00</w:t>
      </w:r>
      <w:r>
        <w:rPr>
          <w:rFonts w:hint="eastAsia" w:ascii="宋体" w:hAnsi="宋体" w:eastAsia="宋体" w:cs="宋体"/>
          <w:b w:val="0"/>
          <w:bCs w:val="0"/>
          <w:sz w:val="21"/>
          <w:szCs w:val="21"/>
          <w:highlight w:val="none"/>
        </w:rPr>
        <w:t>前</w:t>
      </w:r>
      <w:r>
        <w:rPr>
          <w:rFonts w:hint="eastAsia" w:ascii="宋体" w:hAnsi="宋体" w:eastAsia="宋体" w:cs="宋体"/>
          <w:b w:val="0"/>
          <w:bCs w:val="0"/>
          <w:sz w:val="21"/>
          <w:szCs w:val="21"/>
          <w:highlight w:val="none"/>
          <w:lang w:eastAsia="zh-CN"/>
        </w:rPr>
        <w:t>（</w:t>
      </w:r>
      <w:r>
        <w:rPr>
          <w:rFonts w:hint="eastAsia" w:ascii="宋体" w:hAnsi="宋体" w:eastAsia="宋体" w:cs="宋体"/>
          <w:b w:val="0"/>
          <w:bCs w:val="0"/>
          <w:sz w:val="21"/>
          <w:szCs w:val="21"/>
          <w:highlight w:val="none"/>
          <w:lang w:val="en-US" w:eastAsia="zh-CN"/>
        </w:rPr>
        <w:t>同投标文件递交截止时间</w:t>
      </w:r>
      <w:r>
        <w:rPr>
          <w:rFonts w:hint="eastAsia" w:ascii="宋体" w:hAnsi="宋体" w:eastAsia="宋体" w:cs="宋体"/>
          <w:b w:val="0"/>
          <w:bCs w:val="0"/>
          <w:sz w:val="21"/>
          <w:szCs w:val="21"/>
          <w:highlight w:val="none"/>
          <w:lang w:eastAsia="zh-CN"/>
        </w:rPr>
        <w:t>）</w:t>
      </w:r>
    </w:p>
    <w:p w14:paraId="4C2C93DA">
      <w:pPr>
        <w:pStyle w:val="72"/>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选择</w:t>
      </w:r>
      <w:r>
        <w:rPr>
          <w:rFonts w:hint="eastAsia" w:ascii="宋体" w:hAnsi="宋体" w:eastAsia="宋体" w:cs="宋体"/>
          <w:b w:val="0"/>
          <w:bCs w:val="0"/>
          <w:sz w:val="21"/>
          <w:szCs w:val="21"/>
          <w:highlight w:val="none"/>
        </w:rPr>
        <w:t>提交银行投标保函的</w:t>
      </w:r>
      <w:r>
        <w:rPr>
          <w:rFonts w:hint="eastAsia" w:ascii="宋体" w:hAnsi="宋体" w:eastAsia="宋体" w:cs="宋体"/>
          <w:b w:val="0"/>
          <w:bCs w:val="0"/>
          <w:sz w:val="21"/>
          <w:szCs w:val="21"/>
          <w:highlight w:val="none"/>
          <w:lang w:val="en-US" w:eastAsia="zh-CN"/>
        </w:rPr>
        <w:t>拟</w:t>
      </w:r>
      <w:r>
        <w:rPr>
          <w:rFonts w:hint="eastAsia" w:ascii="宋体" w:hAnsi="宋体" w:eastAsia="宋体" w:cs="宋体"/>
          <w:b w:val="0"/>
          <w:bCs w:val="0"/>
          <w:sz w:val="21"/>
          <w:szCs w:val="21"/>
          <w:highlight w:val="none"/>
        </w:rPr>
        <w:t>投标人，应在开标时提交投标保函正本，作为《投标文件》的一部分，该投标保函应是不可撤销的“见索即付”保函，保函有效期应满足投标有效期要求，</w:t>
      </w:r>
      <w:r>
        <w:rPr>
          <w:rFonts w:hint="eastAsia" w:ascii="宋体" w:hAnsi="宋体" w:eastAsia="宋体" w:cs="宋体"/>
          <w:b w:val="0"/>
          <w:bCs w:val="0"/>
          <w:sz w:val="21"/>
          <w:szCs w:val="21"/>
          <w:highlight w:val="none"/>
          <w:lang w:val="en-US" w:eastAsia="zh-CN"/>
        </w:rPr>
        <w:t>由招标人</w:t>
      </w:r>
      <w:r>
        <w:rPr>
          <w:rFonts w:hint="eastAsia" w:ascii="宋体" w:hAnsi="宋体" w:eastAsia="宋体" w:cs="宋体"/>
          <w:b w:val="0"/>
          <w:bCs w:val="0"/>
          <w:sz w:val="21"/>
          <w:szCs w:val="21"/>
          <w:highlight w:val="none"/>
        </w:rPr>
        <w:t>留存保函正本</w:t>
      </w:r>
      <w:r>
        <w:rPr>
          <w:rFonts w:hint="eastAsia" w:ascii="宋体" w:hAnsi="宋体" w:eastAsia="宋体" w:cs="宋体"/>
          <w:b w:val="0"/>
          <w:bCs w:val="0"/>
          <w:sz w:val="21"/>
          <w:szCs w:val="21"/>
          <w:highlight w:val="none"/>
          <w:lang w:eastAsia="zh-CN"/>
        </w:rPr>
        <w:t>。</w:t>
      </w:r>
    </w:p>
    <w:p w14:paraId="7486A087">
      <w:pPr>
        <w:pStyle w:val="72"/>
        <w:keepNext w:val="0"/>
        <w:keepLines w:val="0"/>
        <w:pageBreakBefore w:val="0"/>
        <w:widowControl w:val="0"/>
        <w:numPr>
          <w:ilvl w:val="0"/>
          <w:numId w:val="22"/>
        </w:numPr>
        <w:kinsoku/>
        <w:wordWrap/>
        <w:overflowPunct/>
        <w:topLinePunct w:val="0"/>
        <w:autoSpaceDE/>
        <w:autoSpaceDN/>
        <w:bidi w:val="0"/>
        <w:adjustRightInd/>
        <w:snapToGrid/>
        <w:ind w:left="0" w:leftChars="0" w:firstLine="0"/>
        <w:textAlignment w:val="auto"/>
        <w:rPr>
          <w:rFonts w:hint="eastAsia" w:ascii="宋体" w:hAnsi="宋体" w:eastAsia="仿宋_GB2312" w:cs="宋体"/>
          <w:b w:val="0"/>
          <w:bCs w:val="0"/>
          <w:sz w:val="24"/>
          <w:szCs w:val="24"/>
          <w:highlight w:val="none"/>
          <w:lang w:val="en-US" w:eastAsia="zh-CN"/>
        </w:rPr>
      </w:pPr>
      <w:r>
        <w:rPr>
          <w:rFonts w:hint="eastAsia" w:ascii="宋体" w:hAnsi="宋体" w:eastAsia="宋体" w:cs="宋体"/>
          <w:b w:val="0"/>
          <w:bCs w:val="0"/>
          <w:sz w:val="21"/>
          <w:szCs w:val="21"/>
          <w:highlight w:val="none"/>
          <w:lang w:val="en-US" w:eastAsia="zh-CN"/>
        </w:rPr>
        <w:t>选择从银行基本账户转账</w:t>
      </w:r>
      <w:r>
        <w:rPr>
          <w:rFonts w:hint="eastAsia" w:ascii="宋体" w:hAnsi="宋体" w:eastAsia="宋体" w:cs="宋体"/>
          <w:b w:val="0"/>
          <w:bCs w:val="0"/>
          <w:sz w:val="21"/>
          <w:szCs w:val="21"/>
          <w:highlight w:val="none"/>
        </w:rPr>
        <w:t>的</w:t>
      </w:r>
      <w:r>
        <w:rPr>
          <w:rFonts w:hint="eastAsia" w:ascii="宋体" w:hAnsi="宋体" w:eastAsia="宋体" w:cs="宋体"/>
          <w:b w:val="0"/>
          <w:bCs w:val="0"/>
          <w:sz w:val="21"/>
          <w:szCs w:val="21"/>
          <w:highlight w:val="none"/>
          <w:lang w:val="en-US" w:eastAsia="zh-CN"/>
        </w:rPr>
        <w:t>拟</w:t>
      </w:r>
      <w:r>
        <w:rPr>
          <w:rFonts w:hint="eastAsia" w:ascii="宋体" w:hAnsi="宋体" w:eastAsia="宋体" w:cs="宋体"/>
          <w:b w:val="0"/>
          <w:bCs w:val="0"/>
          <w:sz w:val="21"/>
          <w:szCs w:val="21"/>
          <w:highlight w:val="none"/>
        </w:rPr>
        <w:t>投标人</w:t>
      </w:r>
      <w:r>
        <w:rPr>
          <w:rFonts w:hint="eastAsia" w:ascii="宋体" w:hAnsi="宋体" w:eastAsia="宋体" w:cs="宋体"/>
          <w:b w:val="0"/>
          <w:bCs w:val="0"/>
          <w:sz w:val="21"/>
          <w:szCs w:val="21"/>
          <w:highlight w:val="none"/>
          <w:lang w:eastAsia="zh-CN"/>
        </w:rPr>
        <w:t>，</w:t>
      </w:r>
      <w:r>
        <w:rPr>
          <w:rFonts w:hint="eastAsia" w:ascii="宋体" w:hAnsi="宋体" w:eastAsia="宋体" w:cs="宋体"/>
          <w:b w:val="0"/>
          <w:bCs w:val="0"/>
          <w:sz w:val="21"/>
          <w:szCs w:val="21"/>
          <w:highlight w:val="none"/>
          <w:lang w:val="en-US" w:eastAsia="zh-CN"/>
        </w:rPr>
        <w:t>须在规定的时间之前</w:t>
      </w:r>
      <w:r>
        <w:rPr>
          <w:rFonts w:hint="eastAsia" w:ascii="宋体" w:hAnsi="宋体" w:eastAsia="宋体" w:cs="宋体"/>
          <w:b w:val="0"/>
          <w:bCs w:val="0"/>
          <w:sz w:val="21"/>
          <w:szCs w:val="21"/>
          <w:highlight w:val="none"/>
        </w:rPr>
        <w:t>将投标保证金从</w:t>
      </w:r>
      <w:r>
        <w:rPr>
          <w:rFonts w:hint="eastAsia" w:ascii="宋体" w:hAnsi="宋体" w:eastAsia="宋体" w:cs="宋体"/>
          <w:b w:val="0"/>
          <w:bCs w:val="0"/>
          <w:sz w:val="21"/>
          <w:szCs w:val="21"/>
          <w:highlight w:val="none"/>
          <w:lang w:val="en-US" w:eastAsia="zh-CN"/>
        </w:rPr>
        <w:t>其</w:t>
      </w:r>
      <w:r>
        <w:rPr>
          <w:rFonts w:hint="eastAsia" w:ascii="宋体" w:hAnsi="宋体" w:eastAsia="宋体" w:cs="宋体"/>
          <w:b w:val="0"/>
          <w:bCs w:val="0"/>
          <w:sz w:val="21"/>
          <w:szCs w:val="21"/>
          <w:highlight w:val="none"/>
        </w:rPr>
        <w:t>单位基本帐户转出并到账，否则</w:t>
      </w:r>
      <w:r>
        <w:rPr>
          <w:rFonts w:hint="eastAsia" w:ascii="宋体" w:hAnsi="宋体" w:eastAsia="宋体" w:cs="宋体"/>
          <w:b w:val="0"/>
          <w:bCs w:val="0"/>
          <w:sz w:val="21"/>
          <w:szCs w:val="21"/>
          <w:highlight w:val="none"/>
          <w:lang w:val="en-US" w:eastAsia="zh-CN"/>
        </w:rPr>
        <w:t>视为无效投标</w:t>
      </w:r>
      <w:r>
        <w:rPr>
          <w:rFonts w:hint="eastAsia" w:ascii="宋体" w:hAnsi="宋体" w:eastAsia="宋体" w:cs="宋体"/>
          <w:b w:val="0"/>
          <w:bCs w:val="0"/>
          <w:sz w:val="21"/>
          <w:szCs w:val="21"/>
          <w:highlight w:val="none"/>
        </w:rPr>
        <w:t>；未按规定提交保证金的</w:t>
      </w:r>
      <w:r>
        <w:rPr>
          <w:rFonts w:hint="eastAsia" w:ascii="宋体" w:hAnsi="宋体" w:eastAsia="宋体" w:cs="宋体"/>
          <w:b w:val="0"/>
          <w:bCs w:val="0"/>
          <w:sz w:val="21"/>
          <w:szCs w:val="21"/>
          <w:highlight w:val="none"/>
          <w:lang w:val="en-US" w:eastAsia="zh-CN"/>
        </w:rPr>
        <w:t>拟</w:t>
      </w:r>
      <w:r>
        <w:rPr>
          <w:rFonts w:hint="eastAsia" w:ascii="宋体" w:hAnsi="宋体" w:eastAsia="宋体" w:cs="宋体"/>
          <w:b w:val="0"/>
          <w:bCs w:val="0"/>
          <w:sz w:val="21"/>
          <w:szCs w:val="21"/>
          <w:highlight w:val="none"/>
        </w:rPr>
        <w:t>投标人，其投标文件</w:t>
      </w:r>
      <w:r>
        <w:rPr>
          <w:rFonts w:hint="eastAsia" w:ascii="宋体" w:hAnsi="宋体" w:eastAsia="宋体" w:cs="宋体"/>
          <w:b w:val="0"/>
          <w:bCs w:val="0"/>
          <w:sz w:val="21"/>
          <w:szCs w:val="21"/>
          <w:highlight w:val="none"/>
          <w:lang w:val="en-US" w:eastAsia="zh-CN"/>
        </w:rPr>
        <w:t>视为无效投标</w:t>
      </w:r>
      <w:r>
        <w:rPr>
          <w:rFonts w:hint="eastAsia" w:ascii="宋体" w:hAnsi="宋体" w:eastAsia="宋体" w:cs="宋体"/>
          <w:b w:val="0"/>
          <w:bCs w:val="0"/>
          <w:sz w:val="21"/>
          <w:szCs w:val="21"/>
          <w:highlight w:val="none"/>
        </w:rPr>
        <w:t>。</w:t>
      </w:r>
      <w:r>
        <w:rPr>
          <w:rFonts w:hint="eastAsia" w:ascii="宋体" w:hAnsi="宋体" w:eastAsia="宋体" w:cs="宋体"/>
          <w:b w:val="0"/>
          <w:bCs w:val="0"/>
          <w:sz w:val="21"/>
          <w:szCs w:val="21"/>
          <w:highlight w:val="none"/>
          <w:lang w:val="en-US" w:eastAsia="zh-CN"/>
        </w:rPr>
        <w:t>拟投标人</w:t>
      </w:r>
      <w:r>
        <w:rPr>
          <w:rFonts w:hint="eastAsia" w:ascii="宋体" w:hAnsi="宋体" w:eastAsia="宋体" w:cs="宋体"/>
          <w:b w:val="0"/>
          <w:bCs w:val="0"/>
          <w:sz w:val="21"/>
          <w:szCs w:val="21"/>
          <w:highlight w:val="none"/>
        </w:rPr>
        <w:t>应充分考虑银行信息交换时间，由此带来的保证金不能按时到帐的责任由</w:t>
      </w:r>
      <w:r>
        <w:rPr>
          <w:rFonts w:hint="eastAsia" w:ascii="宋体" w:hAnsi="宋体" w:eastAsia="宋体" w:cs="宋体"/>
          <w:b w:val="0"/>
          <w:bCs w:val="0"/>
          <w:sz w:val="21"/>
          <w:szCs w:val="21"/>
          <w:highlight w:val="none"/>
          <w:lang w:val="en-US" w:eastAsia="zh-CN"/>
        </w:rPr>
        <w:t>拟投标人</w:t>
      </w:r>
      <w:r>
        <w:rPr>
          <w:rFonts w:hint="eastAsia" w:ascii="宋体" w:hAnsi="宋体" w:eastAsia="宋体" w:cs="宋体"/>
          <w:b w:val="0"/>
          <w:bCs w:val="0"/>
          <w:sz w:val="21"/>
          <w:szCs w:val="21"/>
          <w:highlight w:val="none"/>
        </w:rPr>
        <w:t>自行承担。</w:t>
      </w:r>
    </w:p>
    <w:p w14:paraId="5306DE77">
      <w:pPr>
        <w:pStyle w:val="72"/>
        <w:keepNext w:val="0"/>
        <w:keepLines w:val="0"/>
        <w:pageBreakBefore w:val="0"/>
        <w:widowControl w:val="0"/>
        <w:numPr>
          <w:ilvl w:val="0"/>
          <w:numId w:val="22"/>
        </w:numPr>
        <w:kinsoku/>
        <w:wordWrap/>
        <w:overflowPunct/>
        <w:topLinePunct w:val="0"/>
        <w:autoSpaceDE/>
        <w:autoSpaceDN/>
        <w:bidi w:val="0"/>
        <w:adjustRightInd/>
        <w:snapToGrid/>
        <w:ind w:left="0" w:leftChars="0" w:firstLine="0" w:firstLineChars="0"/>
        <w:textAlignment w:val="auto"/>
        <w:rPr>
          <w:rFonts w:hint="eastAsia" w:ascii="宋体" w:hAnsi="宋体" w:eastAsia="仿宋_GB2312" w:cs="宋体"/>
          <w:b w:val="0"/>
          <w:bCs w:val="0"/>
          <w:sz w:val="24"/>
          <w:szCs w:val="24"/>
          <w:highlight w:val="none"/>
          <w:lang w:val="en-US" w:eastAsia="zh-CN"/>
        </w:rPr>
      </w:pPr>
      <w:r>
        <w:rPr>
          <w:rFonts w:hint="eastAsia" w:ascii="宋体" w:hAnsi="宋体" w:eastAsia="宋体" w:cs="宋体"/>
          <w:b w:val="0"/>
          <w:bCs w:val="0"/>
          <w:sz w:val="21"/>
          <w:szCs w:val="21"/>
          <w:highlight w:val="none"/>
        </w:rPr>
        <w:t>对于没有中标的</w:t>
      </w:r>
      <w:r>
        <w:rPr>
          <w:rFonts w:hint="eastAsia" w:ascii="宋体" w:hAnsi="宋体" w:eastAsia="宋体" w:cs="宋体"/>
          <w:b w:val="0"/>
          <w:bCs w:val="0"/>
          <w:sz w:val="21"/>
          <w:szCs w:val="21"/>
          <w:highlight w:val="none"/>
          <w:lang w:eastAsia="zh-CN"/>
        </w:rPr>
        <w:t>投标人</w:t>
      </w:r>
      <w:r>
        <w:rPr>
          <w:rFonts w:hint="eastAsia" w:ascii="宋体" w:hAnsi="宋体" w:eastAsia="宋体" w:cs="宋体"/>
          <w:b w:val="0"/>
          <w:bCs w:val="0"/>
          <w:sz w:val="21"/>
          <w:szCs w:val="21"/>
          <w:highlight w:val="none"/>
        </w:rPr>
        <w:t>，投标保证金将于招标人内部完成中标人评审并确认最终中标人后在</w:t>
      </w:r>
      <w:r>
        <w:rPr>
          <w:rFonts w:hint="eastAsia" w:ascii="宋体" w:hAnsi="宋体" w:eastAsia="宋体" w:cs="宋体"/>
          <w:b w:val="0"/>
          <w:bCs w:val="0"/>
          <w:sz w:val="21"/>
          <w:szCs w:val="21"/>
          <w:highlight w:val="yellow"/>
          <w:u w:val="single"/>
          <w:lang w:val="en-US" w:eastAsia="zh-CN"/>
        </w:rPr>
        <w:t>一个付款周期</w:t>
      </w:r>
      <w:r>
        <w:rPr>
          <w:rFonts w:hint="eastAsia" w:ascii="宋体" w:hAnsi="宋体" w:eastAsia="宋体" w:cs="宋体"/>
          <w:b w:val="0"/>
          <w:bCs w:val="0"/>
          <w:sz w:val="21"/>
          <w:szCs w:val="21"/>
          <w:highlight w:val="none"/>
        </w:rPr>
        <w:t>内予以原路返还（无息）；对于中标方，投标保证金将在签订合同后</w:t>
      </w:r>
      <w:r>
        <w:rPr>
          <w:rFonts w:hint="eastAsia" w:ascii="宋体" w:hAnsi="宋体" w:eastAsia="宋体" w:cs="宋体"/>
          <w:b w:val="0"/>
          <w:bCs w:val="0"/>
          <w:sz w:val="21"/>
          <w:szCs w:val="21"/>
          <w:highlight w:val="yellow"/>
          <w:u w:val="single"/>
          <w:lang w:val="en-US" w:eastAsia="zh-CN"/>
        </w:rPr>
        <w:t>一个付款周期</w:t>
      </w:r>
      <w:r>
        <w:rPr>
          <w:rFonts w:hint="eastAsia" w:ascii="宋体" w:hAnsi="宋体" w:eastAsia="宋体" w:cs="宋体"/>
          <w:b w:val="0"/>
          <w:bCs w:val="0"/>
          <w:sz w:val="21"/>
          <w:szCs w:val="21"/>
          <w:highlight w:val="none"/>
        </w:rPr>
        <w:t>内原路返还（无息）。</w:t>
      </w:r>
    </w:p>
    <w:p w14:paraId="271EC8CF">
      <w:pPr>
        <w:pStyle w:val="72"/>
        <w:keepNext w:val="0"/>
        <w:keepLines w:val="0"/>
        <w:pageBreakBefore w:val="0"/>
        <w:widowControl w:val="0"/>
        <w:numPr>
          <w:ilvl w:val="0"/>
          <w:numId w:val="22"/>
        </w:numPr>
        <w:kinsoku/>
        <w:wordWrap/>
        <w:overflowPunct/>
        <w:topLinePunct w:val="0"/>
        <w:autoSpaceDE/>
        <w:autoSpaceDN/>
        <w:bidi w:val="0"/>
        <w:adjustRightInd/>
        <w:snapToGrid/>
        <w:ind w:left="0" w:leftChars="0" w:firstLine="0" w:firstLineChars="0"/>
        <w:textAlignment w:val="auto"/>
        <w:rPr>
          <w:rFonts w:hint="eastAsia" w:ascii="宋体" w:hAnsi="宋体" w:eastAsia="仿宋_GB2312" w:cs="宋体"/>
          <w:b w:val="0"/>
          <w:bCs w:val="0"/>
          <w:sz w:val="24"/>
          <w:szCs w:val="24"/>
          <w:highlight w:val="none"/>
          <w:lang w:val="en-US" w:eastAsia="zh-CN"/>
        </w:rPr>
      </w:pPr>
      <w:r>
        <w:rPr>
          <w:rFonts w:hint="eastAsia" w:ascii="宋体" w:hAnsi="宋体" w:eastAsia="宋体" w:cs="宋体"/>
          <w:b w:val="0"/>
          <w:bCs w:val="0"/>
          <w:sz w:val="21"/>
          <w:szCs w:val="21"/>
          <w:highlight w:val="none"/>
        </w:rPr>
        <w:t>发生以下情况时，有权没收保证金：</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①供应商在提交响应文件截止时间后撤回响应文件的；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②供应商在响应文件中提供虚假材料的；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③除因不可抗力或谈判文件、询价通知书认可的情形以外，成交供应商不与采购人签订合同的；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④供应商与采购人、其他供应商或者采购代理机构恶意串通、围标、陪标的；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⑤供应商有违约违规行为或被投诉、举报的，在调查处理期间，保证金暂不退还，待调查处理结束后按有关规定处理。</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⑥截至开标前3天，投标人无正当理由、未以书面形式向招标人递交说明而在投标截止日不来投标的。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⑦自中标通知书发出之日起30日内，中标人无正当理由投标人无正当签订合同的；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⑧采购文件规定的其他情形</w:t>
      </w:r>
      <w:r>
        <w:rPr>
          <w:rFonts w:hint="eastAsia" w:ascii="宋体" w:hAnsi="宋体" w:eastAsia="宋体" w:cs="宋体"/>
          <w:b w:val="0"/>
          <w:bCs w:val="0"/>
          <w:sz w:val="21"/>
          <w:szCs w:val="21"/>
          <w:highlight w:val="none"/>
          <w:lang w:eastAsia="zh-CN"/>
        </w:rPr>
        <w:t>。</w:t>
      </w:r>
    </w:p>
    <w:bookmarkEnd w:id="10"/>
    <w:p w14:paraId="368B6990">
      <w:pPr>
        <w:pStyle w:val="72"/>
      </w:pPr>
      <w:r>
        <w:rPr>
          <w:rFonts w:hint="eastAsia"/>
          <w:lang w:val="en-US" w:eastAsia="zh-CN"/>
        </w:rPr>
        <w:t>开评标</w:t>
      </w:r>
    </w:p>
    <w:p w14:paraId="7D70F083">
      <w:pPr>
        <w:pStyle w:val="72"/>
        <w:numPr>
          <w:ilvl w:val="0"/>
          <w:numId w:val="24"/>
        </w:numPr>
        <w:ind w:firstLine="0"/>
        <w:rPr>
          <w:rFonts w:ascii="宋体" w:hAnsi="宋体" w:eastAsia="宋体" w:cs="宋体"/>
          <w:b w:val="0"/>
          <w:bCs w:val="0"/>
          <w:sz w:val="21"/>
          <w:szCs w:val="21"/>
          <w:highlight w:val="yellow"/>
        </w:rPr>
      </w:pPr>
      <w:r>
        <w:rPr>
          <w:rFonts w:hint="eastAsia" w:ascii="宋体" w:hAnsi="宋体" w:eastAsia="宋体" w:cs="宋体"/>
          <w:b w:val="0"/>
          <w:bCs w:val="0"/>
          <w:sz w:val="21"/>
          <w:szCs w:val="21"/>
          <w:highlight w:val="yellow"/>
        </w:rPr>
        <w:t>开标时间：2025年1</w:t>
      </w:r>
      <w:r>
        <w:rPr>
          <w:rFonts w:hint="eastAsia" w:ascii="宋体" w:hAnsi="宋体" w:eastAsia="宋体" w:cs="宋体"/>
          <w:b w:val="0"/>
          <w:bCs w:val="0"/>
          <w:sz w:val="21"/>
          <w:szCs w:val="21"/>
          <w:highlight w:val="yellow"/>
          <w:lang w:val="en-US" w:eastAsia="zh-CN"/>
        </w:rPr>
        <w:t>2</w:t>
      </w:r>
      <w:r>
        <w:rPr>
          <w:rFonts w:hint="eastAsia" w:ascii="宋体" w:hAnsi="宋体" w:eastAsia="宋体" w:cs="宋体"/>
          <w:b w:val="0"/>
          <w:bCs w:val="0"/>
          <w:sz w:val="21"/>
          <w:szCs w:val="21"/>
          <w:highlight w:val="yellow"/>
        </w:rPr>
        <w:t>月</w:t>
      </w:r>
      <w:r>
        <w:rPr>
          <w:rFonts w:hint="eastAsia" w:ascii="宋体" w:hAnsi="宋体" w:eastAsia="宋体" w:cs="宋体"/>
          <w:b w:val="0"/>
          <w:bCs w:val="0"/>
          <w:sz w:val="21"/>
          <w:szCs w:val="21"/>
          <w:highlight w:val="yellow"/>
          <w:lang w:val="en-US" w:eastAsia="zh-CN"/>
        </w:rPr>
        <w:t>15</w:t>
      </w:r>
      <w:bookmarkStart w:id="32" w:name="_GoBack"/>
      <w:bookmarkEnd w:id="32"/>
      <w:r>
        <w:rPr>
          <w:rFonts w:hint="eastAsia" w:ascii="宋体" w:hAnsi="宋体" w:eastAsia="宋体" w:cs="宋体"/>
          <w:b w:val="0"/>
          <w:bCs w:val="0"/>
          <w:sz w:val="21"/>
          <w:szCs w:val="21"/>
          <w:highlight w:val="yellow"/>
        </w:rPr>
        <w:t>日9:00:00</w:t>
      </w:r>
    </w:p>
    <w:p w14:paraId="26008F0B">
      <w:pPr>
        <w:pStyle w:val="72"/>
        <w:keepNext w:val="0"/>
        <w:keepLines w:val="0"/>
        <w:pageBreakBefore w:val="0"/>
        <w:widowControl w:val="0"/>
        <w:numPr>
          <w:ilvl w:val="0"/>
          <w:numId w:val="24"/>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yellow"/>
          <w:lang w:val="en-US" w:eastAsia="zh-CN"/>
        </w:rPr>
      </w:pPr>
      <w:r>
        <w:rPr>
          <w:rFonts w:hint="eastAsia" w:ascii="宋体" w:hAnsi="宋体" w:eastAsia="宋体" w:cs="宋体"/>
          <w:b w:val="0"/>
          <w:bCs w:val="0"/>
          <w:sz w:val="21"/>
          <w:szCs w:val="21"/>
          <w:highlight w:val="yellow"/>
        </w:rPr>
        <w:t>开标地点：济南市历城区华奥路777号重汽科技大厦</w:t>
      </w:r>
    </w:p>
    <w:p w14:paraId="420F0E0C">
      <w:pPr>
        <w:pStyle w:val="72"/>
        <w:keepNext w:val="0"/>
        <w:keepLines w:val="0"/>
        <w:pageBreakBefore w:val="0"/>
        <w:widowControl w:val="0"/>
        <w:numPr>
          <w:ilvl w:val="0"/>
          <w:numId w:val="24"/>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yellow"/>
          <w:lang w:val="en-US" w:eastAsia="zh-CN"/>
        </w:rPr>
      </w:pPr>
      <w:r>
        <w:rPr>
          <w:rFonts w:hint="eastAsia" w:ascii="宋体" w:hAnsi="宋体" w:eastAsia="宋体" w:cs="宋体"/>
          <w:b w:val="0"/>
          <w:bCs w:val="0"/>
          <w:sz w:val="21"/>
          <w:szCs w:val="21"/>
          <w:highlight w:val="yellow"/>
          <w:lang w:val="en-US" w:eastAsia="zh-CN"/>
        </w:rPr>
        <w:t>开标方式：</w:t>
      </w:r>
    </w:p>
    <w:p w14:paraId="3EF8D0F8">
      <w:pPr>
        <w:pStyle w:val="72"/>
        <w:keepNext w:val="0"/>
        <w:keepLines w:val="0"/>
        <w:pageBreakBefore w:val="0"/>
        <w:widowControl w:val="0"/>
        <w:numPr>
          <w:ilvl w:val="0"/>
          <w:numId w:val="25"/>
        </w:numPr>
        <w:kinsoku/>
        <w:wordWrap/>
        <w:overflowPunct/>
        <w:topLinePunct w:val="0"/>
        <w:autoSpaceDE/>
        <w:autoSpaceDN/>
        <w:bidi w:val="0"/>
        <w:adjustRightInd/>
        <w:snapToGrid/>
        <w:ind w:left="11" w:leftChars="0" w:firstLine="0" w:firstLineChars="0"/>
        <w:textAlignment w:val="auto"/>
        <w:rPr>
          <w:rFonts w:hint="eastAsia" w:ascii="宋体" w:hAnsi="宋体" w:eastAsia="宋体" w:cs="宋体"/>
          <w:color w:val="000000"/>
          <w:sz w:val="21"/>
          <w:szCs w:val="21"/>
          <w:highlight w:val="none"/>
        </w:rPr>
      </w:pPr>
      <w:r>
        <w:rPr>
          <w:rFonts w:hint="eastAsia" w:ascii="宋体" w:hAnsi="Courier New" w:eastAsia="宋体" w:cs="Times New Roman"/>
          <w:b w:val="0"/>
          <w:bCs/>
          <w:kern w:val="2"/>
          <w:sz w:val="21"/>
          <w:highlight w:val="none"/>
          <w:lang w:val="en-US" w:eastAsia="zh-CN" w:bidi="ar-SA"/>
        </w:rPr>
        <w:t>线上招标：</w:t>
      </w:r>
      <w:r>
        <w:rPr>
          <w:rFonts w:hint="eastAsia" w:ascii="宋体" w:hAnsi="宋体" w:eastAsia="宋体" w:cs="宋体"/>
          <w:b w:val="0"/>
          <w:bCs w:val="0"/>
          <w:sz w:val="21"/>
          <w:szCs w:val="21"/>
          <w:highlight w:val="none"/>
          <w:lang w:val="en-US" w:eastAsia="zh-CN"/>
        </w:rPr>
        <w:t>因招标人原因，允许各投标方通过视频会议等形式线上招标，所需过程资料均通过e采通进行提报，由</w:t>
      </w:r>
      <w:r>
        <w:rPr>
          <w:rFonts w:hint="eastAsia" w:ascii="宋体" w:hAnsi="宋体" w:eastAsia="宋体" w:cs="宋体"/>
          <w:color w:val="000000"/>
          <w:sz w:val="21"/>
          <w:szCs w:val="21"/>
          <w:highlight w:val="none"/>
        </w:rPr>
        <w:t>招标人创建视频链接</w:t>
      </w:r>
      <w:r>
        <w:rPr>
          <w:rFonts w:hint="eastAsia" w:ascii="宋体" w:hAnsi="宋体" w:eastAsia="宋体" w:cs="宋体"/>
          <w:color w:val="000000"/>
          <w:sz w:val="21"/>
          <w:szCs w:val="21"/>
          <w:highlight w:val="none"/>
          <w:lang w:eastAsia="zh-CN"/>
        </w:rPr>
        <w:t>，</w:t>
      </w:r>
      <w:r>
        <w:rPr>
          <w:rFonts w:hint="eastAsia" w:ascii="宋体" w:hAnsi="宋体" w:eastAsia="宋体" w:cs="宋体"/>
          <w:color w:val="000000"/>
          <w:sz w:val="21"/>
          <w:szCs w:val="21"/>
          <w:highlight w:val="none"/>
        </w:rPr>
        <w:t>并在报名结束后统一通知。</w:t>
      </w:r>
    </w:p>
    <w:p w14:paraId="2C652027">
      <w:pPr>
        <w:pStyle w:val="72"/>
        <w:keepNext w:val="0"/>
        <w:keepLines w:val="0"/>
        <w:pageBreakBefore w:val="0"/>
        <w:widowControl w:val="0"/>
        <w:numPr>
          <w:ilvl w:val="0"/>
          <w:numId w:val="24"/>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评标</w:t>
      </w:r>
    </w:p>
    <w:p w14:paraId="6136E50F">
      <w:pPr>
        <w:pStyle w:val="72"/>
        <w:keepNext w:val="0"/>
        <w:keepLines w:val="0"/>
        <w:pageBreakBefore w:val="0"/>
        <w:widowControl w:val="0"/>
        <w:numPr>
          <w:ilvl w:val="0"/>
          <w:numId w:val="26"/>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yellow"/>
          <w:lang w:val="en-US" w:eastAsia="zh-CN"/>
        </w:rPr>
      </w:pPr>
      <w:r>
        <w:rPr>
          <w:rFonts w:hint="eastAsia" w:ascii="宋体" w:hAnsi="宋体" w:eastAsia="宋体" w:cs="宋体"/>
          <w:b w:val="0"/>
          <w:bCs w:val="0"/>
          <w:sz w:val="21"/>
          <w:szCs w:val="21"/>
          <w:highlight w:val="yellow"/>
          <w:lang w:val="en-US" w:eastAsia="zh-CN"/>
        </w:rPr>
        <w:t>评标方法</w:t>
      </w:r>
    </w:p>
    <w:p w14:paraId="45816947">
      <w:pPr>
        <w:pStyle w:val="75"/>
        <w:keepNext w:val="0"/>
        <w:keepLines w:val="0"/>
        <w:pageBreakBefore w:val="0"/>
        <w:widowControl w:val="0"/>
        <w:numPr>
          <w:ilvl w:val="0"/>
          <w:numId w:val="18"/>
        </w:numPr>
        <w:kinsoku/>
        <w:wordWrap/>
        <w:overflowPunct/>
        <w:topLinePunct w:val="0"/>
        <w:autoSpaceDE/>
        <w:autoSpaceDN/>
        <w:bidi w:val="0"/>
        <w:adjustRightInd/>
        <w:snapToGrid/>
        <w:ind w:left="10" w:leftChars="0" w:firstLine="0"/>
        <w:textAlignment w:val="auto"/>
        <w:rPr>
          <w:rFonts w:hint="eastAsia" w:cs="Times New Roman"/>
          <w:b w:val="0"/>
          <w:bCs/>
          <w:highlight w:val="none"/>
          <w:lang w:val="en-US" w:eastAsia="zh-CN"/>
        </w:rPr>
      </w:pPr>
      <w:r>
        <w:rPr>
          <w:rFonts w:hint="eastAsia" w:cs="Times New Roman"/>
          <w:b w:val="0"/>
          <w:bCs/>
          <w:highlight w:val="none"/>
          <w:lang w:val="en-US" w:eastAsia="zh-CN"/>
        </w:rPr>
        <w:t>评标方法（综合评分法）</w:t>
      </w:r>
    </w:p>
    <w:p w14:paraId="2CCC458A">
      <w:pPr>
        <w:pStyle w:val="72"/>
        <w:keepNext w:val="0"/>
        <w:keepLines w:val="0"/>
        <w:pageBreakBefore w:val="0"/>
        <w:widowControl w:val="0"/>
        <w:numPr>
          <w:ilvl w:val="0"/>
          <w:numId w:val="0"/>
        </w:numPr>
        <w:kinsoku/>
        <w:wordWrap/>
        <w:overflowPunct/>
        <w:topLinePunct w:val="0"/>
        <w:autoSpaceDE/>
        <w:autoSpaceDN/>
        <w:bidi w:val="0"/>
        <w:adjustRightInd/>
        <w:snapToGrid/>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本次招标采用综合评分法评标，即在最大限度地满足招标文件实质性要求的前提下，按照评分标准中规定的评分因素和评分细则进行综合评价、评分。</w:t>
      </w:r>
    </w:p>
    <w:p w14:paraId="0A3A33A9">
      <w:pPr>
        <w:pStyle w:val="72"/>
        <w:keepNext w:val="0"/>
        <w:keepLines w:val="0"/>
        <w:pageBreakBefore w:val="0"/>
        <w:widowControl w:val="0"/>
        <w:numPr>
          <w:ilvl w:val="0"/>
          <w:numId w:val="0"/>
        </w:numPr>
        <w:kinsoku/>
        <w:wordWrap/>
        <w:overflowPunct/>
        <w:topLinePunct w:val="0"/>
        <w:autoSpaceDE/>
        <w:autoSpaceDN/>
        <w:bidi w:val="0"/>
        <w:adjustRightInd/>
        <w:snapToGrid/>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评标委员会各成员独立对每一份有效投标文件进行评价并对除报价以外的评分项目进行评分，报价得分由工作人员通过计算得出。</w:t>
      </w:r>
    </w:p>
    <w:p w14:paraId="69021D98">
      <w:pPr>
        <w:pStyle w:val="72"/>
        <w:keepNext w:val="0"/>
        <w:keepLines w:val="0"/>
        <w:pageBreakBefore w:val="0"/>
        <w:widowControl w:val="0"/>
        <w:numPr>
          <w:ilvl w:val="0"/>
          <w:numId w:val="0"/>
        </w:numPr>
        <w:kinsoku/>
        <w:wordWrap/>
        <w:overflowPunct/>
        <w:topLinePunct w:val="0"/>
        <w:autoSpaceDE/>
        <w:autoSpaceDN/>
        <w:bidi w:val="0"/>
        <w:adjustRightInd/>
        <w:snapToGrid/>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投标人得分＝∑评委评价得分/评委人数＋商务标得分</w:t>
      </w:r>
    </w:p>
    <w:p w14:paraId="0B2A8F6D">
      <w:pPr>
        <w:pStyle w:val="72"/>
        <w:keepNext w:val="0"/>
        <w:keepLines w:val="0"/>
        <w:pageBreakBefore w:val="0"/>
        <w:widowControl w:val="0"/>
        <w:numPr>
          <w:ilvl w:val="0"/>
          <w:numId w:val="26"/>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评标流程</w:t>
      </w:r>
    </w:p>
    <w:p w14:paraId="08C47440">
      <w:pPr>
        <w:keepNext w:val="0"/>
        <w:keepLines w:val="0"/>
        <w:pageBreakBefore w:val="0"/>
        <w:widowControl w:val="0"/>
        <w:numPr>
          <w:ilvl w:val="0"/>
          <w:numId w:val="27"/>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color w:val="000000"/>
          <w:sz w:val="21"/>
          <w:szCs w:val="21"/>
          <w:highlight w:val="none"/>
        </w:rPr>
      </w:pPr>
      <w:r>
        <w:rPr>
          <w:rFonts w:hint="eastAsia" w:ascii="宋体" w:hAnsi="宋体" w:eastAsia="宋体" w:cs="宋体"/>
          <w:b/>
          <w:color w:val="000000"/>
          <w:sz w:val="21"/>
          <w:szCs w:val="21"/>
          <w:highlight w:val="none"/>
        </w:rPr>
        <w:t>应标资格审查：在“中国重汽e采通”应标报名时，</w:t>
      </w:r>
      <w:r>
        <w:rPr>
          <w:rFonts w:hint="eastAsia" w:ascii="宋体" w:hAnsi="宋体" w:eastAsia="宋体" w:cs="宋体"/>
          <w:b/>
          <w:bCs/>
          <w:color w:val="000000"/>
          <w:sz w:val="21"/>
          <w:szCs w:val="21"/>
          <w:highlight w:val="none"/>
        </w:rPr>
        <w:t>按照第</w:t>
      </w:r>
      <w:r>
        <w:rPr>
          <w:rFonts w:hint="eastAsia" w:ascii="宋体" w:hAnsi="宋体" w:eastAsia="宋体" w:cs="宋体"/>
          <w:b/>
          <w:bCs/>
          <w:color w:val="000000"/>
          <w:sz w:val="21"/>
          <w:szCs w:val="21"/>
          <w:highlight w:val="none"/>
          <w:lang w:val="en-US" w:eastAsia="zh-CN"/>
        </w:rPr>
        <w:t>一</w:t>
      </w:r>
      <w:r>
        <w:rPr>
          <w:rFonts w:hint="eastAsia" w:ascii="宋体" w:hAnsi="宋体" w:eastAsia="宋体" w:cs="宋体"/>
          <w:b/>
          <w:bCs/>
          <w:color w:val="000000"/>
          <w:sz w:val="21"/>
          <w:szCs w:val="21"/>
          <w:highlight w:val="none"/>
        </w:rPr>
        <w:t>部分第</w:t>
      </w:r>
      <w:r>
        <w:rPr>
          <w:rFonts w:hint="eastAsia" w:ascii="宋体" w:hAnsi="宋体" w:eastAsia="宋体" w:cs="宋体"/>
          <w:b/>
          <w:bCs/>
          <w:color w:val="000000"/>
          <w:sz w:val="21"/>
          <w:szCs w:val="21"/>
          <w:highlight w:val="none"/>
          <w:lang w:val="en-US" w:eastAsia="zh-CN"/>
        </w:rPr>
        <w:t>四</w:t>
      </w:r>
      <w:r>
        <w:rPr>
          <w:rFonts w:hint="eastAsia" w:ascii="宋体" w:hAnsi="宋体" w:eastAsia="宋体" w:cs="宋体"/>
          <w:b/>
          <w:bCs/>
          <w:color w:val="000000"/>
          <w:sz w:val="21"/>
          <w:szCs w:val="21"/>
          <w:highlight w:val="none"/>
        </w:rPr>
        <w:t>条投标文件</w:t>
      </w:r>
      <w:r>
        <w:rPr>
          <w:rFonts w:hint="eastAsia" w:ascii="宋体" w:hAnsi="宋体" w:eastAsia="宋体" w:cs="宋体"/>
          <w:b/>
          <w:bCs/>
          <w:color w:val="000000"/>
          <w:sz w:val="21"/>
          <w:szCs w:val="21"/>
          <w:highlight w:val="none"/>
          <w:lang w:val="en-US" w:eastAsia="zh-CN"/>
        </w:rPr>
        <w:t>编制</w:t>
      </w:r>
      <w:r>
        <w:rPr>
          <w:rFonts w:hint="eastAsia" w:ascii="宋体" w:hAnsi="宋体" w:eastAsia="宋体" w:cs="宋体"/>
          <w:b/>
          <w:bCs/>
          <w:color w:val="000000"/>
          <w:sz w:val="21"/>
          <w:szCs w:val="21"/>
          <w:highlight w:val="none"/>
        </w:rPr>
        <w:t>资格证明文件中的1.1-1.1</w:t>
      </w:r>
      <w:r>
        <w:rPr>
          <w:rFonts w:hint="eastAsia" w:ascii="宋体" w:hAnsi="宋体" w:eastAsia="宋体" w:cs="宋体"/>
          <w:b/>
          <w:bCs/>
          <w:color w:val="000000"/>
          <w:sz w:val="21"/>
          <w:szCs w:val="21"/>
          <w:highlight w:val="none"/>
          <w:lang w:val="en-US" w:eastAsia="zh-CN"/>
        </w:rPr>
        <w:t>1</w:t>
      </w:r>
      <w:r>
        <w:rPr>
          <w:rFonts w:hint="eastAsia" w:ascii="宋体" w:hAnsi="宋体" w:eastAsia="宋体" w:cs="宋体"/>
          <w:b/>
          <w:bCs/>
          <w:color w:val="000000"/>
          <w:sz w:val="21"/>
          <w:szCs w:val="21"/>
          <w:highlight w:val="none"/>
        </w:rPr>
        <w:t>准备资料，上传完毕后，等待审核</w:t>
      </w:r>
      <w:r>
        <w:rPr>
          <w:rFonts w:hint="eastAsia" w:ascii="宋体" w:hAnsi="宋体" w:eastAsia="宋体" w:cs="宋体"/>
          <w:b/>
          <w:color w:val="000000"/>
          <w:sz w:val="21"/>
          <w:szCs w:val="21"/>
          <w:highlight w:val="none"/>
        </w:rPr>
        <w:t>；</w:t>
      </w:r>
      <w:r>
        <w:rPr>
          <w:rFonts w:hint="eastAsia" w:ascii="宋体" w:hAnsi="宋体" w:cs="宋体"/>
          <w:b/>
          <w:color w:val="000000"/>
          <w:sz w:val="21"/>
          <w:szCs w:val="21"/>
          <w:highlight w:val="yellow"/>
          <w:lang w:val="en-US" w:eastAsia="zh-CN"/>
        </w:rPr>
        <w:t>供应商需在系统上完成财务数据的填写，如因未在系统上提供财务数据，导致应标不通过，所造成的后果由供应商自行承担。</w:t>
      </w:r>
    </w:p>
    <w:p w14:paraId="3925B8AD">
      <w:pPr>
        <w:keepNext w:val="0"/>
        <w:keepLines w:val="0"/>
        <w:pageBreakBefore w:val="0"/>
        <w:widowControl w:val="0"/>
        <w:numPr>
          <w:ilvl w:val="0"/>
          <w:numId w:val="27"/>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通过应标资格审查的单位进入投标环节，按照“SRM系统供应商用户手册”，在重汽e采通平台投递电子标书（包含资质标、技术标、商务标）；没有通过应标资质审查的单位不能进入投标环节；</w:t>
      </w:r>
    </w:p>
    <w:p w14:paraId="3B34C86F">
      <w:pPr>
        <w:keepNext w:val="0"/>
        <w:keepLines w:val="0"/>
        <w:pageBreakBefore w:val="0"/>
        <w:widowControl w:val="0"/>
        <w:numPr>
          <w:ilvl w:val="0"/>
          <w:numId w:val="27"/>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资质标评审：资质标审核通过的单位，可以进入公开唱标环节；</w:t>
      </w:r>
    </w:p>
    <w:p w14:paraId="5672B712">
      <w:pPr>
        <w:keepNext w:val="0"/>
        <w:keepLines w:val="0"/>
        <w:pageBreakBefore w:val="0"/>
        <w:widowControl w:val="0"/>
        <w:numPr>
          <w:ilvl w:val="0"/>
          <w:numId w:val="27"/>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公开唱标：公示资质标入围单位的开标价格及商务条款响应情况；</w:t>
      </w:r>
    </w:p>
    <w:p w14:paraId="7E63C2E8">
      <w:pPr>
        <w:keepNext w:val="0"/>
        <w:keepLines w:val="0"/>
        <w:pageBreakBefore w:val="0"/>
        <w:widowControl w:val="0"/>
        <w:numPr>
          <w:ilvl w:val="0"/>
          <w:numId w:val="27"/>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技术标评审：技术标评标专家组，通过重汽e采通，对各投标人的《投标文件（技术标）》进行综合评审；评审期间产生的技术澄清均由投标人在重汽e采通平台内完成提交；评审合格的单位进入商务标评审环节，评审不合格的单位被淘汰；具体</w:t>
      </w:r>
      <w:r>
        <w:rPr>
          <w:rFonts w:hint="eastAsia" w:ascii="宋体" w:hAnsi="宋体" w:eastAsia="宋体" w:cs="宋体"/>
          <w:b/>
          <w:bCs/>
          <w:color w:val="000000"/>
          <w:sz w:val="21"/>
          <w:szCs w:val="21"/>
          <w:highlight w:val="none"/>
          <w:lang w:val="en-US" w:eastAsia="zh-CN"/>
        </w:rPr>
        <w:t>评分详见</w:t>
      </w:r>
      <w:r>
        <w:rPr>
          <w:rFonts w:hint="eastAsia" w:ascii="宋体" w:hAnsi="宋体" w:eastAsia="宋体" w:cs="宋体"/>
          <w:b/>
          <w:bCs/>
          <w:color w:val="000000"/>
          <w:sz w:val="21"/>
          <w:szCs w:val="21"/>
          <w:highlight w:val="none"/>
        </w:rPr>
        <w:t>评分标准；</w:t>
      </w:r>
    </w:p>
    <w:p w14:paraId="17C23BBD">
      <w:pPr>
        <w:keepNext w:val="0"/>
        <w:keepLines w:val="0"/>
        <w:pageBreakBefore w:val="0"/>
        <w:widowControl w:val="0"/>
        <w:numPr>
          <w:ilvl w:val="0"/>
          <w:numId w:val="27"/>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商务标评审：商务条款相应确认→价格澄清→商务标评审；评审期间产生的商务价格澄清均由投标人在重汽e采通平台限时内完成提交；</w:t>
      </w:r>
    </w:p>
    <w:p w14:paraId="148C0E04">
      <w:pPr>
        <w:pStyle w:val="75"/>
        <w:keepNext w:val="0"/>
        <w:keepLines w:val="0"/>
        <w:pageBreakBefore w:val="0"/>
        <w:widowControl w:val="0"/>
        <w:numPr>
          <w:ilvl w:val="0"/>
          <w:numId w:val="18"/>
        </w:numPr>
        <w:kinsoku/>
        <w:wordWrap/>
        <w:overflowPunct/>
        <w:topLinePunct w:val="0"/>
        <w:autoSpaceDE/>
        <w:autoSpaceDN/>
        <w:bidi w:val="0"/>
        <w:adjustRightInd/>
        <w:snapToGrid/>
        <w:ind w:left="10" w:leftChars="0" w:firstLine="0"/>
        <w:textAlignment w:val="auto"/>
        <w:rPr>
          <w:rFonts w:hint="eastAsia" w:cs="Times New Roman"/>
          <w:b/>
          <w:bCs w:val="0"/>
          <w:highlight w:val="none"/>
        </w:rPr>
      </w:pPr>
      <w:r>
        <w:rPr>
          <w:rFonts w:hint="eastAsia" w:cs="Times New Roman"/>
          <w:b/>
          <w:bCs w:val="0"/>
          <w:highlight w:val="none"/>
        </w:rPr>
        <w:t>注意：投标人均需要自带笔记本电脑在重汽e采通进行自主投标和提交澄清函；投标和提交澄清函均有时间限制，超时未提交的按无效处理。</w:t>
      </w:r>
    </w:p>
    <w:p w14:paraId="6970A44F">
      <w:pPr>
        <w:pStyle w:val="72"/>
        <w:keepNext w:val="0"/>
        <w:keepLines w:val="0"/>
        <w:pageBreakBefore w:val="0"/>
        <w:widowControl w:val="0"/>
        <w:numPr>
          <w:ilvl w:val="0"/>
          <w:numId w:val="26"/>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yellow"/>
          <w:lang w:val="en-US" w:eastAsia="zh-CN"/>
        </w:rPr>
      </w:pPr>
      <w:r>
        <w:rPr>
          <w:rFonts w:hint="eastAsia" w:ascii="宋体" w:hAnsi="宋体" w:eastAsia="宋体" w:cs="宋体"/>
          <w:b w:val="0"/>
          <w:bCs w:val="0"/>
          <w:sz w:val="21"/>
          <w:szCs w:val="21"/>
          <w:highlight w:val="yellow"/>
          <w:lang w:val="en-US" w:eastAsia="zh-CN"/>
        </w:rPr>
        <w:t>评分标准</w:t>
      </w:r>
    </w:p>
    <w:tbl>
      <w:tblPr>
        <w:tblStyle w:val="30"/>
        <w:tblW w:w="1062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6"/>
        <w:gridCol w:w="831"/>
        <w:gridCol w:w="1134"/>
        <w:gridCol w:w="1134"/>
        <w:gridCol w:w="5406"/>
        <w:gridCol w:w="1276"/>
      </w:tblGrid>
      <w:tr w14:paraId="714E41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6" w:hRule="atLeast"/>
          <w:jc w:val="center"/>
        </w:trPr>
        <w:tc>
          <w:tcPr>
            <w:tcW w:w="846" w:type="dxa"/>
            <w:noWrap w:val="0"/>
            <w:vAlign w:val="center"/>
          </w:tcPr>
          <w:p w14:paraId="44EC0163">
            <w:pPr>
              <w:jc w:val="center"/>
              <w:rPr>
                <w:rFonts w:hint="eastAsia" w:ascii="宋体" w:hAnsi="宋体"/>
                <w:b/>
                <w:bCs/>
                <w:sz w:val="21"/>
                <w:szCs w:val="21"/>
              </w:rPr>
            </w:pPr>
            <w:r>
              <w:rPr>
                <w:rFonts w:hint="eastAsia" w:ascii="宋体" w:hAnsi="宋体"/>
                <w:b/>
                <w:bCs/>
                <w:sz w:val="21"/>
                <w:szCs w:val="21"/>
              </w:rPr>
              <w:t>评标因素</w:t>
            </w:r>
          </w:p>
        </w:tc>
        <w:tc>
          <w:tcPr>
            <w:tcW w:w="831" w:type="dxa"/>
            <w:noWrap w:val="0"/>
            <w:vAlign w:val="center"/>
          </w:tcPr>
          <w:p w14:paraId="2C6C14FF">
            <w:pPr>
              <w:jc w:val="center"/>
              <w:rPr>
                <w:rFonts w:hint="eastAsia" w:ascii="宋体" w:hAnsi="宋体"/>
                <w:b/>
                <w:bCs/>
                <w:sz w:val="21"/>
                <w:szCs w:val="21"/>
              </w:rPr>
            </w:pPr>
            <w:r>
              <w:rPr>
                <w:rFonts w:hint="eastAsia" w:ascii="宋体" w:hAnsi="宋体"/>
                <w:b/>
                <w:bCs/>
                <w:sz w:val="21"/>
                <w:szCs w:val="21"/>
              </w:rPr>
              <w:t>总分</w:t>
            </w:r>
          </w:p>
        </w:tc>
        <w:tc>
          <w:tcPr>
            <w:tcW w:w="2268" w:type="dxa"/>
            <w:gridSpan w:val="2"/>
            <w:noWrap w:val="0"/>
            <w:vAlign w:val="center"/>
          </w:tcPr>
          <w:p w14:paraId="397987A4">
            <w:pPr>
              <w:jc w:val="center"/>
              <w:rPr>
                <w:rFonts w:hint="eastAsia" w:ascii="宋体" w:hAnsi="宋体"/>
                <w:b/>
                <w:bCs/>
                <w:sz w:val="21"/>
                <w:szCs w:val="21"/>
              </w:rPr>
            </w:pPr>
            <w:r>
              <w:rPr>
                <w:rFonts w:hint="eastAsia" w:ascii="宋体" w:hAnsi="宋体"/>
                <w:b/>
                <w:bCs/>
                <w:sz w:val="21"/>
                <w:szCs w:val="21"/>
              </w:rPr>
              <w:t>评审内容</w:t>
            </w:r>
          </w:p>
        </w:tc>
        <w:tc>
          <w:tcPr>
            <w:tcW w:w="5406" w:type="dxa"/>
            <w:noWrap w:val="0"/>
            <w:vAlign w:val="center"/>
          </w:tcPr>
          <w:p w14:paraId="30259CF1">
            <w:pPr>
              <w:jc w:val="center"/>
              <w:rPr>
                <w:rFonts w:hint="eastAsia" w:ascii="宋体" w:hAnsi="宋体"/>
                <w:b/>
                <w:bCs/>
                <w:sz w:val="21"/>
                <w:szCs w:val="21"/>
              </w:rPr>
            </w:pPr>
            <w:r>
              <w:rPr>
                <w:rFonts w:hint="eastAsia" w:ascii="宋体" w:hAnsi="宋体"/>
                <w:b/>
                <w:bCs/>
                <w:sz w:val="21"/>
                <w:szCs w:val="21"/>
              </w:rPr>
              <w:t>评分标准</w:t>
            </w:r>
          </w:p>
        </w:tc>
        <w:tc>
          <w:tcPr>
            <w:tcW w:w="1276" w:type="dxa"/>
            <w:noWrap w:val="0"/>
            <w:vAlign w:val="center"/>
          </w:tcPr>
          <w:p w14:paraId="11F33904">
            <w:pPr>
              <w:jc w:val="center"/>
              <w:rPr>
                <w:rFonts w:hint="eastAsia" w:ascii="宋体" w:hAnsi="宋体"/>
                <w:b/>
                <w:bCs/>
                <w:sz w:val="21"/>
                <w:szCs w:val="21"/>
              </w:rPr>
            </w:pPr>
            <w:r>
              <w:rPr>
                <w:rFonts w:hint="eastAsia" w:ascii="宋体" w:hAnsi="宋体"/>
                <w:b/>
                <w:bCs/>
                <w:sz w:val="21"/>
                <w:szCs w:val="21"/>
              </w:rPr>
              <w:t>最高得分</w:t>
            </w:r>
          </w:p>
        </w:tc>
      </w:tr>
      <w:tr w14:paraId="64848F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7" w:hRule="atLeast"/>
          <w:jc w:val="center"/>
        </w:trPr>
        <w:tc>
          <w:tcPr>
            <w:tcW w:w="10627" w:type="dxa"/>
            <w:gridSpan w:val="6"/>
            <w:noWrap w:val="0"/>
            <w:vAlign w:val="top"/>
          </w:tcPr>
          <w:p w14:paraId="3EEB824F">
            <w:pPr>
              <w:rPr>
                <w:rFonts w:hint="eastAsia" w:ascii="宋体" w:hAnsi="宋体"/>
                <w:b/>
                <w:bCs/>
                <w:sz w:val="21"/>
                <w:szCs w:val="21"/>
              </w:rPr>
            </w:pPr>
            <w:r>
              <w:rPr>
                <w:rFonts w:hint="eastAsia" w:ascii="宋体" w:hAnsi="宋体"/>
                <w:b/>
                <w:bCs/>
                <w:sz w:val="21"/>
                <w:szCs w:val="21"/>
              </w:rPr>
              <w:t>一、技术因素</w:t>
            </w:r>
          </w:p>
        </w:tc>
      </w:tr>
      <w:tr w14:paraId="4FEC53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1" w:hRule="atLeast"/>
          <w:jc w:val="center"/>
        </w:trPr>
        <w:tc>
          <w:tcPr>
            <w:tcW w:w="10627" w:type="dxa"/>
            <w:gridSpan w:val="6"/>
            <w:noWrap w:val="0"/>
            <w:vAlign w:val="top"/>
          </w:tcPr>
          <w:p w14:paraId="3CFCE50E">
            <w:pPr>
              <w:rPr>
                <w:rFonts w:hint="eastAsia" w:ascii="宋体" w:hAnsi="宋体"/>
                <w:sz w:val="21"/>
                <w:szCs w:val="21"/>
              </w:rPr>
            </w:pPr>
            <w:r>
              <w:rPr>
                <w:rFonts w:hint="eastAsia" w:ascii="宋体" w:hAnsi="宋体"/>
                <w:sz w:val="21"/>
                <w:szCs w:val="21"/>
              </w:rPr>
              <w:t>1、技术评分标准要量化，各项目权重合理。</w:t>
            </w:r>
          </w:p>
        </w:tc>
      </w:tr>
      <w:tr w14:paraId="215F4F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8" w:hRule="atLeast"/>
          <w:jc w:val="center"/>
        </w:trPr>
        <w:tc>
          <w:tcPr>
            <w:tcW w:w="10627" w:type="dxa"/>
            <w:gridSpan w:val="6"/>
            <w:noWrap w:val="0"/>
            <w:vAlign w:val="top"/>
          </w:tcPr>
          <w:p w14:paraId="4D4A7DED">
            <w:pPr>
              <w:rPr>
                <w:rFonts w:hint="eastAsia" w:ascii="宋体" w:hAnsi="宋体"/>
                <w:sz w:val="21"/>
                <w:szCs w:val="21"/>
              </w:rPr>
            </w:pPr>
            <w:r>
              <w:rPr>
                <w:rFonts w:hint="eastAsia" w:ascii="宋体" w:hAnsi="宋体"/>
                <w:sz w:val="21"/>
                <w:szCs w:val="21"/>
              </w:rPr>
              <w:t>依照技术方案、质量保障、服务及其他评价内容的优先次序，根据分项评价值进行排名。若上述排名皆相同的，则由全体评委成员无记名投票，得票高者排序在前。</w:t>
            </w:r>
          </w:p>
        </w:tc>
      </w:tr>
      <w:tr w14:paraId="1687AA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7" w:hRule="atLeast"/>
          <w:jc w:val="center"/>
        </w:trPr>
        <w:tc>
          <w:tcPr>
            <w:tcW w:w="10627" w:type="dxa"/>
            <w:gridSpan w:val="6"/>
            <w:noWrap w:val="0"/>
            <w:vAlign w:val="top"/>
          </w:tcPr>
          <w:p w14:paraId="5383A575">
            <w:pPr>
              <w:rPr>
                <w:rFonts w:hint="eastAsia" w:ascii="宋体" w:hAnsi="宋体"/>
                <w:sz w:val="21"/>
                <w:szCs w:val="21"/>
              </w:rPr>
            </w:pPr>
            <w:r>
              <w:rPr>
                <w:rFonts w:hint="eastAsia" w:ascii="宋体" w:hAnsi="宋体"/>
                <w:sz w:val="21"/>
                <w:szCs w:val="21"/>
              </w:rPr>
              <w:t>2、评委打分不得超过得分界限。</w:t>
            </w:r>
          </w:p>
        </w:tc>
      </w:tr>
      <w:tr w14:paraId="752885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8" w:hRule="atLeast"/>
          <w:jc w:val="center"/>
        </w:trPr>
        <w:tc>
          <w:tcPr>
            <w:tcW w:w="846" w:type="dxa"/>
            <w:vMerge w:val="restart"/>
            <w:noWrap w:val="0"/>
            <w:vAlign w:val="center"/>
          </w:tcPr>
          <w:p w14:paraId="25D99478">
            <w:pPr>
              <w:jc w:val="center"/>
              <w:rPr>
                <w:rFonts w:hint="default" w:ascii="宋体" w:hAnsi="宋体" w:eastAsia="宋体"/>
                <w:sz w:val="21"/>
                <w:szCs w:val="21"/>
                <w:lang w:val="en-US" w:eastAsia="zh-CN"/>
              </w:rPr>
            </w:pPr>
            <w:r>
              <w:rPr>
                <w:rFonts w:hint="eastAsia" w:ascii="宋体" w:hAnsi="宋体"/>
                <w:sz w:val="21"/>
                <w:szCs w:val="21"/>
              </w:rPr>
              <w:t>技术因素</w:t>
            </w:r>
            <w:r>
              <w:rPr>
                <w:rFonts w:hint="eastAsia" w:ascii="宋体" w:hAnsi="宋体"/>
                <w:sz w:val="21"/>
                <w:szCs w:val="21"/>
                <w:lang w:eastAsia="zh-CN"/>
              </w:rPr>
              <w:t>（</w:t>
            </w:r>
            <w:r>
              <w:rPr>
                <w:rFonts w:hint="eastAsia" w:ascii="宋体" w:hAnsi="宋体"/>
                <w:sz w:val="21"/>
                <w:szCs w:val="21"/>
                <w:lang w:val="en-US" w:eastAsia="zh-CN"/>
              </w:rPr>
              <w:t>30%）</w:t>
            </w:r>
          </w:p>
        </w:tc>
        <w:tc>
          <w:tcPr>
            <w:tcW w:w="831" w:type="dxa"/>
            <w:vMerge w:val="restart"/>
            <w:noWrap w:val="0"/>
            <w:vAlign w:val="center"/>
          </w:tcPr>
          <w:p w14:paraId="09BE2193">
            <w:pPr>
              <w:jc w:val="center"/>
              <w:rPr>
                <w:rFonts w:hint="eastAsia" w:ascii="宋体" w:hAnsi="宋体"/>
                <w:sz w:val="21"/>
                <w:szCs w:val="21"/>
              </w:rPr>
            </w:pPr>
            <w:r>
              <w:rPr>
                <w:rFonts w:hint="eastAsia" w:ascii="宋体" w:hAnsi="宋体"/>
                <w:sz w:val="21"/>
                <w:szCs w:val="21"/>
              </w:rPr>
              <w:t>100</w:t>
            </w:r>
          </w:p>
        </w:tc>
        <w:tc>
          <w:tcPr>
            <w:tcW w:w="1134" w:type="dxa"/>
            <w:vMerge w:val="restart"/>
            <w:noWrap w:val="0"/>
            <w:vAlign w:val="center"/>
          </w:tcPr>
          <w:p w14:paraId="296561EC">
            <w:pPr>
              <w:jc w:val="center"/>
              <w:rPr>
                <w:rFonts w:hint="eastAsia" w:ascii="宋体" w:hAnsi="宋体"/>
                <w:sz w:val="21"/>
                <w:szCs w:val="21"/>
              </w:rPr>
            </w:pPr>
            <w:r>
              <w:rPr>
                <w:rFonts w:hint="eastAsia" w:ascii="宋体" w:hAnsi="宋体"/>
                <w:sz w:val="21"/>
                <w:szCs w:val="21"/>
              </w:rPr>
              <w:t>技术方案</w:t>
            </w:r>
          </w:p>
        </w:tc>
        <w:tc>
          <w:tcPr>
            <w:tcW w:w="1134" w:type="dxa"/>
            <w:vMerge w:val="restart"/>
            <w:noWrap w:val="0"/>
            <w:vAlign w:val="center"/>
          </w:tcPr>
          <w:p w14:paraId="69429541">
            <w:pPr>
              <w:jc w:val="center"/>
              <w:rPr>
                <w:rFonts w:hint="eastAsia" w:ascii="宋体" w:hAnsi="宋体"/>
                <w:sz w:val="21"/>
                <w:szCs w:val="21"/>
              </w:rPr>
            </w:pPr>
            <w:r>
              <w:rPr>
                <w:rFonts w:hint="eastAsia" w:ascii="宋体" w:hAnsi="宋体"/>
                <w:sz w:val="21"/>
                <w:szCs w:val="21"/>
              </w:rPr>
              <w:t>技术方案</w:t>
            </w:r>
          </w:p>
        </w:tc>
        <w:tc>
          <w:tcPr>
            <w:tcW w:w="5406" w:type="dxa"/>
            <w:noWrap w:val="0"/>
            <w:vAlign w:val="top"/>
          </w:tcPr>
          <w:p w14:paraId="2C138D62">
            <w:pPr>
              <w:rPr>
                <w:rFonts w:hint="eastAsia" w:ascii="宋体" w:hAnsi="宋体"/>
                <w:sz w:val="21"/>
                <w:szCs w:val="21"/>
              </w:rPr>
            </w:pPr>
            <w:r>
              <w:rPr>
                <w:rFonts w:hint="eastAsia" w:ascii="宋体" w:hAnsi="宋体"/>
                <w:sz w:val="21"/>
                <w:szCs w:val="21"/>
              </w:rPr>
              <w:t>技术标偏离情况只允许出现优于（即正偏离）、符合标书约定技术要求。</w:t>
            </w:r>
          </w:p>
        </w:tc>
        <w:tc>
          <w:tcPr>
            <w:tcW w:w="1276" w:type="dxa"/>
            <w:vMerge w:val="restart"/>
            <w:noWrap w:val="0"/>
            <w:vAlign w:val="center"/>
          </w:tcPr>
          <w:p w14:paraId="5A85D520">
            <w:pPr>
              <w:jc w:val="center"/>
              <w:rPr>
                <w:rFonts w:hint="eastAsia" w:ascii="宋体" w:hAnsi="宋体"/>
                <w:sz w:val="21"/>
                <w:szCs w:val="21"/>
              </w:rPr>
            </w:pPr>
            <w:r>
              <w:rPr>
                <w:rFonts w:hint="eastAsia" w:ascii="宋体" w:hAnsi="宋体"/>
                <w:sz w:val="21"/>
                <w:szCs w:val="21"/>
              </w:rPr>
              <w:t>10</w:t>
            </w:r>
          </w:p>
        </w:tc>
      </w:tr>
      <w:tr w14:paraId="5F60BB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8" w:hRule="atLeast"/>
          <w:jc w:val="center"/>
        </w:trPr>
        <w:tc>
          <w:tcPr>
            <w:tcW w:w="846" w:type="dxa"/>
            <w:vMerge w:val="continue"/>
            <w:noWrap w:val="0"/>
            <w:vAlign w:val="center"/>
          </w:tcPr>
          <w:p w14:paraId="6AFD0A7D">
            <w:pPr>
              <w:jc w:val="center"/>
              <w:rPr>
                <w:rFonts w:ascii="宋体" w:hAnsi="宋体"/>
                <w:sz w:val="21"/>
                <w:szCs w:val="21"/>
              </w:rPr>
            </w:pPr>
          </w:p>
        </w:tc>
        <w:tc>
          <w:tcPr>
            <w:tcW w:w="831" w:type="dxa"/>
            <w:vMerge w:val="continue"/>
            <w:noWrap w:val="0"/>
            <w:vAlign w:val="center"/>
          </w:tcPr>
          <w:p w14:paraId="0696EEB4">
            <w:pPr>
              <w:jc w:val="center"/>
              <w:rPr>
                <w:rFonts w:ascii="宋体" w:hAnsi="宋体"/>
                <w:sz w:val="21"/>
                <w:szCs w:val="21"/>
              </w:rPr>
            </w:pPr>
          </w:p>
        </w:tc>
        <w:tc>
          <w:tcPr>
            <w:tcW w:w="1134" w:type="dxa"/>
            <w:vMerge w:val="continue"/>
            <w:noWrap w:val="0"/>
            <w:vAlign w:val="center"/>
          </w:tcPr>
          <w:p w14:paraId="2C552660">
            <w:pPr>
              <w:jc w:val="center"/>
              <w:rPr>
                <w:rFonts w:ascii="宋体" w:hAnsi="宋体"/>
                <w:sz w:val="21"/>
                <w:szCs w:val="21"/>
              </w:rPr>
            </w:pPr>
          </w:p>
        </w:tc>
        <w:tc>
          <w:tcPr>
            <w:tcW w:w="1134" w:type="dxa"/>
            <w:vMerge w:val="continue"/>
            <w:noWrap w:val="0"/>
            <w:vAlign w:val="center"/>
          </w:tcPr>
          <w:p w14:paraId="1BE4154D">
            <w:pPr>
              <w:jc w:val="center"/>
              <w:rPr>
                <w:rFonts w:ascii="宋体" w:hAnsi="宋体"/>
                <w:sz w:val="21"/>
                <w:szCs w:val="21"/>
              </w:rPr>
            </w:pPr>
          </w:p>
        </w:tc>
        <w:tc>
          <w:tcPr>
            <w:tcW w:w="5406" w:type="dxa"/>
            <w:noWrap w:val="0"/>
            <w:vAlign w:val="top"/>
          </w:tcPr>
          <w:p w14:paraId="764D2DA8">
            <w:pPr>
              <w:rPr>
                <w:rFonts w:hint="eastAsia" w:ascii="宋体" w:hAnsi="宋体"/>
                <w:sz w:val="21"/>
                <w:szCs w:val="21"/>
              </w:rPr>
            </w:pPr>
            <w:r>
              <w:rPr>
                <w:rFonts w:hint="eastAsia" w:ascii="宋体" w:hAnsi="宋体"/>
                <w:sz w:val="21"/>
                <w:szCs w:val="21"/>
              </w:rPr>
              <w:t>当所供技术服务优于招标文件要求，有具体可行性说明建议，得10分。完全满足标书要求，得8分。</w:t>
            </w:r>
          </w:p>
        </w:tc>
        <w:tc>
          <w:tcPr>
            <w:tcW w:w="1276" w:type="dxa"/>
            <w:vMerge w:val="continue"/>
            <w:noWrap w:val="0"/>
            <w:vAlign w:val="center"/>
          </w:tcPr>
          <w:p w14:paraId="248BE590">
            <w:pPr>
              <w:jc w:val="center"/>
              <w:rPr>
                <w:rFonts w:ascii="宋体" w:hAnsi="宋体"/>
                <w:sz w:val="21"/>
                <w:szCs w:val="21"/>
              </w:rPr>
            </w:pPr>
          </w:p>
        </w:tc>
      </w:tr>
      <w:tr w14:paraId="59076F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6" w:hRule="atLeast"/>
          <w:jc w:val="center"/>
        </w:trPr>
        <w:tc>
          <w:tcPr>
            <w:tcW w:w="846" w:type="dxa"/>
            <w:vMerge w:val="continue"/>
            <w:noWrap w:val="0"/>
            <w:vAlign w:val="center"/>
          </w:tcPr>
          <w:p w14:paraId="2D3DF3D8">
            <w:pPr>
              <w:jc w:val="center"/>
              <w:rPr>
                <w:rFonts w:ascii="宋体" w:hAnsi="宋体"/>
                <w:sz w:val="21"/>
                <w:szCs w:val="21"/>
              </w:rPr>
            </w:pPr>
          </w:p>
        </w:tc>
        <w:tc>
          <w:tcPr>
            <w:tcW w:w="831" w:type="dxa"/>
            <w:vMerge w:val="continue"/>
            <w:noWrap w:val="0"/>
            <w:vAlign w:val="center"/>
          </w:tcPr>
          <w:p w14:paraId="358367BF">
            <w:pPr>
              <w:jc w:val="center"/>
              <w:rPr>
                <w:rFonts w:ascii="宋体" w:hAnsi="宋体"/>
                <w:sz w:val="21"/>
                <w:szCs w:val="21"/>
              </w:rPr>
            </w:pPr>
          </w:p>
        </w:tc>
        <w:tc>
          <w:tcPr>
            <w:tcW w:w="1134" w:type="dxa"/>
            <w:vMerge w:val="continue"/>
            <w:noWrap w:val="0"/>
            <w:vAlign w:val="center"/>
          </w:tcPr>
          <w:p w14:paraId="2A61DE33">
            <w:pPr>
              <w:jc w:val="center"/>
              <w:rPr>
                <w:rFonts w:ascii="宋体" w:hAnsi="宋体"/>
                <w:sz w:val="21"/>
                <w:szCs w:val="21"/>
              </w:rPr>
            </w:pPr>
          </w:p>
        </w:tc>
        <w:tc>
          <w:tcPr>
            <w:tcW w:w="1134" w:type="dxa"/>
            <w:vMerge w:val="restart"/>
            <w:noWrap w:val="0"/>
            <w:vAlign w:val="center"/>
          </w:tcPr>
          <w:p w14:paraId="27D9C795">
            <w:pPr>
              <w:jc w:val="center"/>
              <w:rPr>
                <w:rFonts w:hint="eastAsia" w:ascii="宋体" w:hAnsi="宋体"/>
                <w:sz w:val="21"/>
                <w:szCs w:val="21"/>
              </w:rPr>
            </w:pPr>
            <w:r>
              <w:rPr>
                <w:rFonts w:hint="eastAsia" w:ascii="宋体" w:hAnsi="宋体"/>
                <w:sz w:val="21"/>
                <w:szCs w:val="21"/>
              </w:rPr>
              <w:t>项目规划</w:t>
            </w:r>
          </w:p>
        </w:tc>
        <w:tc>
          <w:tcPr>
            <w:tcW w:w="5406" w:type="dxa"/>
            <w:noWrap w:val="0"/>
            <w:vAlign w:val="top"/>
          </w:tcPr>
          <w:p w14:paraId="39061EA7">
            <w:pPr>
              <w:rPr>
                <w:rFonts w:hint="eastAsia" w:ascii="宋体" w:hAnsi="宋体" w:eastAsia="宋体"/>
                <w:sz w:val="21"/>
                <w:szCs w:val="21"/>
                <w:lang w:eastAsia="zh-CN"/>
              </w:rPr>
            </w:pPr>
            <w:r>
              <w:rPr>
                <w:rFonts w:hint="eastAsia" w:ascii="宋体" w:hAnsi="宋体"/>
                <w:sz w:val="21"/>
                <w:szCs w:val="21"/>
              </w:rPr>
              <w:t>项目总体规划实施方案（人员规划、作业流程设计、管理制度支持等）流程合理、完善、切实可行，视情况得0-20</w:t>
            </w:r>
            <w:r>
              <w:rPr>
                <w:rFonts w:hint="eastAsia" w:ascii="宋体" w:hAnsi="宋体"/>
                <w:sz w:val="21"/>
                <w:szCs w:val="21"/>
                <w:lang w:eastAsia="zh-CN"/>
              </w:rPr>
              <w:t>。</w:t>
            </w:r>
          </w:p>
        </w:tc>
        <w:tc>
          <w:tcPr>
            <w:tcW w:w="1276" w:type="dxa"/>
            <w:noWrap w:val="0"/>
            <w:vAlign w:val="center"/>
          </w:tcPr>
          <w:p w14:paraId="4638B69A">
            <w:pPr>
              <w:jc w:val="center"/>
              <w:rPr>
                <w:rFonts w:hint="eastAsia" w:ascii="宋体" w:hAnsi="宋体"/>
                <w:sz w:val="21"/>
                <w:szCs w:val="21"/>
              </w:rPr>
            </w:pPr>
            <w:r>
              <w:rPr>
                <w:rFonts w:hint="eastAsia" w:ascii="宋体" w:hAnsi="宋体"/>
                <w:sz w:val="21"/>
                <w:szCs w:val="21"/>
              </w:rPr>
              <w:t>20</w:t>
            </w:r>
          </w:p>
        </w:tc>
      </w:tr>
      <w:tr w14:paraId="19C144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6" w:hRule="atLeast"/>
          <w:jc w:val="center"/>
        </w:trPr>
        <w:tc>
          <w:tcPr>
            <w:tcW w:w="846" w:type="dxa"/>
            <w:vMerge w:val="continue"/>
            <w:noWrap w:val="0"/>
            <w:vAlign w:val="center"/>
          </w:tcPr>
          <w:p w14:paraId="749BCD5B">
            <w:pPr>
              <w:jc w:val="center"/>
              <w:rPr>
                <w:rFonts w:ascii="宋体" w:hAnsi="宋体"/>
                <w:sz w:val="21"/>
                <w:szCs w:val="21"/>
              </w:rPr>
            </w:pPr>
          </w:p>
        </w:tc>
        <w:tc>
          <w:tcPr>
            <w:tcW w:w="831" w:type="dxa"/>
            <w:vMerge w:val="continue"/>
            <w:noWrap w:val="0"/>
            <w:vAlign w:val="center"/>
          </w:tcPr>
          <w:p w14:paraId="41DAF52A">
            <w:pPr>
              <w:jc w:val="center"/>
              <w:rPr>
                <w:rFonts w:ascii="宋体" w:hAnsi="宋体"/>
                <w:sz w:val="21"/>
                <w:szCs w:val="21"/>
              </w:rPr>
            </w:pPr>
          </w:p>
        </w:tc>
        <w:tc>
          <w:tcPr>
            <w:tcW w:w="1134" w:type="dxa"/>
            <w:vMerge w:val="continue"/>
            <w:noWrap w:val="0"/>
            <w:vAlign w:val="center"/>
          </w:tcPr>
          <w:p w14:paraId="2A7C85D3">
            <w:pPr>
              <w:jc w:val="center"/>
              <w:rPr>
                <w:rFonts w:ascii="宋体" w:hAnsi="宋体"/>
                <w:sz w:val="21"/>
                <w:szCs w:val="21"/>
              </w:rPr>
            </w:pPr>
          </w:p>
        </w:tc>
        <w:tc>
          <w:tcPr>
            <w:tcW w:w="1134" w:type="dxa"/>
            <w:vMerge w:val="continue"/>
            <w:noWrap w:val="0"/>
            <w:vAlign w:val="center"/>
          </w:tcPr>
          <w:p w14:paraId="1D7E891E">
            <w:pPr>
              <w:jc w:val="center"/>
              <w:rPr>
                <w:rFonts w:ascii="宋体" w:hAnsi="宋体"/>
                <w:sz w:val="21"/>
                <w:szCs w:val="21"/>
              </w:rPr>
            </w:pPr>
          </w:p>
        </w:tc>
        <w:tc>
          <w:tcPr>
            <w:tcW w:w="5406" w:type="dxa"/>
            <w:noWrap w:val="0"/>
            <w:vAlign w:val="top"/>
          </w:tcPr>
          <w:p w14:paraId="1802E750">
            <w:pPr>
              <w:rPr>
                <w:rFonts w:hint="eastAsia" w:ascii="宋体" w:hAnsi="宋体" w:eastAsia="宋体"/>
                <w:sz w:val="21"/>
                <w:szCs w:val="21"/>
                <w:lang w:eastAsia="zh-CN"/>
              </w:rPr>
            </w:pPr>
            <w:r>
              <w:rPr>
                <w:rFonts w:hint="eastAsia" w:ascii="宋体" w:hAnsi="宋体"/>
                <w:sz w:val="21"/>
                <w:szCs w:val="21"/>
              </w:rPr>
              <w:t>目标及预计取得效果，视情况得</w:t>
            </w:r>
            <w:r>
              <w:rPr>
                <w:rFonts w:ascii="宋体" w:hAnsi="宋体"/>
                <w:sz w:val="21"/>
                <w:szCs w:val="21"/>
              </w:rPr>
              <w:t>1-10</w:t>
            </w:r>
            <w:r>
              <w:rPr>
                <w:rFonts w:hint="eastAsia" w:ascii="宋体" w:hAnsi="宋体"/>
                <w:sz w:val="21"/>
                <w:szCs w:val="21"/>
                <w:lang w:eastAsia="zh-CN"/>
              </w:rPr>
              <w:t>。</w:t>
            </w:r>
          </w:p>
        </w:tc>
        <w:tc>
          <w:tcPr>
            <w:tcW w:w="1276" w:type="dxa"/>
            <w:noWrap w:val="0"/>
            <w:vAlign w:val="center"/>
          </w:tcPr>
          <w:p w14:paraId="1E5FD83E">
            <w:pPr>
              <w:jc w:val="center"/>
              <w:rPr>
                <w:rFonts w:hint="eastAsia" w:ascii="宋体" w:hAnsi="宋体"/>
                <w:sz w:val="21"/>
                <w:szCs w:val="21"/>
              </w:rPr>
            </w:pPr>
            <w:r>
              <w:rPr>
                <w:rFonts w:ascii="宋体" w:hAnsi="宋体"/>
                <w:sz w:val="21"/>
                <w:szCs w:val="21"/>
              </w:rPr>
              <w:t>10</w:t>
            </w:r>
          </w:p>
        </w:tc>
      </w:tr>
      <w:tr w14:paraId="635E06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4" w:hRule="atLeast"/>
          <w:jc w:val="center"/>
        </w:trPr>
        <w:tc>
          <w:tcPr>
            <w:tcW w:w="846" w:type="dxa"/>
            <w:vMerge w:val="continue"/>
            <w:noWrap w:val="0"/>
            <w:vAlign w:val="center"/>
          </w:tcPr>
          <w:p w14:paraId="3C58F907">
            <w:pPr>
              <w:jc w:val="center"/>
              <w:rPr>
                <w:rFonts w:ascii="宋体" w:hAnsi="宋体"/>
                <w:sz w:val="21"/>
                <w:szCs w:val="21"/>
              </w:rPr>
            </w:pPr>
          </w:p>
        </w:tc>
        <w:tc>
          <w:tcPr>
            <w:tcW w:w="831" w:type="dxa"/>
            <w:vMerge w:val="continue"/>
            <w:noWrap w:val="0"/>
            <w:vAlign w:val="center"/>
          </w:tcPr>
          <w:p w14:paraId="12EB49DF">
            <w:pPr>
              <w:jc w:val="center"/>
              <w:rPr>
                <w:rFonts w:ascii="宋体" w:hAnsi="宋体"/>
                <w:sz w:val="21"/>
                <w:szCs w:val="21"/>
              </w:rPr>
            </w:pPr>
          </w:p>
        </w:tc>
        <w:tc>
          <w:tcPr>
            <w:tcW w:w="1134" w:type="dxa"/>
            <w:vMerge w:val="continue"/>
            <w:noWrap w:val="0"/>
            <w:vAlign w:val="center"/>
          </w:tcPr>
          <w:p w14:paraId="06D6073E">
            <w:pPr>
              <w:jc w:val="center"/>
              <w:rPr>
                <w:rFonts w:ascii="宋体" w:hAnsi="宋体"/>
                <w:sz w:val="21"/>
                <w:szCs w:val="21"/>
              </w:rPr>
            </w:pPr>
          </w:p>
        </w:tc>
        <w:tc>
          <w:tcPr>
            <w:tcW w:w="1134" w:type="dxa"/>
            <w:vMerge w:val="continue"/>
            <w:noWrap w:val="0"/>
            <w:vAlign w:val="center"/>
          </w:tcPr>
          <w:p w14:paraId="45EEF0BB">
            <w:pPr>
              <w:jc w:val="center"/>
              <w:rPr>
                <w:rFonts w:ascii="宋体" w:hAnsi="宋体"/>
                <w:sz w:val="21"/>
                <w:szCs w:val="21"/>
              </w:rPr>
            </w:pPr>
          </w:p>
        </w:tc>
        <w:tc>
          <w:tcPr>
            <w:tcW w:w="5406" w:type="dxa"/>
            <w:noWrap w:val="0"/>
            <w:vAlign w:val="top"/>
          </w:tcPr>
          <w:p w14:paraId="3A0934A4">
            <w:pPr>
              <w:rPr>
                <w:rFonts w:hint="eastAsia" w:ascii="宋体" w:hAnsi="宋体" w:eastAsia="宋体"/>
                <w:sz w:val="21"/>
                <w:szCs w:val="21"/>
                <w:lang w:eastAsia="zh-CN"/>
              </w:rPr>
            </w:pPr>
            <w:r>
              <w:rPr>
                <w:rFonts w:hint="eastAsia" w:ascii="宋体" w:hAnsi="宋体"/>
                <w:sz w:val="21"/>
                <w:szCs w:val="21"/>
              </w:rPr>
              <w:t>深度合作方案、持续降本措施，视情况得</w:t>
            </w:r>
            <w:r>
              <w:rPr>
                <w:rFonts w:ascii="宋体" w:hAnsi="宋体"/>
                <w:sz w:val="21"/>
                <w:szCs w:val="21"/>
              </w:rPr>
              <w:t>1-10</w:t>
            </w:r>
            <w:r>
              <w:rPr>
                <w:rFonts w:hint="eastAsia" w:ascii="宋体" w:hAnsi="宋体"/>
                <w:sz w:val="21"/>
                <w:szCs w:val="21"/>
                <w:lang w:eastAsia="zh-CN"/>
              </w:rPr>
              <w:t>。</w:t>
            </w:r>
          </w:p>
        </w:tc>
        <w:tc>
          <w:tcPr>
            <w:tcW w:w="1276" w:type="dxa"/>
            <w:noWrap w:val="0"/>
            <w:vAlign w:val="center"/>
          </w:tcPr>
          <w:p w14:paraId="688A8C51">
            <w:pPr>
              <w:jc w:val="center"/>
              <w:rPr>
                <w:rFonts w:hint="eastAsia" w:ascii="宋体" w:hAnsi="宋体"/>
                <w:sz w:val="21"/>
                <w:szCs w:val="21"/>
              </w:rPr>
            </w:pPr>
            <w:r>
              <w:rPr>
                <w:rFonts w:hint="eastAsia" w:ascii="宋体" w:hAnsi="宋体"/>
                <w:sz w:val="21"/>
                <w:szCs w:val="21"/>
              </w:rPr>
              <w:t>10</w:t>
            </w:r>
          </w:p>
        </w:tc>
      </w:tr>
      <w:tr w14:paraId="07C700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8" w:hRule="atLeast"/>
          <w:jc w:val="center"/>
        </w:trPr>
        <w:tc>
          <w:tcPr>
            <w:tcW w:w="846" w:type="dxa"/>
            <w:vMerge w:val="continue"/>
            <w:noWrap w:val="0"/>
            <w:vAlign w:val="center"/>
          </w:tcPr>
          <w:p w14:paraId="6BF34D7A">
            <w:pPr>
              <w:jc w:val="center"/>
              <w:rPr>
                <w:rFonts w:ascii="宋体" w:hAnsi="宋体"/>
                <w:sz w:val="21"/>
                <w:szCs w:val="21"/>
              </w:rPr>
            </w:pPr>
          </w:p>
        </w:tc>
        <w:tc>
          <w:tcPr>
            <w:tcW w:w="831" w:type="dxa"/>
            <w:vMerge w:val="continue"/>
            <w:noWrap w:val="0"/>
            <w:vAlign w:val="center"/>
          </w:tcPr>
          <w:p w14:paraId="5BC03861">
            <w:pPr>
              <w:jc w:val="center"/>
              <w:rPr>
                <w:rFonts w:ascii="宋体" w:hAnsi="宋体"/>
                <w:sz w:val="21"/>
                <w:szCs w:val="21"/>
              </w:rPr>
            </w:pPr>
          </w:p>
        </w:tc>
        <w:tc>
          <w:tcPr>
            <w:tcW w:w="2268" w:type="dxa"/>
            <w:gridSpan w:val="2"/>
            <w:vMerge w:val="restart"/>
            <w:noWrap w:val="0"/>
            <w:vAlign w:val="center"/>
          </w:tcPr>
          <w:p w14:paraId="68BCD11F">
            <w:pPr>
              <w:jc w:val="center"/>
              <w:rPr>
                <w:rFonts w:hint="eastAsia" w:ascii="宋体" w:hAnsi="宋体"/>
                <w:sz w:val="21"/>
                <w:szCs w:val="21"/>
              </w:rPr>
            </w:pPr>
            <w:r>
              <w:rPr>
                <w:rFonts w:hint="eastAsia" w:ascii="宋体" w:hAnsi="宋体"/>
                <w:sz w:val="21"/>
                <w:szCs w:val="21"/>
              </w:rPr>
              <w:t>质量保障</w:t>
            </w:r>
          </w:p>
        </w:tc>
        <w:tc>
          <w:tcPr>
            <w:tcW w:w="5406" w:type="dxa"/>
            <w:noWrap w:val="0"/>
            <w:vAlign w:val="top"/>
          </w:tcPr>
          <w:p w14:paraId="1D06753B">
            <w:pPr>
              <w:rPr>
                <w:rFonts w:hint="eastAsia" w:ascii="宋体" w:hAnsi="宋体"/>
                <w:sz w:val="21"/>
                <w:szCs w:val="21"/>
              </w:rPr>
            </w:pPr>
            <w:r>
              <w:rPr>
                <w:rFonts w:hint="eastAsia" w:ascii="宋体" w:hAnsi="宋体"/>
                <w:sz w:val="21"/>
                <w:szCs w:val="21"/>
              </w:rPr>
              <w:t>质量保证体系完整，措施有力，能有项目控制计划和质量保证相关承诺。根据提供的资料从优到劣进行综合评审排序，自主赋分0</w:t>
            </w:r>
            <w:r>
              <w:rPr>
                <w:rFonts w:ascii="宋体" w:hAnsi="宋体"/>
                <w:sz w:val="21"/>
                <w:szCs w:val="21"/>
              </w:rPr>
              <w:t>-20</w:t>
            </w:r>
            <w:r>
              <w:rPr>
                <w:rFonts w:hint="eastAsia" w:ascii="宋体" w:hAnsi="宋体"/>
                <w:sz w:val="21"/>
                <w:szCs w:val="21"/>
              </w:rPr>
              <w:t>。</w:t>
            </w:r>
          </w:p>
        </w:tc>
        <w:tc>
          <w:tcPr>
            <w:tcW w:w="1276" w:type="dxa"/>
            <w:noWrap w:val="0"/>
            <w:vAlign w:val="center"/>
          </w:tcPr>
          <w:p w14:paraId="1A6CC066">
            <w:pPr>
              <w:jc w:val="center"/>
              <w:rPr>
                <w:rFonts w:hint="eastAsia" w:ascii="宋体" w:hAnsi="宋体"/>
                <w:sz w:val="21"/>
                <w:szCs w:val="21"/>
              </w:rPr>
            </w:pPr>
            <w:r>
              <w:rPr>
                <w:rFonts w:hint="eastAsia" w:ascii="宋体" w:hAnsi="宋体"/>
                <w:sz w:val="21"/>
                <w:szCs w:val="21"/>
              </w:rPr>
              <w:t>20</w:t>
            </w:r>
          </w:p>
        </w:tc>
      </w:tr>
      <w:tr w14:paraId="4E5822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8" w:hRule="atLeast"/>
          <w:jc w:val="center"/>
        </w:trPr>
        <w:tc>
          <w:tcPr>
            <w:tcW w:w="846" w:type="dxa"/>
            <w:vMerge w:val="continue"/>
            <w:noWrap w:val="0"/>
            <w:vAlign w:val="center"/>
          </w:tcPr>
          <w:p w14:paraId="5D3758E8">
            <w:pPr>
              <w:jc w:val="center"/>
              <w:rPr>
                <w:rFonts w:ascii="宋体" w:hAnsi="宋体"/>
                <w:sz w:val="21"/>
                <w:szCs w:val="21"/>
              </w:rPr>
            </w:pPr>
          </w:p>
        </w:tc>
        <w:tc>
          <w:tcPr>
            <w:tcW w:w="831" w:type="dxa"/>
            <w:vMerge w:val="continue"/>
            <w:noWrap w:val="0"/>
            <w:vAlign w:val="center"/>
          </w:tcPr>
          <w:p w14:paraId="26CABD7B">
            <w:pPr>
              <w:jc w:val="center"/>
              <w:rPr>
                <w:rFonts w:ascii="宋体" w:hAnsi="宋体"/>
                <w:sz w:val="21"/>
                <w:szCs w:val="21"/>
              </w:rPr>
            </w:pPr>
          </w:p>
        </w:tc>
        <w:tc>
          <w:tcPr>
            <w:tcW w:w="2268" w:type="dxa"/>
            <w:gridSpan w:val="2"/>
            <w:vMerge w:val="continue"/>
            <w:noWrap w:val="0"/>
            <w:vAlign w:val="center"/>
          </w:tcPr>
          <w:p w14:paraId="6EE8CC32">
            <w:pPr>
              <w:jc w:val="center"/>
              <w:rPr>
                <w:rFonts w:hint="eastAsia" w:ascii="宋体" w:hAnsi="宋体"/>
                <w:sz w:val="21"/>
                <w:szCs w:val="21"/>
              </w:rPr>
            </w:pPr>
          </w:p>
        </w:tc>
        <w:tc>
          <w:tcPr>
            <w:tcW w:w="5406" w:type="dxa"/>
            <w:noWrap w:val="0"/>
            <w:vAlign w:val="top"/>
          </w:tcPr>
          <w:p w14:paraId="0B1AA704">
            <w:pPr>
              <w:rPr>
                <w:rFonts w:hint="eastAsia" w:ascii="宋体" w:hAnsi="宋体"/>
                <w:sz w:val="21"/>
                <w:szCs w:val="21"/>
              </w:rPr>
            </w:pPr>
            <w:r>
              <w:rPr>
                <w:rFonts w:hint="eastAsia" w:ascii="宋体" w:hAnsi="宋体"/>
                <w:sz w:val="21"/>
                <w:szCs w:val="21"/>
              </w:rPr>
              <w:t>喷涂作业能力、应急服务满足招标文件要求，合理有效、切实可行，自主赋分0</w:t>
            </w:r>
            <w:r>
              <w:rPr>
                <w:rFonts w:ascii="宋体" w:hAnsi="宋体"/>
                <w:sz w:val="21"/>
                <w:szCs w:val="21"/>
              </w:rPr>
              <w:t>-10</w:t>
            </w:r>
            <w:r>
              <w:rPr>
                <w:rFonts w:hint="eastAsia" w:ascii="宋体" w:hAnsi="宋体"/>
                <w:sz w:val="21"/>
                <w:szCs w:val="21"/>
              </w:rPr>
              <w:t>。</w:t>
            </w:r>
          </w:p>
        </w:tc>
        <w:tc>
          <w:tcPr>
            <w:tcW w:w="1276" w:type="dxa"/>
            <w:noWrap w:val="0"/>
            <w:vAlign w:val="center"/>
          </w:tcPr>
          <w:p w14:paraId="387E5144">
            <w:pPr>
              <w:jc w:val="center"/>
              <w:rPr>
                <w:rFonts w:hint="eastAsia" w:ascii="宋体" w:hAnsi="宋体"/>
                <w:sz w:val="21"/>
                <w:szCs w:val="21"/>
              </w:rPr>
            </w:pPr>
            <w:r>
              <w:rPr>
                <w:rFonts w:hint="eastAsia" w:ascii="宋体" w:hAnsi="宋体"/>
                <w:sz w:val="21"/>
                <w:szCs w:val="21"/>
              </w:rPr>
              <w:t>10</w:t>
            </w:r>
          </w:p>
        </w:tc>
      </w:tr>
      <w:tr w14:paraId="1C141E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7" w:hRule="atLeast"/>
          <w:jc w:val="center"/>
        </w:trPr>
        <w:tc>
          <w:tcPr>
            <w:tcW w:w="846" w:type="dxa"/>
            <w:vMerge w:val="continue"/>
            <w:noWrap w:val="0"/>
            <w:vAlign w:val="center"/>
          </w:tcPr>
          <w:p w14:paraId="1EC389E5">
            <w:pPr>
              <w:jc w:val="center"/>
              <w:rPr>
                <w:rFonts w:ascii="宋体" w:hAnsi="宋体"/>
                <w:sz w:val="21"/>
                <w:szCs w:val="21"/>
              </w:rPr>
            </w:pPr>
          </w:p>
        </w:tc>
        <w:tc>
          <w:tcPr>
            <w:tcW w:w="831" w:type="dxa"/>
            <w:vMerge w:val="continue"/>
            <w:noWrap w:val="0"/>
            <w:vAlign w:val="center"/>
          </w:tcPr>
          <w:p w14:paraId="38C7ED68">
            <w:pPr>
              <w:jc w:val="center"/>
              <w:rPr>
                <w:rFonts w:ascii="宋体" w:hAnsi="宋体"/>
                <w:sz w:val="21"/>
                <w:szCs w:val="21"/>
              </w:rPr>
            </w:pPr>
          </w:p>
        </w:tc>
        <w:tc>
          <w:tcPr>
            <w:tcW w:w="2268" w:type="dxa"/>
            <w:gridSpan w:val="2"/>
            <w:noWrap w:val="0"/>
            <w:vAlign w:val="center"/>
          </w:tcPr>
          <w:p w14:paraId="2B5D395A">
            <w:pPr>
              <w:jc w:val="center"/>
              <w:rPr>
                <w:rFonts w:hint="eastAsia" w:ascii="宋体" w:hAnsi="宋体"/>
                <w:sz w:val="21"/>
                <w:szCs w:val="21"/>
              </w:rPr>
            </w:pPr>
            <w:r>
              <w:rPr>
                <w:rFonts w:hint="eastAsia" w:ascii="宋体" w:hAnsi="宋体"/>
                <w:sz w:val="21"/>
                <w:szCs w:val="21"/>
              </w:rPr>
              <w:t>项目管理</w:t>
            </w:r>
          </w:p>
        </w:tc>
        <w:tc>
          <w:tcPr>
            <w:tcW w:w="5406" w:type="dxa"/>
            <w:noWrap w:val="0"/>
            <w:vAlign w:val="top"/>
          </w:tcPr>
          <w:p w14:paraId="562B7B34">
            <w:pPr>
              <w:rPr>
                <w:rFonts w:hint="default" w:ascii="宋体" w:hAnsi="宋体" w:eastAsia="宋体"/>
                <w:sz w:val="21"/>
                <w:szCs w:val="21"/>
                <w:lang w:val="en-US" w:eastAsia="zh-CN"/>
              </w:rPr>
            </w:pPr>
            <w:r>
              <w:rPr>
                <w:rFonts w:hint="eastAsia" w:ascii="宋体" w:hAnsi="宋体"/>
                <w:sz w:val="21"/>
                <w:szCs w:val="21"/>
              </w:rPr>
              <w:t>保证现场按5S标准管理，有管理流程或文件要求，根据流程或文件覆盖度、详细度，自主赋分1-</w:t>
            </w:r>
            <w:r>
              <w:rPr>
                <w:rFonts w:hint="eastAsia" w:ascii="宋体" w:hAnsi="宋体"/>
                <w:sz w:val="21"/>
                <w:szCs w:val="21"/>
                <w:lang w:val="en-US" w:eastAsia="zh-CN"/>
              </w:rPr>
              <w:t>10。</w:t>
            </w:r>
          </w:p>
        </w:tc>
        <w:tc>
          <w:tcPr>
            <w:tcW w:w="1276" w:type="dxa"/>
            <w:noWrap w:val="0"/>
            <w:vAlign w:val="center"/>
          </w:tcPr>
          <w:p w14:paraId="587E6901">
            <w:pPr>
              <w:jc w:val="center"/>
              <w:rPr>
                <w:rFonts w:hint="default" w:ascii="宋体" w:hAnsi="宋体" w:eastAsia="宋体"/>
                <w:sz w:val="21"/>
                <w:szCs w:val="21"/>
                <w:lang w:val="en-US" w:eastAsia="zh-CN"/>
              </w:rPr>
            </w:pPr>
            <w:r>
              <w:rPr>
                <w:rFonts w:hint="eastAsia" w:ascii="宋体" w:hAnsi="宋体"/>
                <w:sz w:val="21"/>
                <w:szCs w:val="21"/>
                <w:lang w:val="en-US" w:eastAsia="zh-CN"/>
              </w:rPr>
              <w:t>10</w:t>
            </w:r>
          </w:p>
        </w:tc>
      </w:tr>
      <w:tr w14:paraId="55BC52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8" w:hRule="atLeast"/>
          <w:jc w:val="center"/>
        </w:trPr>
        <w:tc>
          <w:tcPr>
            <w:tcW w:w="846" w:type="dxa"/>
            <w:vMerge w:val="continue"/>
            <w:noWrap w:val="0"/>
            <w:vAlign w:val="center"/>
          </w:tcPr>
          <w:p w14:paraId="57EFB739">
            <w:pPr>
              <w:jc w:val="center"/>
              <w:rPr>
                <w:rFonts w:ascii="宋体" w:hAnsi="宋体"/>
                <w:sz w:val="21"/>
                <w:szCs w:val="21"/>
              </w:rPr>
            </w:pPr>
          </w:p>
        </w:tc>
        <w:tc>
          <w:tcPr>
            <w:tcW w:w="831" w:type="dxa"/>
            <w:vMerge w:val="continue"/>
            <w:noWrap w:val="0"/>
            <w:vAlign w:val="center"/>
          </w:tcPr>
          <w:p w14:paraId="3D660327">
            <w:pPr>
              <w:jc w:val="center"/>
              <w:rPr>
                <w:rFonts w:ascii="宋体" w:hAnsi="宋体"/>
                <w:sz w:val="21"/>
                <w:szCs w:val="21"/>
              </w:rPr>
            </w:pPr>
          </w:p>
        </w:tc>
        <w:tc>
          <w:tcPr>
            <w:tcW w:w="2268" w:type="dxa"/>
            <w:gridSpan w:val="2"/>
            <w:noWrap w:val="0"/>
            <w:vAlign w:val="center"/>
          </w:tcPr>
          <w:p w14:paraId="31EB007C">
            <w:pPr>
              <w:jc w:val="center"/>
              <w:rPr>
                <w:rFonts w:hint="eastAsia" w:ascii="宋体" w:hAnsi="宋体"/>
                <w:sz w:val="21"/>
                <w:szCs w:val="21"/>
              </w:rPr>
            </w:pPr>
            <w:r>
              <w:rPr>
                <w:rFonts w:hint="eastAsia" w:ascii="宋体" w:hAnsi="宋体"/>
                <w:sz w:val="21"/>
                <w:szCs w:val="21"/>
              </w:rPr>
              <w:t>业绩</w:t>
            </w:r>
          </w:p>
        </w:tc>
        <w:tc>
          <w:tcPr>
            <w:tcW w:w="5406" w:type="dxa"/>
            <w:noWrap w:val="0"/>
            <w:vAlign w:val="top"/>
          </w:tcPr>
          <w:p w14:paraId="50C21FC1">
            <w:pPr>
              <w:rPr>
                <w:rFonts w:hint="eastAsia" w:ascii="宋体" w:hAnsi="宋体"/>
                <w:sz w:val="21"/>
                <w:szCs w:val="21"/>
              </w:rPr>
            </w:pPr>
            <w:r>
              <w:rPr>
                <w:rFonts w:hint="eastAsia" w:ascii="宋体" w:hAnsi="宋体"/>
                <w:sz w:val="21"/>
                <w:szCs w:val="21"/>
              </w:rPr>
              <w:t>提供3份以上投标同类业绩，得10分；提供3份得6分；提供2份得4分；提供1份证明材料的，得2分；无证明材料的，不得分。</w:t>
            </w:r>
          </w:p>
        </w:tc>
        <w:tc>
          <w:tcPr>
            <w:tcW w:w="1276" w:type="dxa"/>
            <w:noWrap w:val="0"/>
            <w:vAlign w:val="center"/>
          </w:tcPr>
          <w:p w14:paraId="6D32FE6D">
            <w:pPr>
              <w:jc w:val="center"/>
              <w:rPr>
                <w:rFonts w:hint="eastAsia" w:ascii="宋体" w:hAnsi="宋体"/>
                <w:sz w:val="21"/>
                <w:szCs w:val="21"/>
              </w:rPr>
            </w:pPr>
            <w:r>
              <w:rPr>
                <w:rFonts w:hint="eastAsia" w:ascii="宋体" w:hAnsi="宋体"/>
                <w:sz w:val="21"/>
                <w:szCs w:val="21"/>
              </w:rPr>
              <w:t>10</w:t>
            </w:r>
          </w:p>
        </w:tc>
      </w:tr>
      <w:tr w14:paraId="09F335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8" w:hRule="atLeast"/>
          <w:jc w:val="center"/>
        </w:trPr>
        <w:tc>
          <w:tcPr>
            <w:tcW w:w="10627" w:type="dxa"/>
            <w:gridSpan w:val="6"/>
            <w:noWrap w:val="0"/>
            <w:vAlign w:val="top"/>
          </w:tcPr>
          <w:p w14:paraId="3E8207FB">
            <w:pPr>
              <w:numPr>
                <w:ilvl w:val="0"/>
                <w:numId w:val="28"/>
              </w:numPr>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技术标评分标准如上，商务标评分标准：当前轮次投标报价最低的投标报价为评标基准价，其价格分为100分（标准分）。其他投标人的价格分统一按照下列公式计算：投标报价得分=(评标基准价／投标报价)×100。</w:t>
            </w:r>
          </w:p>
          <w:p w14:paraId="04729922">
            <w:pPr>
              <w:numPr>
                <w:ilvl w:val="0"/>
                <w:numId w:val="0"/>
              </w:numPr>
              <w:rPr>
                <w:rFonts w:hint="default" w:ascii="宋体" w:hAnsi="宋体" w:eastAsia="宋体"/>
                <w:b/>
                <w:bCs/>
                <w:sz w:val="21"/>
                <w:szCs w:val="21"/>
                <w:lang w:val="en-US" w:eastAsia="zh-CN"/>
              </w:rPr>
            </w:pPr>
            <w:r>
              <w:rPr>
                <w:rFonts w:hint="eastAsia" w:ascii="宋体" w:hAnsi="宋体" w:eastAsia="宋体" w:cs="宋体"/>
                <w:sz w:val="20"/>
                <w:szCs w:val="20"/>
                <w:lang w:val="en-US" w:eastAsia="zh-CN"/>
              </w:rPr>
              <w:t>2、采用综合评标法：技术标分数占比30%；商务标分数占比：70%。小数点后保留二位，第三位四舍五入。</w:t>
            </w:r>
          </w:p>
        </w:tc>
      </w:tr>
      <w:tr w14:paraId="50CA69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6" w:hRule="atLeast"/>
          <w:jc w:val="center"/>
        </w:trPr>
        <w:tc>
          <w:tcPr>
            <w:tcW w:w="10627" w:type="dxa"/>
            <w:gridSpan w:val="6"/>
            <w:noWrap w:val="0"/>
            <w:vAlign w:val="top"/>
          </w:tcPr>
          <w:p w14:paraId="69E28AD5">
            <w:pPr>
              <w:rPr>
                <w:rFonts w:hint="eastAsia" w:ascii="宋体" w:hAnsi="宋体"/>
                <w:b/>
                <w:bCs/>
                <w:sz w:val="21"/>
                <w:szCs w:val="21"/>
              </w:rPr>
            </w:pPr>
            <w:r>
              <w:rPr>
                <w:rFonts w:hint="eastAsia" w:ascii="宋体" w:hAnsi="宋体"/>
                <w:b/>
                <w:bCs/>
                <w:sz w:val="21"/>
                <w:szCs w:val="21"/>
                <w:lang w:val="en-US" w:eastAsia="zh-CN"/>
              </w:rPr>
              <w:t>二</w:t>
            </w:r>
            <w:r>
              <w:rPr>
                <w:rFonts w:hint="eastAsia" w:ascii="宋体" w:hAnsi="宋体"/>
                <w:b/>
                <w:bCs/>
                <w:sz w:val="21"/>
                <w:szCs w:val="21"/>
              </w:rPr>
              <w:t>、整体要求</w:t>
            </w:r>
          </w:p>
        </w:tc>
      </w:tr>
      <w:tr w14:paraId="65DB30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10627" w:type="dxa"/>
            <w:gridSpan w:val="6"/>
            <w:noWrap w:val="0"/>
            <w:vAlign w:val="top"/>
          </w:tcPr>
          <w:p w14:paraId="4E633887">
            <w:pPr>
              <w:rPr>
                <w:rFonts w:hint="eastAsia" w:ascii="宋体" w:hAnsi="宋体"/>
                <w:sz w:val="21"/>
                <w:szCs w:val="21"/>
              </w:rPr>
            </w:pPr>
            <w:r>
              <w:rPr>
                <w:rFonts w:hint="eastAsia" w:ascii="宋体" w:hAnsi="宋体"/>
                <w:sz w:val="21"/>
                <w:szCs w:val="21"/>
              </w:rPr>
              <w:t>1、各投标单位应符合投标资格，通过资格审核且缴纳投标保证金方为有效投标。</w:t>
            </w:r>
          </w:p>
        </w:tc>
      </w:tr>
      <w:tr w14:paraId="558AFD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7" w:hRule="atLeast"/>
          <w:jc w:val="center"/>
        </w:trPr>
        <w:tc>
          <w:tcPr>
            <w:tcW w:w="10627" w:type="dxa"/>
            <w:gridSpan w:val="6"/>
            <w:noWrap w:val="0"/>
            <w:vAlign w:val="top"/>
          </w:tcPr>
          <w:p w14:paraId="6C152875">
            <w:pPr>
              <w:rPr>
                <w:rFonts w:hint="eastAsia" w:ascii="宋体" w:hAnsi="宋体"/>
                <w:sz w:val="21"/>
                <w:szCs w:val="21"/>
              </w:rPr>
            </w:pPr>
            <w:r>
              <w:rPr>
                <w:rFonts w:hint="eastAsia" w:ascii="宋体" w:hAnsi="宋体"/>
                <w:sz w:val="21"/>
                <w:szCs w:val="21"/>
              </w:rPr>
              <w:t>2、投标单位提交的投标文件和资料必须真实有效。</w:t>
            </w:r>
          </w:p>
        </w:tc>
      </w:tr>
      <w:tr w14:paraId="402369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8" w:hRule="atLeast"/>
          <w:jc w:val="center"/>
        </w:trPr>
        <w:tc>
          <w:tcPr>
            <w:tcW w:w="10627" w:type="dxa"/>
            <w:gridSpan w:val="6"/>
            <w:noWrap w:val="0"/>
            <w:vAlign w:val="top"/>
          </w:tcPr>
          <w:p w14:paraId="7DDAF652">
            <w:pPr>
              <w:numPr>
                <w:ilvl w:val="0"/>
                <w:numId w:val="0"/>
              </w:numPr>
              <w:rPr>
                <w:rFonts w:hint="default" w:ascii="宋体" w:hAnsi="宋体" w:eastAsia="宋体"/>
                <w:sz w:val="21"/>
                <w:szCs w:val="21"/>
                <w:lang w:val="en-US" w:eastAsia="zh-CN"/>
              </w:rPr>
            </w:pPr>
            <w:r>
              <w:rPr>
                <w:rFonts w:hint="eastAsia" w:ascii="宋体" w:hAnsi="宋体"/>
                <w:sz w:val="21"/>
                <w:szCs w:val="21"/>
                <w:lang w:val="en-US" w:eastAsia="zh-CN"/>
              </w:rPr>
              <w:t>3、</w:t>
            </w:r>
            <w:r>
              <w:rPr>
                <w:rFonts w:hint="eastAsia" w:ascii="宋体" w:hAnsi="宋体"/>
                <w:sz w:val="21"/>
                <w:szCs w:val="21"/>
              </w:rPr>
              <w:t>合同签订前，招标方有权组织联合小组（财务、技术、设备、质量等）到中标候选人实地审核，如发现投标文件和资料有弄虚作假，招标方有权取消其中标候选人资格，同时招标方有权扣留其投标保证金。</w:t>
            </w:r>
          </w:p>
        </w:tc>
      </w:tr>
    </w:tbl>
    <w:p w14:paraId="375BE0C3">
      <w:pPr>
        <w:pStyle w:val="72"/>
        <w:numPr>
          <w:ilvl w:val="0"/>
          <w:numId w:val="0"/>
        </w:numPr>
        <w:rPr>
          <w:rFonts w:hint="default" w:ascii="宋体" w:hAnsi="宋体" w:eastAsia="宋体" w:cs="宋体"/>
          <w:b w:val="0"/>
          <w:bCs w:val="0"/>
          <w:sz w:val="24"/>
          <w:szCs w:val="24"/>
          <w:highlight w:val="none"/>
          <w:lang w:val="en-US" w:eastAsia="zh-CN"/>
        </w:rPr>
      </w:pPr>
    </w:p>
    <w:p w14:paraId="7C0A112D">
      <w:pPr>
        <w:pStyle w:val="72"/>
      </w:pPr>
      <w:r>
        <w:rPr>
          <w:rFonts w:hint="eastAsia"/>
          <w:lang w:val="en-US" w:eastAsia="zh-CN"/>
        </w:rPr>
        <w:t>定标</w:t>
      </w:r>
    </w:p>
    <w:p w14:paraId="6B705137">
      <w:pPr>
        <w:pStyle w:val="72"/>
        <w:keepNext w:val="0"/>
        <w:keepLines w:val="0"/>
        <w:pageBreakBefore w:val="0"/>
        <w:widowControl w:val="0"/>
        <w:numPr>
          <w:ilvl w:val="0"/>
          <w:numId w:val="0"/>
        </w:numPr>
        <w:kinsoku/>
        <w:wordWrap/>
        <w:overflowPunct/>
        <w:topLinePunct w:val="0"/>
        <w:autoSpaceDE/>
        <w:autoSpaceDN/>
        <w:bidi w:val="0"/>
        <w:adjustRightInd/>
        <w:snapToGrid/>
        <w:ind w:leftChars="0" w:firstLine="0" w:firstLineChars="0"/>
        <w:textAlignment w:val="auto"/>
        <w:rPr>
          <w:rFonts w:hint="eastAsia" w:ascii="宋体" w:hAnsi="宋体" w:eastAsia="宋体" w:cs="宋体"/>
          <w:b w:val="0"/>
          <w:bCs w:val="0"/>
          <w:sz w:val="21"/>
          <w:szCs w:val="21"/>
          <w:highlight w:val="none"/>
          <w:lang w:eastAsia="zh-CN"/>
        </w:rPr>
      </w:pPr>
      <w:r>
        <w:rPr>
          <w:rFonts w:hint="eastAsia" w:ascii="宋体" w:hAnsi="宋体" w:eastAsia="宋体" w:cs="宋体"/>
          <w:b w:val="0"/>
          <w:bCs w:val="0"/>
          <w:sz w:val="21"/>
          <w:szCs w:val="21"/>
          <w:highlight w:val="none"/>
        </w:rPr>
        <w:t>本项目只产生</w:t>
      </w:r>
      <w:r>
        <w:rPr>
          <w:rFonts w:hint="eastAsia" w:ascii="宋体" w:hAnsi="宋体" w:eastAsia="宋体" w:cs="宋体"/>
          <w:b w:val="0"/>
          <w:bCs w:val="0"/>
          <w:sz w:val="21"/>
          <w:szCs w:val="21"/>
          <w:highlight w:val="yellow"/>
          <w:u w:val="single"/>
          <w:lang w:val="en-US" w:eastAsia="zh-CN"/>
        </w:rPr>
        <w:t xml:space="preserve"> 1 </w:t>
      </w:r>
      <w:r>
        <w:rPr>
          <w:rFonts w:hint="eastAsia" w:ascii="宋体" w:hAnsi="宋体" w:eastAsia="宋体" w:cs="宋体"/>
          <w:b w:val="0"/>
          <w:bCs w:val="0"/>
          <w:sz w:val="21"/>
          <w:szCs w:val="21"/>
          <w:highlight w:val="none"/>
        </w:rPr>
        <w:t>个中标人。中标人签订合同前须进行最终审查。最终审查的对象</w:t>
      </w:r>
      <w:r>
        <w:rPr>
          <w:rFonts w:hint="eastAsia" w:ascii="宋体" w:hAnsi="宋体" w:eastAsia="宋体" w:cs="宋体"/>
          <w:b w:val="0"/>
          <w:bCs w:val="0"/>
          <w:sz w:val="21"/>
          <w:szCs w:val="21"/>
          <w:highlight w:val="none"/>
          <w:lang w:val="en-US" w:eastAsia="zh-CN"/>
        </w:rPr>
        <w:t>是</w:t>
      </w:r>
      <w:r>
        <w:rPr>
          <w:rFonts w:hint="eastAsia" w:ascii="宋体" w:hAnsi="宋体" w:eastAsia="宋体" w:cs="宋体"/>
          <w:b w:val="0"/>
          <w:bCs w:val="0"/>
          <w:sz w:val="21"/>
          <w:szCs w:val="21"/>
          <w:highlight w:val="none"/>
        </w:rPr>
        <w:t>投标项目的中标候选人。最终审查的内容是对中标候选人的经营状况、服务质量、资格、信誉以及招标人认为有必要了解的其它问题作进一步的考查及后审。最终审查的方式，根据需要采取问询或实地查证等方式。如审查结果不符合成交条件</w:t>
      </w:r>
      <w:r>
        <w:rPr>
          <w:rFonts w:hint="eastAsia" w:ascii="宋体" w:hAnsi="宋体" w:eastAsia="宋体" w:cs="宋体"/>
          <w:b w:val="0"/>
          <w:bCs w:val="0"/>
          <w:sz w:val="21"/>
          <w:szCs w:val="21"/>
          <w:highlight w:val="none"/>
          <w:lang w:val="en-US" w:eastAsia="zh-CN"/>
        </w:rPr>
        <w:t>的</w:t>
      </w:r>
      <w:r>
        <w:rPr>
          <w:rFonts w:hint="eastAsia" w:ascii="宋体" w:hAnsi="宋体" w:eastAsia="宋体" w:cs="宋体"/>
          <w:b w:val="0"/>
          <w:bCs w:val="0"/>
          <w:sz w:val="21"/>
          <w:szCs w:val="21"/>
          <w:highlight w:val="none"/>
        </w:rPr>
        <w:t>，则本次评标作废</w:t>
      </w:r>
      <w:r>
        <w:rPr>
          <w:rFonts w:hint="eastAsia" w:ascii="宋体" w:hAnsi="宋体" w:eastAsia="宋体" w:cs="宋体"/>
          <w:b w:val="0"/>
          <w:bCs w:val="0"/>
          <w:sz w:val="21"/>
          <w:szCs w:val="21"/>
          <w:highlight w:val="none"/>
          <w:lang w:val="en-US" w:eastAsia="zh-CN"/>
        </w:rPr>
        <w:t>或变更意向中标人</w:t>
      </w:r>
      <w:r>
        <w:rPr>
          <w:rFonts w:hint="eastAsia" w:ascii="宋体" w:hAnsi="宋体" w:eastAsia="宋体" w:cs="宋体"/>
          <w:b w:val="0"/>
          <w:bCs w:val="0"/>
          <w:sz w:val="21"/>
          <w:szCs w:val="21"/>
          <w:highlight w:val="none"/>
          <w:lang w:eastAsia="zh-CN"/>
        </w:rPr>
        <w:t>。</w:t>
      </w:r>
    </w:p>
    <w:p w14:paraId="434A2260">
      <w:pPr>
        <w:pStyle w:val="72"/>
      </w:pPr>
      <w:r>
        <w:rPr>
          <w:rFonts w:hint="eastAsia"/>
          <w:lang w:val="en-US" w:eastAsia="zh-CN"/>
        </w:rPr>
        <w:t>废标及终止招标</w:t>
      </w:r>
    </w:p>
    <w:p w14:paraId="2C8EAF44">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w:t>
      </w:r>
      <w:r>
        <w:rPr>
          <w:rFonts w:hint="eastAsia" w:ascii="宋体" w:hAnsi="宋体" w:eastAsia="宋体" w:cs="宋体"/>
          <w:color w:val="000000"/>
          <w:sz w:val="21"/>
          <w:szCs w:val="21"/>
          <w:highlight w:val="none"/>
        </w:rPr>
        <w:t>投标人有下列情形之一，其投标将被视为废标，招标人将严格按照《中华人民共和国招标投标法》及相关法律、法规及规章制度的规定行使权利。投标人给招标人造成损失的，招标人有索赔的权利，投标人应予以赔偿。</w:t>
      </w:r>
    </w:p>
    <w:p w14:paraId="7F5A6C57">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w:t>
      </w:r>
      <w:r>
        <w:rPr>
          <w:rFonts w:hint="eastAsia" w:ascii="宋体" w:hAnsi="宋体" w:eastAsia="宋体" w:cs="宋体"/>
          <w:color w:val="000000"/>
          <w:sz w:val="21"/>
          <w:szCs w:val="21"/>
          <w:highlight w:val="none"/>
        </w:rPr>
        <w:t>投标人提供的有关资格、资质证明文件不合格、不真实或提供虚假投标材料；</w:t>
      </w:r>
    </w:p>
    <w:p w14:paraId="3B8EDBBF">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(2)</w:t>
      </w:r>
      <w:r>
        <w:rPr>
          <w:rFonts w:hint="eastAsia" w:ascii="宋体" w:hAnsi="宋体" w:eastAsia="宋体" w:cs="宋体"/>
          <w:color w:val="000000"/>
          <w:sz w:val="21"/>
          <w:szCs w:val="21"/>
          <w:highlight w:val="none"/>
        </w:rPr>
        <w:t>投标人在报价有效期内撤回投标；</w:t>
      </w:r>
    </w:p>
    <w:p w14:paraId="4343009C">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(3)</w:t>
      </w:r>
      <w:r>
        <w:rPr>
          <w:rFonts w:hint="eastAsia" w:ascii="宋体" w:hAnsi="宋体" w:eastAsia="宋体" w:cs="宋体"/>
          <w:color w:val="000000"/>
          <w:sz w:val="21"/>
          <w:szCs w:val="21"/>
          <w:highlight w:val="none"/>
        </w:rPr>
        <w:t>在整个评标过程中，投标人有企图影响评标结果公正性的任何活动；</w:t>
      </w:r>
    </w:p>
    <w:p w14:paraId="0178F8B7">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lang w:eastAsia="zh-CN"/>
        </w:rPr>
      </w:pPr>
      <w:r>
        <w:rPr>
          <w:rFonts w:hint="default" w:ascii="宋体" w:hAnsi="宋体" w:eastAsia="宋体" w:cs="宋体"/>
          <w:color w:val="000000"/>
          <w:kern w:val="2"/>
          <w:sz w:val="21"/>
          <w:szCs w:val="21"/>
          <w:lang w:val="en-US" w:eastAsia="zh-CN" w:bidi="ar-SA"/>
        </w:rPr>
        <w:t>(4)</w:t>
      </w:r>
      <w:r>
        <w:rPr>
          <w:rFonts w:hint="eastAsia" w:ascii="宋体" w:hAnsi="宋体" w:eastAsia="宋体" w:cs="宋体"/>
          <w:color w:val="000000"/>
          <w:sz w:val="21"/>
          <w:szCs w:val="21"/>
          <w:highlight w:val="none"/>
        </w:rPr>
        <w:t>投标人以任何方式诋毁其他投标人；</w:t>
      </w:r>
    </w:p>
    <w:p w14:paraId="4A1479FB">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(5)</w:t>
      </w:r>
      <w:r>
        <w:rPr>
          <w:rFonts w:hint="eastAsia" w:ascii="宋体" w:hAnsi="宋体" w:eastAsia="宋体" w:cs="宋体"/>
          <w:color w:val="000000"/>
          <w:sz w:val="21"/>
          <w:szCs w:val="21"/>
          <w:highlight w:val="none"/>
        </w:rPr>
        <w:t>投标人串通投标；</w:t>
      </w:r>
    </w:p>
    <w:p w14:paraId="57D4CDCD">
      <w:pPr>
        <w:pStyle w:val="14"/>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hanging="425"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(6)</w:t>
      </w:r>
      <w:r>
        <w:rPr>
          <w:rFonts w:hint="eastAsia" w:ascii="宋体" w:hAnsi="宋体" w:eastAsia="宋体" w:cs="宋体"/>
          <w:color w:val="000000"/>
          <w:sz w:val="21"/>
          <w:szCs w:val="21"/>
          <w:highlight w:val="none"/>
        </w:rPr>
        <w:t>投标人被举报、检举，并经招标人查实无误的；</w:t>
      </w:r>
    </w:p>
    <w:p w14:paraId="019FF29E">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(7)</w:t>
      </w:r>
      <w:r>
        <w:rPr>
          <w:rFonts w:hint="eastAsia" w:ascii="宋体" w:hAnsi="宋体" w:eastAsia="宋体" w:cs="宋体"/>
          <w:color w:val="000000"/>
          <w:sz w:val="21"/>
          <w:szCs w:val="21"/>
          <w:highlight w:val="none"/>
        </w:rPr>
        <w:t>以他人名义投标或者以其他方式弄虚作假，骗取中标的；</w:t>
      </w:r>
    </w:p>
    <w:p w14:paraId="7FEF7086">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(8)</w:t>
      </w:r>
      <w:r>
        <w:rPr>
          <w:rFonts w:hint="eastAsia" w:ascii="宋体" w:hAnsi="宋体" w:eastAsia="宋体" w:cs="宋体"/>
          <w:sz w:val="21"/>
          <w:szCs w:val="21"/>
          <w:highlight w:val="none"/>
        </w:rPr>
        <w:t>投标人负责人为同一人或者存在控股、管理关系的不同单位；</w:t>
      </w:r>
    </w:p>
    <w:p w14:paraId="5DB4D46C">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right="0" w:rightChars="0" w:firstLine="0"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(9)</w:t>
      </w:r>
      <w:r>
        <w:rPr>
          <w:rFonts w:hint="eastAsia" w:ascii="宋体" w:hAnsi="宋体" w:eastAsia="宋体" w:cs="宋体"/>
          <w:sz w:val="21"/>
          <w:szCs w:val="21"/>
          <w:highlight w:val="none"/>
        </w:rPr>
        <w:t>有效投标不足三家；</w:t>
      </w:r>
    </w:p>
    <w:p w14:paraId="06AA862F">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(10)</w:t>
      </w:r>
      <w:r>
        <w:rPr>
          <w:rFonts w:hint="eastAsia" w:ascii="宋体" w:hAnsi="宋体" w:eastAsia="宋体" w:cs="宋体"/>
          <w:sz w:val="21"/>
          <w:szCs w:val="21"/>
          <w:highlight w:val="none"/>
        </w:rPr>
        <w:t>不同投标人的投标文件异常一致或者投标报价呈规律性差异的；</w:t>
      </w:r>
    </w:p>
    <w:p w14:paraId="1AD76C75">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(11)</w:t>
      </w:r>
      <w:r>
        <w:rPr>
          <w:rFonts w:hint="eastAsia" w:ascii="宋体" w:hAnsi="宋体" w:eastAsia="宋体" w:cs="宋体"/>
          <w:sz w:val="21"/>
          <w:szCs w:val="21"/>
          <w:highlight w:val="none"/>
        </w:rPr>
        <w:t>投标人报价均超过</w:t>
      </w:r>
      <w:r>
        <w:rPr>
          <w:rFonts w:hint="eastAsia" w:ascii="宋体" w:hAnsi="宋体" w:cs="宋体"/>
          <w:sz w:val="21"/>
          <w:szCs w:val="21"/>
          <w:highlight w:val="none"/>
          <w:lang w:val="en-US" w:eastAsia="zh-CN"/>
        </w:rPr>
        <w:t>最高限价</w:t>
      </w:r>
      <w:r>
        <w:rPr>
          <w:rFonts w:hint="eastAsia" w:ascii="宋体" w:hAnsi="宋体" w:eastAsia="宋体" w:cs="宋体"/>
          <w:sz w:val="21"/>
          <w:szCs w:val="21"/>
          <w:highlight w:val="none"/>
        </w:rPr>
        <w:t>的；</w:t>
      </w:r>
    </w:p>
    <w:p w14:paraId="0D7AB830">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(12)</w:t>
      </w:r>
      <w:r>
        <w:rPr>
          <w:rFonts w:hint="eastAsia" w:ascii="宋体" w:hAnsi="宋体" w:eastAsia="宋体" w:cs="宋体"/>
          <w:color w:val="000000"/>
          <w:sz w:val="21"/>
          <w:szCs w:val="21"/>
          <w:highlight w:val="none"/>
        </w:rPr>
        <w:t>未按要求填报商务报价资料，对招标开展造成较大影响；</w:t>
      </w:r>
    </w:p>
    <w:p w14:paraId="46E47302">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(13)</w:t>
      </w:r>
      <w:r>
        <w:rPr>
          <w:rFonts w:hint="eastAsia" w:ascii="宋体" w:hAnsi="宋体" w:eastAsia="宋体" w:cs="宋体"/>
          <w:b w:val="0"/>
          <w:bCs w:val="0"/>
          <w:spacing w:val="0"/>
          <w:sz w:val="21"/>
          <w:szCs w:val="21"/>
          <w:highlight w:val="none"/>
          <w:lang w:val="en-US" w:eastAsia="zh-CN"/>
        </w:rPr>
        <w:t>未按照招标人规定的时间内在中国重汽e采通完成投标的；</w:t>
      </w:r>
    </w:p>
    <w:p w14:paraId="2A852CD1">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(14)</w:t>
      </w:r>
      <w:r>
        <w:rPr>
          <w:rFonts w:hint="eastAsia" w:ascii="宋体" w:hAnsi="宋体" w:eastAsia="宋体" w:cs="宋体"/>
          <w:color w:val="000000"/>
          <w:sz w:val="21"/>
          <w:szCs w:val="21"/>
          <w:highlight w:val="none"/>
        </w:rPr>
        <w:t>法律、法规规定的其他情况。</w:t>
      </w:r>
    </w:p>
    <w:p w14:paraId="75E706C7">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eastAsia" w:ascii="宋体" w:hAnsi="宋体" w:cs="宋体"/>
          <w:kern w:val="2"/>
          <w:sz w:val="21"/>
          <w:szCs w:val="21"/>
          <w:lang w:val="en-US" w:eastAsia="zh-CN" w:bidi="ar-SA"/>
        </w:rPr>
        <w:t>2</w:t>
      </w:r>
      <w:r>
        <w:rPr>
          <w:rFonts w:hint="default" w:ascii="宋体" w:hAnsi="宋体" w:eastAsia="宋体" w:cs="宋体"/>
          <w:kern w:val="2"/>
          <w:sz w:val="21"/>
          <w:szCs w:val="21"/>
          <w:lang w:val="en-US" w:eastAsia="zh-CN" w:bidi="ar-SA"/>
        </w:rPr>
        <w:t>.</w:t>
      </w:r>
      <w:r>
        <w:rPr>
          <w:rFonts w:hint="eastAsia" w:ascii="宋体" w:hAnsi="宋体" w:eastAsia="宋体" w:cs="宋体"/>
          <w:sz w:val="21"/>
          <w:szCs w:val="21"/>
          <w:highlight w:val="none"/>
        </w:rPr>
        <w:t>出现下列情形之一，招标人有权否决所有投标人的投标，并终止招标。</w:t>
      </w:r>
    </w:p>
    <w:p w14:paraId="6BC017B6">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right="0" w:rightChars="0" w:firstLine="0" w:firstLineChars="0"/>
        <w:textAlignment w:val="auto"/>
        <w:rPr>
          <w:rFonts w:hint="eastAsia" w:ascii="宋体" w:hAnsi="宋体" w:eastAsia="宋体" w:cs="宋体"/>
          <w:b/>
          <w:bCs/>
          <w:color w:val="FF0000"/>
          <w:sz w:val="18"/>
          <w:szCs w:val="18"/>
          <w:highlight w:val="none"/>
          <w:lang w:eastAsia="zh-CN"/>
        </w:rPr>
      </w:pPr>
      <w:r>
        <w:rPr>
          <w:rFonts w:hint="default" w:ascii="宋体" w:hAnsi="宋体" w:eastAsia="宋体" w:cs="宋体"/>
          <w:b w:val="0"/>
          <w:bCs w:val="0"/>
          <w:color w:val="auto"/>
          <w:kern w:val="2"/>
          <w:sz w:val="21"/>
          <w:szCs w:val="21"/>
          <w:lang w:val="en-US" w:eastAsia="zh-CN" w:bidi="ar-SA"/>
        </w:rPr>
        <w:t>(</w:t>
      </w:r>
      <w:r>
        <w:rPr>
          <w:rFonts w:hint="eastAsia" w:ascii="宋体" w:hAnsi="宋体" w:cs="宋体"/>
          <w:b w:val="0"/>
          <w:bCs w:val="0"/>
          <w:color w:val="auto"/>
          <w:kern w:val="2"/>
          <w:sz w:val="21"/>
          <w:szCs w:val="21"/>
          <w:lang w:val="en-US" w:eastAsia="zh-CN" w:bidi="ar-SA"/>
        </w:rPr>
        <w:t>1</w:t>
      </w:r>
      <w:r>
        <w:rPr>
          <w:rFonts w:hint="default" w:ascii="宋体" w:hAnsi="宋体" w:eastAsia="宋体" w:cs="宋体"/>
          <w:b w:val="0"/>
          <w:bCs w:val="0"/>
          <w:color w:val="auto"/>
          <w:kern w:val="2"/>
          <w:sz w:val="21"/>
          <w:szCs w:val="21"/>
          <w:lang w:val="en-US" w:eastAsia="zh-CN" w:bidi="ar-SA"/>
        </w:rPr>
        <w:t>)</w:t>
      </w:r>
      <w:r>
        <w:rPr>
          <w:rFonts w:hint="eastAsia" w:ascii="宋体" w:hAnsi="宋体" w:eastAsia="宋体" w:cs="宋体"/>
          <w:sz w:val="21"/>
          <w:szCs w:val="21"/>
          <w:highlight w:val="yellow"/>
        </w:rPr>
        <w:t>符合条件的投标人或者对招标文件做实质响应的投标人不足三家的；</w:t>
      </w:r>
    </w:p>
    <w:p w14:paraId="4633ED60">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w:t>
      </w:r>
      <w:r>
        <w:rPr>
          <w:rFonts w:hint="eastAsia" w:ascii="宋体" w:hAnsi="宋体" w:cs="宋体"/>
          <w:kern w:val="2"/>
          <w:sz w:val="21"/>
          <w:szCs w:val="21"/>
          <w:lang w:val="en-US" w:eastAsia="zh-CN" w:bidi="ar-SA"/>
        </w:rPr>
        <w:t>2</w:t>
      </w:r>
      <w:r>
        <w:rPr>
          <w:rFonts w:hint="default" w:ascii="宋体" w:hAnsi="宋体" w:eastAsia="宋体" w:cs="宋体"/>
          <w:kern w:val="2"/>
          <w:sz w:val="21"/>
          <w:szCs w:val="21"/>
          <w:lang w:val="en-US" w:eastAsia="zh-CN" w:bidi="ar-SA"/>
        </w:rPr>
        <w:t>)</w:t>
      </w:r>
      <w:r>
        <w:rPr>
          <w:rFonts w:hint="eastAsia" w:ascii="宋体" w:hAnsi="宋体" w:eastAsia="宋体" w:cs="宋体"/>
          <w:sz w:val="21"/>
          <w:szCs w:val="21"/>
          <w:highlight w:val="none"/>
        </w:rPr>
        <w:t>出现影响采购公正的违法、违规行为的；</w:t>
      </w:r>
    </w:p>
    <w:p w14:paraId="3D9449A9">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bCs/>
          <w:sz w:val="21"/>
          <w:szCs w:val="21"/>
          <w:highlight w:val="none"/>
        </w:rPr>
      </w:pPr>
      <w:r>
        <w:rPr>
          <w:rFonts w:hint="default" w:ascii="宋体" w:hAnsi="宋体" w:eastAsia="宋体" w:cs="宋体"/>
          <w:bCs/>
          <w:kern w:val="2"/>
          <w:sz w:val="21"/>
          <w:szCs w:val="21"/>
          <w:lang w:val="en-US" w:eastAsia="zh-CN" w:bidi="ar-SA"/>
        </w:rPr>
        <w:t>(</w:t>
      </w:r>
      <w:r>
        <w:rPr>
          <w:rFonts w:hint="eastAsia" w:ascii="宋体" w:hAnsi="宋体" w:cs="宋体"/>
          <w:bCs/>
          <w:kern w:val="2"/>
          <w:sz w:val="21"/>
          <w:szCs w:val="21"/>
          <w:lang w:val="en-US" w:eastAsia="zh-CN" w:bidi="ar-SA"/>
        </w:rPr>
        <w:t>3</w:t>
      </w:r>
      <w:r>
        <w:rPr>
          <w:rFonts w:hint="default" w:ascii="宋体" w:hAnsi="宋体" w:eastAsia="宋体" w:cs="宋体"/>
          <w:bCs/>
          <w:kern w:val="2"/>
          <w:sz w:val="21"/>
          <w:szCs w:val="21"/>
          <w:lang w:val="en-US" w:eastAsia="zh-CN" w:bidi="ar-SA"/>
        </w:rPr>
        <w:t>)</w:t>
      </w:r>
      <w:r>
        <w:rPr>
          <w:rFonts w:hint="eastAsia" w:ascii="宋体" w:hAnsi="宋体" w:eastAsia="宋体" w:cs="宋体"/>
          <w:bCs/>
          <w:sz w:val="21"/>
          <w:szCs w:val="21"/>
          <w:highlight w:val="none"/>
        </w:rPr>
        <w:t>评标委员会经评审，认为所有投标都不符合招标文件要求的；</w:t>
      </w:r>
    </w:p>
    <w:p w14:paraId="1872B765">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bCs/>
          <w:sz w:val="21"/>
          <w:szCs w:val="21"/>
          <w:highlight w:val="none"/>
        </w:rPr>
      </w:pPr>
      <w:r>
        <w:rPr>
          <w:rFonts w:hint="default" w:ascii="宋体" w:hAnsi="宋体" w:eastAsia="宋体" w:cs="宋体"/>
          <w:bCs/>
          <w:kern w:val="2"/>
          <w:sz w:val="21"/>
          <w:szCs w:val="21"/>
          <w:lang w:val="en-US" w:eastAsia="zh-CN" w:bidi="ar-SA"/>
        </w:rPr>
        <w:t>(</w:t>
      </w:r>
      <w:r>
        <w:rPr>
          <w:rFonts w:hint="eastAsia" w:ascii="宋体" w:hAnsi="宋体" w:cs="宋体"/>
          <w:bCs/>
          <w:kern w:val="2"/>
          <w:sz w:val="21"/>
          <w:szCs w:val="21"/>
          <w:lang w:val="en-US" w:eastAsia="zh-CN" w:bidi="ar-SA"/>
        </w:rPr>
        <w:t>4</w:t>
      </w:r>
      <w:r>
        <w:rPr>
          <w:rFonts w:hint="default" w:ascii="宋体" w:hAnsi="宋体" w:eastAsia="宋体" w:cs="宋体"/>
          <w:bCs/>
          <w:kern w:val="2"/>
          <w:sz w:val="21"/>
          <w:szCs w:val="21"/>
          <w:lang w:val="en-US" w:eastAsia="zh-CN" w:bidi="ar-SA"/>
        </w:rPr>
        <w:t>)</w:t>
      </w:r>
      <w:r>
        <w:rPr>
          <w:rFonts w:hint="eastAsia" w:ascii="宋体" w:hAnsi="宋体" w:eastAsia="宋体" w:cs="宋体"/>
          <w:bCs/>
          <w:sz w:val="21"/>
          <w:szCs w:val="21"/>
          <w:highlight w:val="none"/>
        </w:rPr>
        <w:t>因重大变故，采购任务取消的</w:t>
      </w:r>
      <w:bookmarkStart w:id="11" w:name="OLE_LINK25"/>
      <w:bookmarkStart w:id="12" w:name="OLE_LINK26"/>
      <w:bookmarkStart w:id="13" w:name="OLE_LINK28"/>
      <w:bookmarkStart w:id="14" w:name="OLE_LINK27"/>
      <w:bookmarkStart w:id="15" w:name="OLE_LINK29"/>
      <w:r>
        <w:rPr>
          <w:rFonts w:hint="eastAsia" w:ascii="宋体" w:hAnsi="宋体" w:eastAsia="宋体" w:cs="宋体"/>
          <w:bCs/>
          <w:sz w:val="21"/>
          <w:szCs w:val="21"/>
          <w:highlight w:val="none"/>
        </w:rPr>
        <w:t>；</w:t>
      </w:r>
      <w:bookmarkEnd w:id="11"/>
      <w:bookmarkEnd w:id="12"/>
      <w:bookmarkEnd w:id="13"/>
      <w:bookmarkEnd w:id="14"/>
      <w:bookmarkEnd w:id="15"/>
    </w:p>
    <w:p w14:paraId="5CD1D199">
      <w:pPr>
        <w:pStyle w:val="14"/>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hanging="425" w:firstLineChars="0"/>
        <w:textAlignment w:val="auto"/>
        <w:rPr>
          <w:rFonts w:hint="eastAsia" w:ascii="宋体" w:hAnsi="宋体" w:eastAsia="宋体" w:cs="宋体"/>
          <w:bCs/>
          <w:sz w:val="21"/>
          <w:szCs w:val="21"/>
          <w:highlight w:val="none"/>
        </w:rPr>
      </w:pPr>
      <w:r>
        <w:rPr>
          <w:rFonts w:hint="default" w:ascii="宋体" w:hAnsi="宋体" w:eastAsia="宋体" w:cs="宋体"/>
          <w:bCs/>
          <w:kern w:val="2"/>
          <w:sz w:val="21"/>
          <w:szCs w:val="21"/>
          <w:lang w:val="en-US" w:eastAsia="zh-CN" w:bidi="ar-SA"/>
        </w:rPr>
        <w:t>(</w:t>
      </w:r>
      <w:r>
        <w:rPr>
          <w:rFonts w:hint="eastAsia" w:hAnsi="宋体" w:cs="宋体"/>
          <w:bCs/>
          <w:kern w:val="2"/>
          <w:sz w:val="21"/>
          <w:szCs w:val="21"/>
          <w:lang w:val="en-US" w:eastAsia="zh-CN" w:bidi="ar-SA"/>
        </w:rPr>
        <w:t>5</w:t>
      </w:r>
      <w:r>
        <w:rPr>
          <w:rFonts w:hint="default" w:ascii="宋体" w:hAnsi="宋体" w:eastAsia="宋体" w:cs="宋体"/>
          <w:bCs/>
          <w:kern w:val="2"/>
          <w:sz w:val="21"/>
          <w:szCs w:val="21"/>
          <w:lang w:val="en-US" w:eastAsia="zh-CN" w:bidi="ar-SA"/>
        </w:rPr>
        <w:t>)</w:t>
      </w:r>
      <w:r>
        <w:rPr>
          <w:rFonts w:hint="eastAsia" w:ascii="宋体" w:hAnsi="宋体" w:eastAsia="宋体" w:cs="宋体"/>
          <w:bCs/>
          <w:sz w:val="21"/>
          <w:szCs w:val="21"/>
          <w:highlight w:val="none"/>
        </w:rPr>
        <w:t>招标人认为其他应终止招标的情形。</w:t>
      </w:r>
    </w:p>
    <w:p w14:paraId="24E6827E">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textAlignment w:val="auto"/>
        <w:rPr>
          <w:sz w:val="21"/>
          <w:szCs w:val="21"/>
        </w:rPr>
      </w:pPr>
      <w:r>
        <w:rPr>
          <w:rFonts w:hint="eastAsia" w:ascii="宋体" w:hAnsi="宋体" w:eastAsia="宋体" w:cs="宋体"/>
          <w:kern w:val="2"/>
          <w:sz w:val="21"/>
          <w:szCs w:val="21"/>
          <w:lang w:val="en-US" w:eastAsia="zh-CN" w:bidi="ar-SA"/>
        </w:rPr>
        <w:t>3</w:t>
      </w:r>
      <w:r>
        <w:rPr>
          <w:rFonts w:hint="default" w:ascii="Times New Roman" w:hAnsi="Times New Roman" w:eastAsia="宋体" w:cs="Times New Roman"/>
          <w:kern w:val="2"/>
          <w:sz w:val="21"/>
          <w:szCs w:val="21"/>
          <w:lang w:val="en-US" w:eastAsia="zh-CN" w:bidi="ar-SA"/>
        </w:rPr>
        <w:t>.</w:t>
      </w:r>
      <w:r>
        <w:rPr>
          <w:rFonts w:hint="eastAsia" w:ascii="宋体" w:hAnsi="宋体" w:eastAsia="宋体" w:cs="宋体"/>
          <w:color w:val="000000"/>
          <w:sz w:val="21"/>
          <w:szCs w:val="21"/>
          <w:highlight w:val="none"/>
        </w:rPr>
        <w:t>中标人瑕疵滞后发现的处理原则：无论基于何种原因，各项本应作为拒绝处理的情形，即便未被及时发现或中标人隐瞒真实情况，而使该中标人通过了资格审核、初评、现场复审、终评或其他所有相关程序，包括已发布中标通知或已签订合同的情形，招标人均有权拒绝或取消中标人资格，一旦中标人被拒绝或该中标人此前的评议结果被取消，相关的一切损失均由该中标人承担。</w:t>
      </w:r>
    </w:p>
    <w:p w14:paraId="3E00D4EE">
      <w:pPr>
        <w:pStyle w:val="72"/>
      </w:pPr>
      <w:r>
        <w:rPr>
          <w:rFonts w:hint="eastAsia"/>
          <w:lang w:val="en-US" w:eastAsia="zh-CN"/>
        </w:rPr>
        <w:t>合同签订</w:t>
      </w:r>
    </w:p>
    <w:p w14:paraId="470297F8">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color w:val="000000"/>
          <w:sz w:val="21"/>
          <w:szCs w:val="21"/>
        </w:rPr>
      </w:pPr>
      <w:r>
        <w:rPr>
          <w:rFonts w:hint="eastAsia" w:ascii="宋体" w:hAnsi="宋体" w:cs="宋体"/>
          <w:color w:val="000000"/>
          <w:sz w:val="21"/>
          <w:szCs w:val="21"/>
        </w:rPr>
        <w:t>1.招标人根据评标工作小组的评标结果确定中标人，在重汽e采通平台公布中标结果，并发送中标通知。</w:t>
      </w:r>
    </w:p>
    <w:p w14:paraId="13B36870">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color w:val="000000"/>
          <w:sz w:val="21"/>
          <w:szCs w:val="21"/>
        </w:rPr>
      </w:pPr>
      <w:r>
        <w:rPr>
          <w:rFonts w:hint="eastAsia" w:ascii="宋体" w:hAnsi="宋体" w:cs="宋体"/>
          <w:color w:val="000000"/>
          <w:sz w:val="21"/>
          <w:szCs w:val="21"/>
        </w:rPr>
        <w:t>2.中标人应该在中标通知书规定的时间、地点与招标人签订采购合同，否则按照开标后撤回投标处理。</w:t>
      </w:r>
    </w:p>
    <w:p w14:paraId="247515F9">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color w:val="000000"/>
          <w:sz w:val="21"/>
          <w:szCs w:val="21"/>
        </w:rPr>
      </w:pPr>
      <w:r>
        <w:rPr>
          <w:rFonts w:hint="eastAsia" w:ascii="宋体" w:hAnsi="宋体" w:cs="宋体"/>
          <w:color w:val="000000"/>
          <w:sz w:val="21"/>
          <w:szCs w:val="21"/>
        </w:rPr>
        <w:t>3.中标人应当按照合同约定的履约责任，在保证质量的前提下完成中标项目，不得将中标项目转包或分包给他人，否则视为违约，招标人有权解除合同。</w:t>
      </w:r>
    </w:p>
    <w:p w14:paraId="71A3F1F6">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b/>
          <w:sz w:val="21"/>
          <w:szCs w:val="21"/>
        </w:rPr>
      </w:pPr>
      <w:r>
        <w:rPr>
          <w:rFonts w:hint="eastAsia" w:ascii="宋体" w:hAnsi="宋体" w:cs="宋体"/>
          <w:b/>
          <w:sz w:val="21"/>
          <w:szCs w:val="21"/>
        </w:rPr>
        <w:t>4.中标人由于履行义务的能力或信用有严重缺陷，招标人有权取消其中标资格，招标人将从中标候选单位中依序重新确定中标人，或重新组织招标；</w:t>
      </w:r>
    </w:p>
    <w:p w14:paraId="4B1A7D9C">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hint="eastAsia" w:ascii="宋体" w:hAnsi="宋体" w:eastAsia="宋体" w:cs="宋体"/>
          <w:color w:val="000000"/>
          <w:sz w:val="21"/>
          <w:szCs w:val="21"/>
          <w:highlight w:val="none"/>
        </w:rPr>
      </w:pPr>
      <w:r>
        <w:rPr>
          <w:rFonts w:hint="eastAsia" w:ascii="宋体" w:hAnsi="宋体" w:cs="宋体"/>
          <w:b/>
          <w:sz w:val="21"/>
          <w:szCs w:val="21"/>
        </w:rPr>
        <w:t>5.合同以双方最终签署的版本为准。</w:t>
      </w:r>
    </w:p>
    <w:p w14:paraId="463DA3A7">
      <w:pPr>
        <w:pStyle w:val="72"/>
      </w:pPr>
      <w:r>
        <w:rPr>
          <w:rFonts w:hint="eastAsia"/>
          <w:lang w:val="en-US" w:eastAsia="zh-CN"/>
        </w:rPr>
        <w:t>交货及付款</w:t>
      </w:r>
    </w:p>
    <w:p w14:paraId="1494B402">
      <w:pPr>
        <w:pStyle w:val="72"/>
        <w:numPr>
          <w:ilvl w:val="0"/>
          <w:numId w:val="29"/>
        </w:numPr>
        <w:ind w:left="425" w:leftChars="0" w:hanging="425" w:firstLineChars="0"/>
        <w:rPr>
          <w:rFonts w:hint="eastAsia" w:ascii="宋体" w:hAnsi="宋体" w:eastAsia="宋体" w:cs="宋体"/>
          <w:b w:val="0"/>
          <w:bCs w:val="0"/>
          <w:sz w:val="21"/>
          <w:szCs w:val="21"/>
          <w:highlight w:val="yellow"/>
          <w:lang w:eastAsia="zh-CN"/>
        </w:rPr>
      </w:pPr>
      <w:r>
        <w:rPr>
          <w:rFonts w:hint="eastAsia" w:ascii="宋体" w:hAnsi="宋体" w:eastAsia="宋体" w:cs="宋体"/>
          <w:b w:val="0"/>
          <w:bCs w:val="0"/>
          <w:sz w:val="21"/>
          <w:szCs w:val="21"/>
          <w:highlight w:val="yellow"/>
        </w:rPr>
        <w:t>付款方式</w:t>
      </w:r>
      <w:r>
        <w:rPr>
          <w:rFonts w:hint="eastAsia" w:ascii="宋体" w:hAnsi="宋体" w:eastAsia="宋体" w:cs="宋体"/>
          <w:b w:val="0"/>
          <w:bCs w:val="0"/>
          <w:sz w:val="21"/>
          <w:szCs w:val="21"/>
          <w:highlight w:val="yellow"/>
          <w:lang w:eastAsia="zh-CN"/>
        </w:rPr>
        <w:t>：</w:t>
      </w:r>
    </w:p>
    <w:p w14:paraId="517A66BC">
      <w:pPr>
        <w:pStyle w:val="72"/>
        <w:numPr>
          <w:ilvl w:val="0"/>
          <w:numId w:val="0"/>
        </w:numPr>
        <w:ind w:left="59" w:leftChars="0"/>
        <w:rPr>
          <w:rFonts w:hint="eastAsia" w:ascii="宋体" w:hAnsi="宋体" w:eastAsia="宋体" w:cs="宋体"/>
          <w:b/>
          <w:bCs/>
          <w:color w:val="FF0000"/>
          <w:sz w:val="21"/>
          <w:szCs w:val="21"/>
          <w:lang w:val="en-US" w:eastAsia="zh-CN"/>
        </w:rPr>
      </w:pPr>
      <w:r>
        <w:rPr>
          <w:rFonts w:hint="eastAsia" w:ascii="宋体" w:hAnsi="宋体" w:eastAsia="宋体" w:cs="宋体"/>
          <w:b w:val="0"/>
          <w:bCs w:val="0"/>
          <w:sz w:val="21"/>
          <w:szCs w:val="21"/>
          <w:highlight w:val="yellow"/>
          <w:lang w:eastAsia="zh-CN"/>
        </w:rPr>
        <w:t>半年期商业汇票（包括银行承兑汇票和商业承兑汇票）；</w:t>
      </w:r>
    </w:p>
    <w:p w14:paraId="691542A2">
      <w:pPr>
        <w:pStyle w:val="72"/>
        <w:keepNext w:val="0"/>
        <w:keepLines w:val="0"/>
        <w:pageBreakBefore w:val="0"/>
        <w:widowControl w:val="0"/>
        <w:numPr>
          <w:ilvl w:val="0"/>
          <w:numId w:val="0"/>
        </w:numPr>
        <w:kinsoku/>
        <w:wordWrap/>
        <w:overflowPunct/>
        <w:topLinePunct w:val="0"/>
        <w:autoSpaceDE/>
        <w:autoSpaceDN/>
        <w:bidi w:val="0"/>
        <w:adjustRightInd/>
        <w:spacing w:line="360" w:lineRule="auto"/>
        <w:ind w:left="425" w:leftChars="0" w:hanging="425" w:firstLineChars="0"/>
        <w:textAlignment w:val="auto"/>
        <w:rPr>
          <w:rFonts w:hint="eastAsia" w:ascii="宋体" w:hAnsi="宋体" w:eastAsia="宋体" w:cs="宋体"/>
          <w:b w:val="0"/>
          <w:bCs w:val="0"/>
          <w:sz w:val="21"/>
          <w:szCs w:val="21"/>
          <w:lang w:val="en-US" w:eastAsia="zh-CN"/>
        </w:rPr>
      </w:pPr>
      <w:r>
        <w:rPr>
          <w:rFonts w:hint="eastAsia" w:ascii="宋体" w:hAnsi="宋体" w:eastAsia="宋体" w:cs="宋体"/>
          <w:b w:val="0"/>
          <w:bCs w:val="0"/>
          <w:sz w:val="21"/>
          <w:szCs w:val="21"/>
          <w:highlight w:val="yellow"/>
          <w:lang w:val="en-US" w:eastAsia="zh-CN"/>
        </w:rPr>
        <w:t>付款节点：</w:t>
      </w:r>
    </w:p>
    <w:p w14:paraId="16608AA2">
      <w:pPr>
        <w:pStyle w:val="62"/>
        <w:keepNext w:val="0"/>
        <w:keepLines w:val="0"/>
        <w:pageBreakBefore w:val="0"/>
        <w:widowControl w:val="0"/>
        <w:kinsoku/>
        <w:wordWrap/>
        <w:overflowPunct/>
        <w:topLinePunct w:val="0"/>
        <w:autoSpaceDE/>
        <w:autoSpaceDN/>
        <w:bidi w:val="0"/>
        <w:adjustRightInd/>
        <w:snapToGrid w:val="0"/>
        <w:spacing w:line="360" w:lineRule="auto"/>
        <w:ind w:left="0" w:leftChars="0" w:firstLine="0" w:firstLineChars="0"/>
        <w:jc w:val="left"/>
        <w:textAlignment w:val="auto"/>
        <w:rPr>
          <w:rFonts w:hint="eastAsia" w:ascii="宋体" w:hAnsi="宋体" w:eastAsia="宋体" w:cs="宋体"/>
          <w:sz w:val="21"/>
          <w:szCs w:val="21"/>
          <w:highlight w:val="none"/>
        </w:rPr>
      </w:pPr>
      <w:r>
        <w:rPr>
          <w:rFonts w:hint="eastAsia" w:ascii="宋体" w:hAnsi="宋体" w:eastAsia="宋体" w:cs="宋体"/>
          <w:sz w:val="21"/>
          <w:szCs w:val="21"/>
          <w:highlight w:val="yellow"/>
        </w:rPr>
        <w:t>100%：</w:t>
      </w:r>
      <w:r>
        <w:rPr>
          <w:rFonts w:hint="eastAsia" w:ascii="宋体" w:hAnsi="宋体" w:eastAsia="宋体" w:cs="宋体"/>
          <w:sz w:val="21"/>
          <w:szCs w:val="21"/>
          <w:highlight w:val="none"/>
        </w:rPr>
        <w:t>乙方完成甲方的需求，乙方开具合同价款100%的收据并增值税专用发票，经甲方核对无误后支付。</w:t>
      </w:r>
    </w:p>
    <w:p w14:paraId="45C26BF8">
      <w:pPr>
        <w:pStyle w:val="62"/>
        <w:keepNext w:val="0"/>
        <w:keepLines w:val="0"/>
        <w:pageBreakBefore w:val="0"/>
        <w:widowControl w:val="0"/>
        <w:kinsoku/>
        <w:wordWrap/>
        <w:overflowPunct/>
        <w:topLinePunct w:val="0"/>
        <w:autoSpaceDE/>
        <w:autoSpaceDN/>
        <w:bidi w:val="0"/>
        <w:adjustRightInd/>
        <w:snapToGrid w:val="0"/>
        <w:spacing w:line="360" w:lineRule="auto"/>
        <w:ind w:left="0" w:leftChars="0" w:firstLine="0" w:firstLineChars="0"/>
        <w:jc w:val="left"/>
        <w:textAlignment w:val="auto"/>
        <w:rPr>
          <w:rFonts w:hint="default" w:ascii="宋体" w:hAnsi="宋体" w:eastAsia="宋体" w:cs="宋体"/>
          <w:sz w:val="21"/>
          <w:szCs w:val="21"/>
          <w:highlight w:val="yellow"/>
          <w:lang w:val="en-US" w:eastAsia="zh-CN"/>
        </w:rPr>
      </w:pPr>
      <w:r>
        <w:rPr>
          <w:rFonts w:hint="eastAsia" w:ascii="宋体" w:hAnsi="宋体" w:cs="宋体"/>
          <w:sz w:val="21"/>
          <w:szCs w:val="21"/>
          <w:highlight w:val="yellow"/>
          <w:lang w:val="en-US" w:eastAsia="zh-CN"/>
        </w:rPr>
        <w:t>2.其他</w:t>
      </w:r>
    </w:p>
    <w:p w14:paraId="79B6409C">
      <w:pPr>
        <w:pStyle w:val="62"/>
        <w:keepNext w:val="0"/>
        <w:keepLines w:val="0"/>
        <w:pageBreakBefore w:val="0"/>
        <w:widowControl w:val="0"/>
        <w:kinsoku/>
        <w:wordWrap/>
        <w:overflowPunct/>
        <w:topLinePunct w:val="0"/>
        <w:autoSpaceDE/>
        <w:autoSpaceDN/>
        <w:bidi w:val="0"/>
        <w:adjustRightInd/>
        <w:snapToGrid w:val="0"/>
        <w:spacing w:line="360" w:lineRule="auto"/>
        <w:ind w:left="0" w:leftChars="0" w:firstLine="0" w:firstLineChars="0"/>
        <w:jc w:val="left"/>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一）投标人可以根据自身的技术、经验等优势以及对本招标文件及服务要求的理解，写明本招标项目应进行的优于本招标文件服务要求的其它方案或建议意见；投标人的这些努力，招标人表示感谢，并将有助于投标人优先胜出。</w:t>
      </w:r>
    </w:p>
    <w:p w14:paraId="25437A87">
      <w:pPr>
        <w:pStyle w:val="62"/>
        <w:keepNext w:val="0"/>
        <w:keepLines w:val="0"/>
        <w:pageBreakBefore w:val="0"/>
        <w:widowControl w:val="0"/>
        <w:kinsoku/>
        <w:wordWrap/>
        <w:overflowPunct/>
        <w:topLinePunct w:val="0"/>
        <w:autoSpaceDE/>
        <w:autoSpaceDN/>
        <w:bidi w:val="0"/>
        <w:adjustRightInd/>
        <w:snapToGrid w:val="0"/>
        <w:spacing w:line="360" w:lineRule="auto"/>
        <w:ind w:left="0" w:leftChars="0" w:firstLine="0" w:firstLineChars="0"/>
        <w:jc w:val="left"/>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（二）即使有建议意见或建议方案，仍应依据本技术规范书和招标文件要求，编写符合要求的投标文件。建议方案或建议意见应以单独篇章或文件，予以说明。</w:t>
      </w:r>
    </w:p>
    <w:p w14:paraId="1BD10CA3">
      <w:pPr>
        <w:pStyle w:val="62"/>
        <w:keepNext w:val="0"/>
        <w:keepLines w:val="0"/>
        <w:pageBreakBefore w:val="0"/>
        <w:widowControl w:val="0"/>
        <w:kinsoku/>
        <w:wordWrap/>
        <w:overflowPunct/>
        <w:topLinePunct w:val="0"/>
        <w:autoSpaceDE/>
        <w:autoSpaceDN/>
        <w:bidi w:val="0"/>
        <w:adjustRightInd/>
        <w:snapToGrid w:val="0"/>
        <w:spacing w:line="360" w:lineRule="auto"/>
        <w:ind w:left="0" w:leftChars="0" w:firstLine="0" w:firstLineChars="0"/>
        <w:jc w:val="left"/>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（三）价格与支付</w:t>
      </w:r>
    </w:p>
    <w:p w14:paraId="221C1217">
      <w:pPr>
        <w:pStyle w:val="62"/>
        <w:keepNext w:val="0"/>
        <w:keepLines w:val="0"/>
        <w:pageBreakBefore w:val="0"/>
        <w:widowControl w:val="0"/>
        <w:kinsoku/>
        <w:wordWrap/>
        <w:overflowPunct/>
        <w:topLinePunct w:val="0"/>
        <w:autoSpaceDE/>
        <w:autoSpaceDN/>
        <w:bidi w:val="0"/>
        <w:adjustRightInd/>
        <w:snapToGrid w:val="0"/>
        <w:spacing w:line="360" w:lineRule="auto"/>
        <w:ind w:left="0" w:leftChars="0" w:firstLine="0" w:firstLineChars="0"/>
        <w:jc w:val="left"/>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1、合同价格指的是聚脲喷涂的服务费用，人员、劳保护品、工具、人员工伤保险、职业健康查体费用由承包商承担。</w:t>
      </w:r>
    </w:p>
    <w:p w14:paraId="36976795">
      <w:pPr>
        <w:pStyle w:val="62"/>
        <w:keepNext w:val="0"/>
        <w:keepLines w:val="0"/>
        <w:pageBreakBefore w:val="0"/>
        <w:widowControl w:val="0"/>
        <w:kinsoku/>
        <w:wordWrap/>
        <w:overflowPunct/>
        <w:topLinePunct w:val="0"/>
        <w:autoSpaceDE/>
        <w:autoSpaceDN/>
        <w:bidi w:val="0"/>
        <w:adjustRightInd/>
        <w:snapToGrid w:val="0"/>
        <w:spacing w:line="360" w:lineRule="auto"/>
        <w:ind w:left="0" w:leftChars="0" w:firstLine="0" w:firstLineChars="0"/>
        <w:jc w:val="left"/>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2、此次招标，产量以50480辆，费用为***元/辆份（不含税价）、***元/辆份（含税价，税率13%），投标人最终报价应以单价形式体现。</w:t>
      </w:r>
    </w:p>
    <w:p w14:paraId="4D00599D">
      <w:pPr>
        <w:pStyle w:val="62"/>
        <w:keepNext w:val="0"/>
        <w:keepLines w:val="0"/>
        <w:pageBreakBefore w:val="0"/>
        <w:widowControl w:val="0"/>
        <w:kinsoku/>
        <w:wordWrap/>
        <w:overflowPunct/>
        <w:topLinePunct w:val="0"/>
        <w:autoSpaceDE/>
        <w:autoSpaceDN/>
        <w:bidi w:val="0"/>
        <w:adjustRightInd/>
        <w:snapToGrid w:val="0"/>
        <w:spacing w:line="360" w:lineRule="auto"/>
        <w:ind w:left="0" w:leftChars="0" w:firstLine="0" w:firstLineChars="0"/>
        <w:jc w:val="left"/>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合计不含税总价为：XX万元（计算逻辑：单辆份价格*预计产量50480辆），含税总价为：XX万元。</w:t>
      </w:r>
    </w:p>
    <w:p w14:paraId="5EBE06D6">
      <w:pPr>
        <w:pStyle w:val="62"/>
        <w:keepNext w:val="0"/>
        <w:keepLines w:val="0"/>
        <w:pageBreakBefore w:val="0"/>
        <w:widowControl w:val="0"/>
        <w:kinsoku/>
        <w:wordWrap/>
        <w:overflowPunct/>
        <w:topLinePunct w:val="0"/>
        <w:autoSpaceDE/>
        <w:autoSpaceDN/>
        <w:bidi w:val="0"/>
        <w:adjustRightInd/>
        <w:snapToGrid w:val="0"/>
        <w:spacing w:line="360" w:lineRule="auto"/>
        <w:ind w:left="0" w:leftChars="0" w:firstLine="0" w:firstLineChars="0"/>
        <w:jc w:val="left"/>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注：在招标人E采通中填写的报价为总价130.91万元（含税）。</w:t>
      </w:r>
    </w:p>
    <w:p w14:paraId="1F9DF815">
      <w:pPr>
        <w:pStyle w:val="62"/>
        <w:keepNext w:val="0"/>
        <w:keepLines w:val="0"/>
        <w:pageBreakBefore w:val="0"/>
        <w:widowControl w:val="0"/>
        <w:kinsoku/>
        <w:wordWrap/>
        <w:overflowPunct/>
        <w:topLinePunct w:val="0"/>
        <w:autoSpaceDE/>
        <w:autoSpaceDN/>
        <w:bidi w:val="0"/>
        <w:adjustRightInd/>
        <w:snapToGrid w:val="0"/>
        <w:spacing w:line="360" w:lineRule="auto"/>
        <w:ind w:left="0" w:leftChars="0" w:firstLine="0" w:firstLineChars="0"/>
        <w:jc w:val="left"/>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3、付款结算方法：半年期商业汇票（包含银行承兑和商业承兑），挂账90天内付款。按月度整车入库数量为结算依据，按月（每月最后一天为结点）结算上月外包费用，中标人每月10日前开具增值税专用发票。增值税税率按照结算时国家规定税率执行，投标人开具金额为合同总价格100%的加工承揽类增值税专用发票，（如出现考核项，则为扣除相应考核款后金额）。</w:t>
      </w:r>
    </w:p>
    <w:p w14:paraId="14B395CB">
      <w:pPr>
        <w:pStyle w:val="62"/>
        <w:keepNext w:val="0"/>
        <w:keepLines w:val="0"/>
        <w:pageBreakBefore w:val="0"/>
        <w:widowControl w:val="0"/>
        <w:kinsoku/>
        <w:wordWrap/>
        <w:overflowPunct/>
        <w:topLinePunct w:val="0"/>
        <w:autoSpaceDE/>
        <w:autoSpaceDN/>
        <w:bidi w:val="0"/>
        <w:adjustRightInd/>
        <w:snapToGrid w:val="0"/>
        <w:spacing w:line="360" w:lineRule="auto"/>
        <w:ind w:left="0" w:leftChars="0" w:firstLine="0" w:firstLineChars="0"/>
        <w:jc w:val="left"/>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（四）转包及分包</w:t>
      </w:r>
    </w:p>
    <w:p w14:paraId="6DCA391E">
      <w:pPr>
        <w:pStyle w:val="62"/>
        <w:keepNext w:val="0"/>
        <w:keepLines w:val="0"/>
        <w:pageBreakBefore w:val="0"/>
        <w:widowControl w:val="0"/>
        <w:kinsoku/>
        <w:wordWrap/>
        <w:overflowPunct/>
        <w:topLinePunct w:val="0"/>
        <w:autoSpaceDE/>
        <w:autoSpaceDN/>
        <w:bidi w:val="0"/>
        <w:adjustRightInd/>
        <w:snapToGrid w:val="0"/>
        <w:spacing w:line="360" w:lineRule="auto"/>
        <w:ind w:left="0" w:leftChars="0" w:firstLine="0" w:firstLineChars="0"/>
        <w:jc w:val="left"/>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1、本工程严禁转包行为，如发现转包行为，招标人可终止合同，投标人将承担一切损失及相关法律责任。</w:t>
      </w:r>
    </w:p>
    <w:p w14:paraId="376E0B8E">
      <w:pPr>
        <w:pStyle w:val="62"/>
        <w:keepNext w:val="0"/>
        <w:keepLines w:val="0"/>
        <w:pageBreakBefore w:val="0"/>
        <w:widowControl w:val="0"/>
        <w:kinsoku/>
        <w:wordWrap/>
        <w:overflowPunct/>
        <w:topLinePunct w:val="0"/>
        <w:autoSpaceDE/>
        <w:autoSpaceDN/>
        <w:bidi w:val="0"/>
        <w:adjustRightInd/>
        <w:snapToGrid w:val="0"/>
        <w:spacing w:line="360" w:lineRule="auto"/>
        <w:ind w:left="0" w:leftChars="0" w:firstLine="0" w:firstLineChars="0"/>
        <w:jc w:val="left"/>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2、严格限制分包。中标后不准分包，否则招标人可终止合同，投标人将承担一切损失及相关法律责任。</w:t>
      </w:r>
    </w:p>
    <w:p w14:paraId="74F77408">
      <w:pPr>
        <w:pStyle w:val="62"/>
        <w:keepNext w:val="0"/>
        <w:keepLines w:val="0"/>
        <w:pageBreakBefore w:val="0"/>
        <w:widowControl w:val="0"/>
        <w:kinsoku/>
        <w:wordWrap/>
        <w:overflowPunct/>
        <w:topLinePunct w:val="0"/>
        <w:autoSpaceDE/>
        <w:autoSpaceDN/>
        <w:bidi w:val="0"/>
        <w:adjustRightInd/>
        <w:snapToGrid w:val="0"/>
        <w:spacing w:line="360" w:lineRule="auto"/>
        <w:ind w:left="0" w:leftChars="0" w:firstLine="0" w:firstLineChars="0"/>
        <w:jc w:val="left"/>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五）本项业务预算≥130万元，履约保证金4万元。中标后，因自身经营原因主动提出退出的，需提前6个月提出退出书面申请，由业务主体责任方确定无其他违约责任，将保证金一次性无息100%返还中标方；提前3个月提出退出书面申请的，由业务主体责任方确定无其他违约责任， 将保证金一次性无息90%返还供方；提出申请时间不足3个月的，供方在服务期间的履约保证金不予返还。</w:t>
      </w:r>
    </w:p>
    <w:p w14:paraId="00FBE1A1">
      <w:pPr>
        <w:pStyle w:val="62"/>
        <w:keepNext w:val="0"/>
        <w:keepLines w:val="0"/>
        <w:pageBreakBefore w:val="0"/>
        <w:widowControl w:val="0"/>
        <w:kinsoku/>
        <w:wordWrap/>
        <w:overflowPunct/>
        <w:topLinePunct w:val="0"/>
        <w:autoSpaceDE/>
        <w:autoSpaceDN/>
        <w:bidi w:val="0"/>
        <w:adjustRightInd/>
        <w:snapToGrid w:val="0"/>
        <w:spacing w:line="360" w:lineRule="auto"/>
        <w:ind w:left="0" w:leftChars="0" w:firstLine="0" w:firstLineChars="0"/>
        <w:jc w:val="left"/>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经卡车公司相关部门评审，同意供方退出的，由业务主体责任方立即组织新供方的招标和引入。在招标期间和业务交接期间（交接期为3个月），原供方须无条件配合业务交接工作，确保业务正常运转。对于交接期间出现影响生产的情况，交接期第1个月由原供方承担70%责任，新供方承担 30%责任；交接期第2 个月，由原供方承担50%责任，新供方承担50%责任；交接期第3个月，由原供方承担30%责任，新供方承担70%责任</w:t>
      </w:r>
    </w:p>
    <w:p w14:paraId="6E0D7439">
      <w:pPr>
        <w:pStyle w:val="72"/>
        <w:rPr>
          <w:rFonts w:hint="eastAsia"/>
          <w:lang w:val="en-US" w:eastAsia="zh-CN"/>
        </w:rPr>
      </w:pPr>
      <w:r>
        <w:rPr>
          <w:rFonts w:hint="eastAsia"/>
          <w:lang w:val="en-US" w:eastAsia="zh-CN"/>
        </w:rPr>
        <w:t>本次招标最终解释权归中国重汽集团济南卡车股份有限公司制造公司。</w:t>
      </w:r>
    </w:p>
    <w:p w14:paraId="66BCACD8">
      <w:pPr>
        <w:pStyle w:val="76"/>
      </w:pPr>
    </w:p>
    <w:p w14:paraId="07A4B493">
      <w:pPr>
        <w:pStyle w:val="71"/>
        <w:jc w:val="both"/>
        <w:rPr>
          <w:rFonts w:hint="eastAsia"/>
        </w:rPr>
      </w:pPr>
      <w:bookmarkStart w:id="16" w:name="_Toc47976607"/>
    </w:p>
    <w:p w14:paraId="243FF35F">
      <w:pPr>
        <w:rPr>
          <w:rFonts w:hint="eastAsia"/>
        </w:rPr>
      </w:pPr>
      <w:r>
        <w:rPr>
          <w:rFonts w:hint="eastAsia"/>
        </w:rPr>
        <w:br w:type="page"/>
      </w:r>
    </w:p>
    <w:p w14:paraId="4D4F85A8">
      <w:pPr>
        <w:pStyle w:val="71"/>
        <w:jc w:val="both"/>
        <w:rPr>
          <w:rFonts w:hint="eastAsia"/>
        </w:rPr>
      </w:pPr>
    </w:p>
    <w:bookmarkEnd w:id="16"/>
    <w:p w14:paraId="1FB6CA61">
      <w:pPr>
        <w:pStyle w:val="71"/>
        <w:numPr>
          <w:ilvl w:val="0"/>
          <w:numId w:val="30"/>
        </w:numPr>
        <w:jc w:val="center"/>
        <w:rPr>
          <w:rFonts w:hint="eastAsia"/>
          <w:lang w:val="en-US" w:eastAsia="zh-CN"/>
        </w:rPr>
      </w:pPr>
      <w:bookmarkStart w:id="17" w:name="_Toc1910"/>
      <w:r>
        <w:rPr>
          <w:rFonts w:hint="eastAsia"/>
          <w:lang w:val="en-US" w:eastAsia="zh-CN"/>
        </w:rPr>
        <w:t>技术标书</w:t>
      </w:r>
      <w:bookmarkEnd w:id="17"/>
    </w:p>
    <w:p w14:paraId="2FF344B9">
      <w:pPr>
        <w:spacing w:line="480" w:lineRule="exact"/>
        <w:jc w:val="center"/>
        <w:rPr>
          <w:rFonts w:hint="eastAsia" w:ascii="黑体" w:hAnsi="宋体" w:eastAsia="黑体"/>
          <w:b/>
          <w:sz w:val="44"/>
          <w:szCs w:val="44"/>
        </w:rPr>
      </w:pPr>
      <w:r>
        <w:rPr>
          <w:rFonts w:hint="eastAsia" w:ascii="黑体" w:eastAsia="黑体"/>
          <w:b/>
          <w:sz w:val="44"/>
          <w:szCs w:val="44"/>
        </w:rPr>
        <w:t>技术规范</w:t>
      </w:r>
    </w:p>
    <w:p w14:paraId="22A040E7">
      <w:pPr>
        <w:pStyle w:val="3"/>
        <w:tabs>
          <w:tab w:val="left" w:pos="576"/>
        </w:tabs>
        <w:spacing w:before="0" w:after="0"/>
        <w:ind w:left="576" w:hanging="576"/>
        <w:rPr>
          <w:rFonts w:hint="eastAsia"/>
          <w:b/>
        </w:rPr>
      </w:pPr>
      <w:r>
        <w:rPr>
          <w:rFonts w:hint="eastAsia"/>
          <w:b/>
        </w:rPr>
        <w:t>一、基本要求</w:t>
      </w:r>
    </w:p>
    <w:p w14:paraId="78E6B3A2">
      <w:pPr>
        <w:spacing w:line="360" w:lineRule="auto"/>
        <w:ind w:firstLine="315" w:firstLineChars="150"/>
        <w:rPr>
          <w:rFonts w:hint="eastAsia" w:ascii="宋体" w:hAnsi="宋体"/>
        </w:rPr>
      </w:pPr>
      <w:r>
        <w:rPr>
          <w:rFonts w:hint="eastAsia" w:ascii="宋体" w:hAnsi="宋体"/>
        </w:rPr>
        <w:t>1、投标人所供服务涉及内容，必须符合中国最新版的法律、法规和相关标准、规范的要求，符合项目所在地政府有关特殊要求。</w:t>
      </w:r>
    </w:p>
    <w:p w14:paraId="45864643">
      <w:pPr>
        <w:spacing w:line="360" w:lineRule="auto"/>
        <w:ind w:firstLine="315" w:firstLineChars="150"/>
        <w:rPr>
          <w:rFonts w:hint="eastAsia" w:ascii="宋体" w:hAnsi="宋体"/>
        </w:rPr>
      </w:pPr>
      <w:r>
        <w:rPr>
          <w:rFonts w:hint="eastAsia" w:ascii="宋体" w:hAnsi="宋体"/>
        </w:rPr>
        <w:t>2、投标人应对招标人提出的各项要求同意进行承诺，并保证招标人不因此受到任何侵权指控和实际损失。</w:t>
      </w:r>
    </w:p>
    <w:p w14:paraId="4B424E48">
      <w:pPr>
        <w:spacing w:line="360" w:lineRule="auto"/>
        <w:ind w:firstLine="315" w:firstLineChars="150"/>
        <w:rPr>
          <w:rFonts w:hint="eastAsia" w:ascii="宋体" w:hAnsi="宋体"/>
        </w:rPr>
      </w:pPr>
      <w:r>
        <w:rPr>
          <w:rFonts w:hint="eastAsia" w:ascii="宋体" w:hAnsi="宋体"/>
        </w:rPr>
        <w:t>3、投标人应保证所供服务的先进性、可靠性、经济性和实用性。</w:t>
      </w:r>
    </w:p>
    <w:p w14:paraId="49C2071C">
      <w:pPr>
        <w:spacing w:line="480" w:lineRule="exact"/>
        <w:rPr>
          <w:rFonts w:hint="eastAsia" w:ascii="宋体" w:hAnsi="宋体"/>
          <w:b/>
        </w:rPr>
      </w:pPr>
      <w:r>
        <w:rPr>
          <w:rFonts w:hint="eastAsia" w:ascii="宋体" w:hAnsi="宋体"/>
          <w:b/>
        </w:rPr>
        <w:t>二、服务内容及要求</w:t>
      </w:r>
    </w:p>
    <w:p w14:paraId="339786AD">
      <w:pPr>
        <w:spacing w:line="480" w:lineRule="exact"/>
        <w:ind w:firstLine="480" w:firstLineChars="200"/>
        <w:rPr>
          <w:rStyle w:val="69"/>
          <w:sz w:val="24"/>
        </w:rPr>
      </w:pPr>
      <w:r>
        <w:rPr>
          <w:rStyle w:val="69"/>
          <w:rFonts w:hint="eastAsia"/>
          <w:sz w:val="24"/>
        </w:rPr>
        <w:t>（一）服务内容</w:t>
      </w:r>
      <w:r>
        <w:rPr>
          <w:rStyle w:val="69"/>
          <w:sz w:val="24"/>
        </w:rPr>
        <w:t>与基本要求</w:t>
      </w:r>
    </w:p>
    <w:tbl>
      <w:tblPr>
        <w:tblStyle w:val="30"/>
        <w:tblW w:w="0" w:type="auto"/>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108" w:type="dxa"/>
          <w:bottom w:w="0" w:type="dxa"/>
          <w:right w:w="108" w:type="dxa"/>
        </w:tblCellMar>
      </w:tblPr>
      <w:tblGrid>
        <w:gridCol w:w="675"/>
        <w:gridCol w:w="1218"/>
        <w:gridCol w:w="6482"/>
      </w:tblGrid>
      <w:tr w14:paraId="41C166B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675" w:type="dxa"/>
            <w:vAlign w:val="center"/>
          </w:tcPr>
          <w:p w14:paraId="57167BF4">
            <w:pPr>
              <w:spacing w:line="360" w:lineRule="exact"/>
              <w:jc w:val="center"/>
              <w:rPr>
                <w:rFonts w:ascii="宋体" w:hAnsi="宋体"/>
                <w:kern w:val="0"/>
                <w:sz w:val="21"/>
                <w:szCs w:val="21"/>
              </w:rPr>
            </w:pPr>
            <w:r>
              <w:rPr>
                <w:rFonts w:hint="eastAsia" w:ascii="宋体" w:hAnsi="宋体"/>
                <w:kern w:val="0"/>
                <w:sz w:val="21"/>
                <w:szCs w:val="21"/>
              </w:rPr>
              <w:t>序号</w:t>
            </w:r>
          </w:p>
        </w:tc>
        <w:tc>
          <w:tcPr>
            <w:tcW w:w="1218" w:type="dxa"/>
            <w:vAlign w:val="center"/>
          </w:tcPr>
          <w:p w14:paraId="149E2911">
            <w:pPr>
              <w:spacing w:line="360" w:lineRule="exact"/>
              <w:jc w:val="center"/>
              <w:rPr>
                <w:rFonts w:ascii="宋体" w:hAnsi="宋体"/>
                <w:kern w:val="0"/>
                <w:sz w:val="21"/>
                <w:szCs w:val="21"/>
              </w:rPr>
            </w:pPr>
            <w:r>
              <w:rPr>
                <w:rFonts w:hint="eastAsia" w:ascii="宋体" w:hAnsi="宋体"/>
                <w:kern w:val="0"/>
                <w:sz w:val="21"/>
                <w:szCs w:val="21"/>
              </w:rPr>
              <w:t>业务内容</w:t>
            </w:r>
          </w:p>
        </w:tc>
        <w:tc>
          <w:tcPr>
            <w:tcW w:w="6482" w:type="dxa"/>
            <w:vAlign w:val="center"/>
          </w:tcPr>
          <w:p w14:paraId="129A3A75">
            <w:pPr>
              <w:spacing w:line="360" w:lineRule="exact"/>
              <w:jc w:val="center"/>
              <w:rPr>
                <w:rFonts w:ascii="宋体" w:hAnsi="宋体"/>
                <w:kern w:val="0"/>
                <w:sz w:val="21"/>
                <w:szCs w:val="21"/>
              </w:rPr>
            </w:pPr>
            <w:r>
              <w:rPr>
                <w:rFonts w:hint="eastAsia" w:ascii="宋体" w:hAnsi="宋体"/>
                <w:kern w:val="0"/>
                <w:sz w:val="21"/>
                <w:szCs w:val="21"/>
              </w:rPr>
              <w:t>基本要求</w:t>
            </w:r>
          </w:p>
        </w:tc>
      </w:tr>
      <w:tr w14:paraId="5739289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675" w:type="dxa"/>
            <w:vAlign w:val="center"/>
          </w:tcPr>
          <w:p w14:paraId="338DFD2E">
            <w:pPr>
              <w:spacing w:line="360" w:lineRule="exact"/>
              <w:jc w:val="center"/>
              <w:rPr>
                <w:rFonts w:ascii="宋体" w:hAnsi="宋体"/>
                <w:kern w:val="0"/>
                <w:sz w:val="21"/>
                <w:szCs w:val="21"/>
              </w:rPr>
            </w:pPr>
            <w:r>
              <w:rPr>
                <w:rFonts w:hint="eastAsia" w:ascii="宋体" w:hAnsi="宋体"/>
                <w:kern w:val="0"/>
                <w:sz w:val="21"/>
                <w:szCs w:val="21"/>
              </w:rPr>
              <w:t>1</w:t>
            </w:r>
          </w:p>
        </w:tc>
        <w:tc>
          <w:tcPr>
            <w:tcW w:w="1218" w:type="dxa"/>
            <w:vAlign w:val="center"/>
          </w:tcPr>
          <w:p w14:paraId="693695DD">
            <w:pPr>
              <w:spacing w:line="360" w:lineRule="exact"/>
              <w:jc w:val="center"/>
              <w:rPr>
                <w:rFonts w:ascii="宋体" w:hAnsi="宋体"/>
                <w:kern w:val="0"/>
                <w:sz w:val="21"/>
                <w:szCs w:val="21"/>
              </w:rPr>
            </w:pPr>
            <w:r>
              <w:rPr>
                <w:rFonts w:hint="eastAsia" w:ascii="宋体" w:hAnsi="宋体" w:cs="仿宋_GB2312"/>
                <w:sz w:val="21"/>
                <w:szCs w:val="21"/>
              </w:rPr>
              <w:t>擦净修补</w:t>
            </w:r>
          </w:p>
        </w:tc>
        <w:tc>
          <w:tcPr>
            <w:tcW w:w="6482" w:type="dxa"/>
            <w:vAlign w:val="center"/>
          </w:tcPr>
          <w:p w14:paraId="6E203C6A">
            <w:pPr>
              <w:tabs>
                <w:tab w:val="left" w:pos="960"/>
              </w:tabs>
              <w:spacing w:line="320" w:lineRule="exact"/>
              <w:jc w:val="left"/>
              <w:rPr>
                <w:rFonts w:hint="eastAsia" w:ascii="宋体" w:hAnsi="宋体"/>
                <w:sz w:val="21"/>
                <w:szCs w:val="21"/>
              </w:rPr>
            </w:pPr>
            <w:r>
              <w:rPr>
                <w:rFonts w:hint="eastAsia" w:ascii="宋体" w:hAnsi="宋体"/>
                <w:sz w:val="21"/>
                <w:szCs w:val="21"/>
              </w:rPr>
              <w:t>（1）</w:t>
            </w:r>
            <w:r>
              <w:rPr>
                <w:rFonts w:hint="eastAsia" w:ascii="宋体" w:hAnsi="宋体"/>
                <w:kern w:val="0"/>
                <w:sz w:val="21"/>
                <w:szCs w:val="21"/>
              </w:rPr>
              <w:t>根据</w:t>
            </w:r>
            <w:r>
              <w:rPr>
                <w:rFonts w:hint="eastAsia" w:ascii="宋体" w:hAnsi="宋体"/>
                <w:sz w:val="21"/>
                <w:szCs w:val="21"/>
              </w:rPr>
              <w:t>卡车制造</w:t>
            </w:r>
            <w:r>
              <w:rPr>
                <w:rFonts w:hint="eastAsia" w:ascii="宋体" w:hAnsi="宋体"/>
                <w:kern w:val="0"/>
                <w:sz w:val="21"/>
                <w:szCs w:val="21"/>
              </w:rPr>
              <w:t>生产作业计划负责按计划完成聚脲喷涂工作，</w:t>
            </w:r>
            <w:r>
              <w:rPr>
                <w:rFonts w:hint="eastAsia" w:ascii="宋体" w:hAnsi="宋体" w:cs="仿宋_GB2312"/>
                <w:sz w:val="21"/>
                <w:szCs w:val="21"/>
              </w:rPr>
              <w:t>承包方在车辆停稳后放置安全墩和警示牌，</w:t>
            </w:r>
            <w:r>
              <w:rPr>
                <w:rFonts w:hint="eastAsia" w:ascii="宋体" w:hAnsi="宋体"/>
                <w:sz w:val="21"/>
                <w:szCs w:val="21"/>
              </w:rPr>
              <w:t>先用湿润的洁净的拖把、抹布去除车架的表面、零部件履盖车架的区域表面的灰尘、水渍及其他异物，再用干燥抹布擦拭一遍。若吸涂部位存在大量积水、灰尘时，可先使用压缩空气进行吹扫，再进行擦拭。车架表面的油污，可用洁净粘性纱布蘸取稀释剂擦拭去除。要求目视无可见污染。</w:t>
            </w:r>
          </w:p>
          <w:p w14:paraId="65BA9562">
            <w:pPr>
              <w:tabs>
                <w:tab w:val="left" w:pos="960"/>
              </w:tabs>
              <w:spacing w:line="320" w:lineRule="exact"/>
              <w:jc w:val="left"/>
              <w:rPr>
                <w:rFonts w:hint="eastAsia" w:ascii="宋体" w:hAnsi="宋体"/>
                <w:sz w:val="21"/>
                <w:szCs w:val="21"/>
              </w:rPr>
            </w:pPr>
            <w:r>
              <w:rPr>
                <w:rFonts w:hint="eastAsia" w:ascii="宋体" w:hAnsi="宋体"/>
                <w:sz w:val="21"/>
                <w:szCs w:val="21"/>
              </w:rPr>
              <w:t>（2）擦净顺序由上到下，由内到外。</w:t>
            </w:r>
          </w:p>
          <w:p w14:paraId="4201B994">
            <w:pPr>
              <w:tabs>
                <w:tab w:val="left" w:pos="960"/>
              </w:tabs>
              <w:spacing w:line="320" w:lineRule="exact"/>
              <w:jc w:val="left"/>
              <w:rPr>
                <w:rFonts w:hint="eastAsia" w:ascii="宋体" w:hAnsi="宋体"/>
                <w:szCs w:val="21"/>
              </w:rPr>
            </w:pPr>
            <w:r>
              <w:rPr>
                <w:rFonts w:hint="eastAsia" w:ascii="宋体" w:hAnsi="宋体"/>
                <w:sz w:val="21"/>
                <w:szCs w:val="21"/>
              </w:rPr>
              <w:t>（3）对整车磕碰锈蚀进行检查修补，修补要求详见整车修补工艺；</w:t>
            </w:r>
          </w:p>
        </w:tc>
      </w:tr>
      <w:tr w14:paraId="538A7A2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125" w:hRule="atLeast"/>
          <w:jc w:val="center"/>
        </w:trPr>
        <w:tc>
          <w:tcPr>
            <w:tcW w:w="675" w:type="dxa"/>
            <w:vAlign w:val="center"/>
          </w:tcPr>
          <w:p w14:paraId="46D75A83">
            <w:pPr>
              <w:spacing w:line="360" w:lineRule="exact"/>
              <w:jc w:val="center"/>
              <w:rPr>
                <w:rFonts w:ascii="宋体" w:hAnsi="宋体"/>
                <w:kern w:val="0"/>
                <w:sz w:val="21"/>
                <w:szCs w:val="21"/>
              </w:rPr>
            </w:pPr>
            <w:r>
              <w:rPr>
                <w:rFonts w:hint="eastAsia" w:ascii="宋体" w:hAnsi="宋体"/>
                <w:kern w:val="0"/>
                <w:sz w:val="21"/>
                <w:szCs w:val="21"/>
              </w:rPr>
              <w:t>2</w:t>
            </w:r>
          </w:p>
        </w:tc>
        <w:tc>
          <w:tcPr>
            <w:tcW w:w="1218" w:type="dxa"/>
            <w:vAlign w:val="center"/>
          </w:tcPr>
          <w:p w14:paraId="4EB820C4">
            <w:pPr>
              <w:spacing w:line="360" w:lineRule="exact"/>
              <w:jc w:val="center"/>
              <w:rPr>
                <w:rFonts w:hint="eastAsia" w:ascii="宋体" w:hAnsi="宋体"/>
                <w:kern w:val="0"/>
                <w:sz w:val="21"/>
                <w:szCs w:val="21"/>
              </w:rPr>
            </w:pPr>
            <w:r>
              <w:rPr>
                <w:rFonts w:hint="eastAsia" w:ascii="宋体" w:hAnsi="宋体" w:cs="仿宋_GB2312"/>
                <w:sz w:val="21"/>
                <w:szCs w:val="21"/>
              </w:rPr>
              <w:t>遮蔽防护</w:t>
            </w:r>
          </w:p>
        </w:tc>
        <w:tc>
          <w:tcPr>
            <w:tcW w:w="6482" w:type="dxa"/>
            <w:vAlign w:val="center"/>
          </w:tcPr>
          <w:p w14:paraId="08CDDC7E">
            <w:pPr>
              <w:pStyle w:val="62"/>
              <w:spacing w:line="360" w:lineRule="exact"/>
              <w:rPr>
                <w:rFonts w:hint="eastAsia" w:ascii="宋体" w:hAnsi="宋体"/>
                <w:kern w:val="0"/>
                <w:szCs w:val="21"/>
              </w:rPr>
            </w:pPr>
            <w:r>
              <w:rPr>
                <w:rFonts w:hint="eastAsia" w:ascii="宋体" w:hAnsi="宋体"/>
                <w:kern w:val="0"/>
                <w:szCs w:val="21"/>
              </w:rPr>
              <w:t>（1）用遮蔽布将油箱、电瓶箱、尿素箱、铝合金储气筒、轮胎、消声器、后尾灯、挡泥板遮蔽。</w:t>
            </w:r>
          </w:p>
          <w:p w14:paraId="5C9086B8">
            <w:pPr>
              <w:pStyle w:val="62"/>
              <w:spacing w:line="360" w:lineRule="exact"/>
              <w:rPr>
                <w:rFonts w:hint="eastAsia" w:ascii="宋体" w:hAnsi="宋体"/>
                <w:kern w:val="0"/>
                <w:szCs w:val="21"/>
              </w:rPr>
            </w:pPr>
            <w:r>
              <w:rPr>
                <w:rFonts w:hint="eastAsia" w:ascii="宋体" w:hAnsi="宋体"/>
                <w:kern w:val="0"/>
                <w:szCs w:val="21"/>
              </w:rPr>
              <w:t>（2）用专用遮蔽工装分别将倒车雷达、空气悬架气囊遮蔽。用遮蔽布遮蔽车架内侧空气悬架气囊。</w:t>
            </w:r>
          </w:p>
          <w:p w14:paraId="2F8D1C7B">
            <w:pPr>
              <w:pStyle w:val="62"/>
              <w:spacing w:line="360" w:lineRule="exact"/>
              <w:rPr>
                <w:rFonts w:hint="eastAsia" w:ascii="宋体" w:hAnsi="宋体"/>
                <w:kern w:val="0"/>
                <w:szCs w:val="21"/>
              </w:rPr>
            </w:pPr>
            <w:r>
              <w:rPr>
                <w:rFonts w:hint="eastAsia" w:ascii="宋体" w:hAnsi="宋体"/>
                <w:kern w:val="0"/>
                <w:szCs w:val="21"/>
              </w:rPr>
              <w:t>（3）遮蔽布清洗不少于1次／3天或更换。</w:t>
            </w:r>
          </w:p>
        </w:tc>
      </w:tr>
      <w:tr w14:paraId="3762A99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125" w:hRule="atLeast"/>
          <w:jc w:val="center"/>
        </w:trPr>
        <w:tc>
          <w:tcPr>
            <w:tcW w:w="675" w:type="dxa"/>
            <w:vMerge w:val="restart"/>
            <w:vAlign w:val="center"/>
          </w:tcPr>
          <w:p w14:paraId="027CA0A8">
            <w:pPr>
              <w:spacing w:line="360" w:lineRule="exact"/>
              <w:jc w:val="center"/>
              <w:rPr>
                <w:rFonts w:hint="eastAsia" w:ascii="宋体" w:hAnsi="宋体"/>
                <w:kern w:val="0"/>
                <w:sz w:val="21"/>
                <w:szCs w:val="21"/>
              </w:rPr>
            </w:pPr>
            <w:r>
              <w:rPr>
                <w:rFonts w:hint="eastAsia" w:ascii="宋体" w:hAnsi="宋体"/>
                <w:kern w:val="0"/>
                <w:sz w:val="21"/>
                <w:szCs w:val="21"/>
              </w:rPr>
              <w:t>3</w:t>
            </w:r>
          </w:p>
        </w:tc>
        <w:tc>
          <w:tcPr>
            <w:tcW w:w="1218" w:type="dxa"/>
            <w:vMerge w:val="restart"/>
            <w:vAlign w:val="center"/>
          </w:tcPr>
          <w:p w14:paraId="022BFDE3">
            <w:pPr>
              <w:spacing w:line="360" w:lineRule="exact"/>
              <w:jc w:val="center"/>
              <w:rPr>
                <w:rFonts w:ascii="宋体" w:hAnsi="宋体"/>
                <w:kern w:val="0"/>
                <w:sz w:val="21"/>
                <w:szCs w:val="21"/>
              </w:rPr>
            </w:pPr>
            <w:r>
              <w:rPr>
                <w:rFonts w:hint="eastAsia" w:ascii="宋体" w:hAnsi="宋体"/>
                <w:kern w:val="0"/>
                <w:sz w:val="21"/>
                <w:szCs w:val="21"/>
              </w:rPr>
              <w:t>喷涂聚脲清漆</w:t>
            </w:r>
          </w:p>
        </w:tc>
        <w:tc>
          <w:tcPr>
            <w:tcW w:w="6482" w:type="dxa"/>
            <w:vAlign w:val="center"/>
          </w:tcPr>
          <w:p w14:paraId="6CB7B16D">
            <w:pPr>
              <w:jc w:val="left"/>
              <w:rPr>
                <w:rFonts w:hint="eastAsia" w:ascii="宋体" w:hAnsi="宋体" w:cs="仿宋_GB2312"/>
                <w:sz w:val="21"/>
                <w:szCs w:val="21"/>
              </w:rPr>
            </w:pPr>
            <w:r>
              <w:rPr>
                <w:rFonts w:hint="eastAsia" w:ascii="宋体" w:hAnsi="宋体" w:cs="仿宋_GB2312"/>
                <w:sz w:val="21"/>
                <w:szCs w:val="21"/>
              </w:rPr>
              <w:t>调漆：</w:t>
            </w:r>
          </w:p>
          <w:p w14:paraId="5E1E89C5">
            <w:pPr>
              <w:jc w:val="left"/>
              <w:rPr>
                <w:rFonts w:hint="eastAsia" w:ascii="宋体" w:hAnsi="宋体" w:cs="仿宋_GB2312"/>
                <w:sz w:val="21"/>
                <w:szCs w:val="21"/>
              </w:rPr>
            </w:pPr>
            <w:r>
              <w:rPr>
                <w:rFonts w:hint="eastAsia" w:ascii="宋体" w:hAnsi="宋体" w:cs="仿宋_GB2312"/>
                <w:sz w:val="21"/>
                <w:szCs w:val="21"/>
              </w:rPr>
              <w:t>（1）清漆调配：电子秤称重调配聚脲清漆，聚脲清漆／固化剂</w:t>
            </w:r>
          </w:p>
          <w:p w14:paraId="54982168">
            <w:pPr>
              <w:jc w:val="left"/>
              <w:rPr>
                <w:rFonts w:hint="eastAsia" w:ascii="宋体" w:hAnsi="宋体" w:cs="仿宋_GB2312"/>
                <w:sz w:val="21"/>
                <w:szCs w:val="21"/>
              </w:rPr>
            </w:pPr>
            <w:r>
              <w:rPr>
                <w:rFonts w:hint="eastAsia" w:ascii="宋体" w:hAnsi="宋体" w:cs="仿宋_GB2312"/>
                <w:sz w:val="21"/>
                <w:szCs w:val="21"/>
              </w:rPr>
              <w:t>（质量比）＝3：1，加入配套稀释剂，调整粘度至14-20s（巴斯夫）或14-18s（中山大桥）。</w:t>
            </w:r>
          </w:p>
          <w:p w14:paraId="6B4680A0">
            <w:pPr>
              <w:jc w:val="left"/>
              <w:rPr>
                <w:rFonts w:hint="eastAsia" w:ascii="宋体" w:hAnsi="宋体" w:cs="仿宋_GB2312"/>
                <w:sz w:val="21"/>
                <w:szCs w:val="21"/>
              </w:rPr>
            </w:pPr>
            <w:r>
              <w:rPr>
                <w:rFonts w:hint="eastAsia" w:ascii="宋体" w:hAnsi="宋体" w:cs="仿宋_GB2312"/>
                <w:sz w:val="21"/>
                <w:szCs w:val="21"/>
              </w:rPr>
              <w:t>（2）搅拌：用搅拌尺或搅拌器对漆液进行充分搅拌，时间不少于1min。</w:t>
            </w:r>
          </w:p>
          <w:p w14:paraId="0AC15EE8">
            <w:pPr>
              <w:jc w:val="left"/>
              <w:rPr>
                <w:rFonts w:hint="eastAsia" w:ascii="宋体" w:hAnsi="宋体" w:cs="仿宋_GB2312"/>
                <w:sz w:val="21"/>
                <w:szCs w:val="21"/>
              </w:rPr>
            </w:pPr>
            <w:r>
              <w:rPr>
                <w:rFonts w:hint="eastAsia" w:ascii="宋体" w:hAnsi="宋体" w:cs="仿宋_GB2312"/>
                <w:sz w:val="21"/>
                <w:szCs w:val="21"/>
              </w:rPr>
              <w:t>（3）测量粘度：每次调漆均需测量1次。</w:t>
            </w:r>
          </w:p>
        </w:tc>
      </w:tr>
      <w:tr w14:paraId="393AA89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125" w:hRule="atLeast"/>
          <w:jc w:val="center"/>
        </w:trPr>
        <w:tc>
          <w:tcPr>
            <w:tcW w:w="675" w:type="dxa"/>
            <w:vMerge w:val="continue"/>
            <w:vAlign w:val="center"/>
          </w:tcPr>
          <w:p w14:paraId="5F1118B7">
            <w:pPr>
              <w:spacing w:line="360" w:lineRule="exact"/>
              <w:jc w:val="center"/>
              <w:rPr>
                <w:rFonts w:hint="eastAsia" w:ascii="宋体" w:hAnsi="宋体"/>
                <w:kern w:val="0"/>
                <w:sz w:val="21"/>
                <w:szCs w:val="21"/>
              </w:rPr>
            </w:pPr>
          </w:p>
        </w:tc>
        <w:tc>
          <w:tcPr>
            <w:tcW w:w="1218" w:type="dxa"/>
            <w:vMerge w:val="continue"/>
            <w:vAlign w:val="center"/>
          </w:tcPr>
          <w:p w14:paraId="2DEDFEEC">
            <w:pPr>
              <w:spacing w:line="360" w:lineRule="exact"/>
              <w:jc w:val="center"/>
              <w:rPr>
                <w:rFonts w:ascii="宋体" w:hAnsi="宋体"/>
                <w:kern w:val="0"/>
                <w:sz w:val="21"/>
                <w:szCs w:val="21"/>
              </w:rPr>
            </w:pPr>
          </w:p>
        </w:tc>
        <w:tc>
          <w:tcPr>
            <w:tcW w:w="6482" w:type="dxa"/>
            <w:vAlign w:val="center"/>
          </w:tcPr>
          <w:p w14:paraId="1E59606E">
            <w:pPr>
              <w:jc w:val="left"/>
              <w:rPr>
                <w:rFonts w:hint="eastAsia" w:ascii="宋体" w:hAnsi="宋体" w:cs="仿宋_GB2312"/>
                <w:sz w:val="21"/>
                <w:szCs w:val="21"/>
              </w:rPr>
            </w:pPr>
            <w:r>
              <w:rPr>
                <w:rFonts w:hint="eastAsia" w:ascii="宋体" w:hAnsi="宋体" w:cs="仿宋_GB2312"/>
                <w:sz w:val="21"/>
                <w:szCs w:val="21"/>
              </w:rPr>
              <w:t>喷涂：</w:t>
            </w:r>
          </w:p>
          <w:p w14:paraId="65D51461">
            <w:pPr>
              <w:numPr>
                <w:ilvl w:val="0"/>
                <w:numId w:val="31"/>
              </w:numPr>
              <w:jc w:val="left"/>
              <w:rPr>
                <w:rFonts w:hint="eastAsia" w:ascii="宋体" w:hAnsi="宋体" w:cs="仿宋_GB2312"/>
                <w:sz w:val="21"/>
                <w:szCs w:val="21"/>
              </w:rPr>
            </w:pPr>
            <w:r>
              <w:rPr>
                <w:rFonts w:hint="eastAsia" w:ascii="宋体" w:hAnsi="宋体" w:cs="仿宋_GB2312"/>
                <w:sz w:val="21"/>
                <w:szCs w:val="21"/>
              </w:rPr>
              <w:t>喷涂部位：仅喷涂车架，包含纵梁、横梁、尾梁的翼面及腹面，零部件覆盖车架的区域表面（含以上部位的紧固螺栓）。</w:t>
            </w:r>
          </w:p>
          <w:p w14:paraId="3A7BC4D3">
            <w:pPr>
              <w:numPr>
                <w:ilvl w:val="0"/>
                <w:numId w:val="31"/>
              </w:numPr>
              <w:jc w:val="left"/>
              <w:rPr>
                <w:rFonts w:hint="eastAsia" w:ascii="宋体" w:hAnsi="宋体" w:cs="仿宋_GB2312"/>
                <w:sz w:val="21"/>
                <w:szCs w:val="21"/>
              </w:rPr>
            </w:pPr>
            <w:r>
              <w:rPr>
                <w:rFonts w:hint="eastAsia" w:ascii="宋体" w:hAnsi="宋体" w:cs="仿宋_GB2312"/>
                <w:sz w:val="21"/>
                <w:szCs w:val="21"/>
              </w:rPr>
              <w:t>喷涂过程：喷漆工2人，一左一右，喷涂车架按照从前到后、先下后上的顺序，在待喷涂表面均匀喷涂1遍聚脲清漆，在尾梁交汇，2人均需喷涂尾梁，重复以上操作，再喷涂1遍聚脲清漆。</w:t>
            </w:r>
          </w:p>
        </w:tc>
      </w:tr>
      <w:tr w14:paraId="7638968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675" w:type="dxa"/>
            <w:shd w:val="clear" w:color="auto" w:fill="FFFFFF"/>
            <w:vAlign w:val="center"/>
          </w:tcPr>
          <w:p w14:paraId="1A62B62C">
            <w:pPr>
              <w:spacing w:line="360" w:lineRule="exact"/>
              <w:jc w:val="center"/>
              <w:rPr>
                <w:rFonts w:hint="eastAsia" w:ascii="宋体" w:hAnsi="宋体"/>
                <w:kern w:val="0"/>
                <w:sz w:val="21"/>
                <w:szCs w:val="21"/>
              </w:rPr>
            </w:pPr>
            <w:r>
              <w:rPr>
                <w:rFonts w:hint="eastAsia" w:ascii="宋体" w:hAnsi="宋体"/>
                <w:kern w:val="0"/>
                <w:sz w:val="21"/>
                <w:szCs w:val="21"/>
              </w:rPr>
              <w:t>5</w:t>
            </w:r>
          </w:p>
        </w:tc>
        <w:tc>
          <w:tcPr>
            <w:tcW w:w="1218" w:type="dxa"/>
            <w:shd w:val="clear" w:color="auto" w:fill="FFFFFF"/>
            <w:vAlign w:val="center"/>
          </w:tcPr>
          <w:p w14:paraId="57F37F7D">
            <w:pPr>
              <w:spacing w:line="360" w:lineRule="exact"/>
              <w:jc w:val="center"/>
              <w:rPr>
                <w:rFonts w:hint="eastAsia" w:ascii="宋体" w:hAnsi="宋体" w:cs="仿宋_GB2312"/>
                <w:sz w:val="21"/>
                <w:szCs w:val="21"/>
              </w:rPr>
            </w:pPr>
            <w:r>
              <w:rPr>
                <w:rFonts w:hint="eastAsia" w:ascii="宋体" w:hAnsi="宋体" w:cs="仿宋_GB2312"/>
                <w:sz w:val="21"/>
                <w:szCs w:val="21"/>
              </w:rPr>
              <w:t>晾干</w:t>
            </w:r>
          </w:p>
        </w:tc>
        <w:tc>
          <w:tcPr>
            <w:tcW w:w="6482" w:type="dxa"/>
            <w:shd w:val="clear" w:color="auto" w:fill="FFFFFF"/>
          </w:tcPr>
          <w:p w14:paraId="336EBF85">
            <w:pPr>
              <w:jc w:val="left"/>
              <w:rPr>
                <w:rFonts w:hint="eastAsia" w:ascii="宋体" w:hAnsi="宋体" w:cs="仿宋_GB2312"/>
                <w:sz w:val="21"/>
                <w:szCs w:val="21"/>
              </w:rPr>
            </w:pPr>
            <w:r>
              <w:rPr>
                <w:rFonts w:hint="eastAsia" w:ascii="宋体" w:hAnsi="宋体" w:cs="仿宋_GB2312"/>
                <w:sz w:val="21"/>
                <w:szCs w:val="21"/>
              </w:rPr>
              <w:t>（1）聚脲清漆需晾干30分钟，晾干过程中不得触摸已喷涂表面；晾干后可进行淋雨检漏。</w:t>
            </w:r>
          </w:p>
          <w:p w14:paraId="3AB61461">
            <w:pPr>
              <w:jc w:val="left"/>
              <w:rPr>
                <w:rFonts w:hint="eastAsia" w:ascii="宋体" w:hAnsi="宋体"/>
                <w:kern w:val="0"/>
                <w:sz w:val="21"/>
                <w:szCs w:val="21"/>
              </w:rPr>
            </w:pPr>
            <w:r>
              <w:rPr>
                <w:rFonts w:hint="eastAsia" w:ascii="宋体" w:hAnsi="宋体" w:cs="仿宋_GB2312"/>
                <w:sz w:val="21"/>
                <w:szCs w:val="21"/>
              </w:rPr>
              <w:t>（2）雨雪天、扬尘环境下不应露天晾干。</w:t>
            </w:r>
          </w:p>
        </w:tc>
      </w:tr>
      <w:tr w14:paraId="3ECF6B8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675" w:type="dxa"/>
            <w:shd w:val="clear" w:color="auto" w:fill="FFFFFF"/>
            <w:vAlign w:val="center"/>
          </w:tcPr>
          <w:p w14:paraId="73F33884">
            <w:pPr>
              <w:spacing w:line="360" w:lineRule="exact"/>
              <w:jc w:val="center"/>
              <w:rPr>
                <w:rFonts w:ascii="宋体" w:hAnsi="宋体"/>
                <w:kern w:val="0"/>
                <w:sz w:val="21"/>
                <w:szCs w:val="21"/>
              </w:rPr>
            </w:pPr>
            <w:r>
              <w:rPr>
                <w:rFonts w:hint="eastAsia" w:ascii="宋体" w:hAnsi="宋体"/>
                <w:kern w:val="0"/>
                <w:sz w:val="21"/>
                <w:szCs w:val="21"/>
              </w:rPr>
              <w:t>6</w:t>
            </w:r>
          </w:p>
        </w:tc>
        <w:tc>
          <w:tcPr>
            <w:tcW w:w="1218" w:type="dxa"/>
            <w:shd w:val="clear" w:color="auto" w:fill="FFFFFF"/>
            <w:vAlign w:val="center"/>
          </w:tcPr>
          <w:p w14:paraId="54CC15D0">
            <w:pPr>
              <w:spacing w:line="360" w:lineRule="exact"/>
              <w:jc w:val="center"/>
              <w:rPr>
                <w:rFonts w:hint="eastAsia" w:ascii="宋体" w:hAnsi="宋体"/>
                <w:kern w:val="0"/>
                <w:sz w:val="21"/>
                <w:szCs w:val="21"/>
              </w:rPr>
            </w:pPr>
            <w:r>
              <w:rPr>
                <w:rFonts w:hint="eastAsia" w:ascii="宋体" w:hAnsi="宋体"/>
                <w:kern w:val="0"/>
                <w:sz w:val="21"/>
                <w:szCs w:val="21"/>
              </w:rPr>
              <w:t>检查</w:t>
            </w:r>
          </w:p>
        </w:tc>
        <w:tc>
          <w:tcPr>
            <w:tcW w:w="6482" w:type="dxa"/>
            <w:shd w:val="clear" w:color="auto" w:fill="FFFFFF"/>
          </w:tcPr>
          <w:p w14:paraId="346DC220">
            <w:pPr>
              <w:spacing w:line="360" w:lineRule="exact"/>
              <w:jc w:val="left"/>
              <w:rPr>
                <w:rFonts w:hint="eastAsia" w:ascii="宋体" w:hAnsi="宋体"/>
                <w:kern w:val="0"/>
                <w:sz w:val="21"/>
                <w:szCs w:val="21"/>
              </w:rPr>
            </w:pPr>
            <w:r>
              <w:rPr>
                <w:rFonts w:hint="eastAsia" w:ascii="宋体" w:hAnsi="宋体"/>
                <w:kern w:val="0"/>
                <w:sz w:val="21"/>
                <w:szCs w:val="21"/>
              </w:rPr>
              <w:t>（1）外观检查：</w:t>
            </w:r>
          </w:p>
          <w:p w14:paraId="71BD1F3D">
            <w:pPr>
              <w:spacing w:line="360" w:lineRule="exact"/>
              <w:jc w:val="left"/>
              <w:rPr>
                <w:rFonts w:hint="eastAsia" w:ascii="宋体" w:hAnsi="宋体"/>
                <w:kern w:val="0"/>
                <w:sz w:val="21"/>
                <w:szCs w:val="21"/>
              </w:rPr>
            </w:pPr>
            <w:r>
              <w:rPr>
                <w:rFonts w:hint="eastAsia" w:ascii="宋体" w:hAnsi="宋体"/>
                <w:kern w:val="0"/>
                <w:sz w:val="21"/>
                <w:szCs w:val="21"/>
              </w:rPr>
              <w:t>检查员绕车架检查一周，要求喷涂部位漆膜连续、均匀，A区无明显的漏喷、虚漆、流淌、气泡及其他漆膜缺陷。100％检查并记录。</w:t>
            </w:r>
          </w:p>
          <w:p w14:paraId="7F644A49">
            <w:pPr>
              <w:spacing w:line="360" w:lineRule="exact"/>
              <w:jc w:val="left"/>
              <w:rPr>
                <w:rFonts w:hint="eastAsia" w:ascii="宋体" w:hAnsi="宋体"/>
                <w:kern w:val="0"/>
                <w:sz w:val="21"/>
                <w:szCs w:val="21"/>
              </w:rPr>
            </w:pPr>
            <w:r>
              <w:rPr>
                <w:rFonts w:hint="eastAsia" w:ascii="宋体" w:hAnsi="宋体"/>
                <w:kern w:val="0"/>
                <w:sz w:val="21"/>
                <w:szCs w:val="21"/>
              </w:rPr>
              <w:t>（2）漆膜厚度：10％抽检并记录。</w:t>
            </w:r>
          </w:p>
          <w:p w14:paraId="4582DEB6">
            <w:pPr>
              <w:spacing w:line="360" w:lineRule="exact"/>
              <w:jc w:val="left"/>
              <w:rPr>
                <w:rFonts w:hint="eastAsia" w:ascii="宋体" w:hAnsi="宋体"/>
                <w:kern w:val="0"/>
                <w:sz w:val="21"/>
                <w:szCs w:val="21"/>
              </w:rPr>
            </w:pPr>
            <w:r>
              <w:rPr>
                <w:rFonts w:hint="eastAsia" w:ascii="宋体" w:hAnsi="宋体"/>
                <w:kern w:val="0"/>
                <w:sz w:val="21"/>
                <w:szCs w:val="21"/>
              </w:rPr>
              <w:t>A区：车架外表面，涂层总厚度≥65μm。</w:t>
            </w:r>
          </w:p>
          <w:p w14:paraId="48A6C043">
            <w:pPr>
              <w:spacing w:line="360" w:lineRule="exact"/>
              <w:jc w:val="left"/>
              <w:rPr>
                <w:rFonts w:hint="eastAsia" w:ascii="宋体" w:hAnsi="宋体"/>
                <w:kern w:val="0"/>
                <w:sz w:val="21"/>
                <w:szCs w:val="21"/>
              </w:rPr>
            </w:pPr>
            <w:r>
              <w:rPr>
                <w:rFonts w:hint="eastAsia" w:ascii="宋体" w:hAnsi="宋体"/>
                <w:kern w:val="0"/>
                <w:sz w:val="21"/>
                <w:szCs w:val="21"/>
              </w:rPr>
              <w:t>B区：车架内表面及下翼面，漆膜连续，膜厚≥40μm。</w:t>
            </w:r>
          </w:p>
          <w:p w14:paraId="402AA381">
            <w:pPr>
              <w:spacing w:line="360" w:lineRule="exact"/>
              <w:jc w:val="left"/>
              <w:rPr>
                <w:rFonts w:hint="eastAsia" w:ascii="宋体" w:hAnsi="宋体"/>
                <w:kern w:val="0"/>
                <w:sz w:val="21"/>
                <w:szCs w:val="21"/>
              </w:rPr>
            </w:pPr>
            <w:r>
              <w:rPr>
                <w:rFonts w:hint="eastAsia" w:ascii="宋体" w:hAnsi="宋体"/>
                <w:kern w:val="0"/>
                <w:sz w:val="21"/>
                <w:szCs w:val="21"/>
              </w:rPr>
              <w:t>（3）附着力及硬度漆膜附着力≤1级，硬度≥HB，车架电泳板喷涂测定，每天1次。</w:t>
            </w:r>
          </w:p>
        </w:tc>
      </w:tr>
      <w:tr w14:paraId="4F13616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675" w:type="dxa"/>
            <w:shd w:val="clear" w:color="auto" w:fill="FFFFFF"/>
            <w:vAlign w:val="center"/>
          </w:tcPr>
          <w:p w14:paraId="365DB1FA">
            <w:pPr>
              <w:spacing w:line="360" w:lineRule="exact"/>
              <w:jc w:val="center"/>
              <w:rPr>
                <w:rFonts w:hint="eastAsia" w:ascii="宋体" w:hAnsi="宋体"/>
                <w:kern w:val="0"/>
                <w:sz w:val="21"/>
                <w:szCs w:val="21"/>
              </w:rPr>
            </w:pPr>
            <w:r>
              <w:rPr>
                <w:rFonts w:hint="eastAsia" w:ascii="宋体" w:hAnsi="宋体"/>
                <w:kern w:val="0"/>
                <w:sz w:val="21"/>
                <w:szCs w:val="21"/>
              </w:rPr>
              <w:t>7</w:t>
            </w:r>
          </w:p>
        </w:tc>
        <w:tc>
          <w:tcPr>
            <w:tcW w:w="1218" w:type="dxa"/>
            <w:shd w:val="clear" w:color="auto" w:fill="FFFFFF"/>
            <w:vAlign w:val="center"/>
          </w:tcPr>
          <w:p w14:paraId="43818EAC">
            <w:pPr>
              <w:spacing w:line="360" w:lineRule="exact"/>
              <w:jc w:val="center"/>
              <w:rPr>
                <w:rFonts w:hint="eastAsia" w:ascii="宋体" w:hAnsi="宋体"/>
                <w:kern w:val="0"/>
                <w:sz w:val="21"/>
                <w:szCs w:val="21"/>
              </w:rPr>
            </w:pPr>
            <w:r>
              <w:rPr>
                <w:rFonts w:hint="eastAsia" w:ascii="宋体" w:hAnsi="宋体"/>
                <w:kern w:val="0"/>
                <w:sz w:val="21"/>
                <w:szCs w:val="21"/>
              </w:rPr>
              <w:t>质量控制</w:t>
            </w:r>
          </w:p>
        </w:tc>
        <w:tc>
          <w:tcPr>
            <w:tcW w:w="6482" w:type="dxa"/>
            <w:shd w:val="clear" w:color="auto" w:fill="FFFFFF"/>
          </w:tcPr>
          <w:p w14:paraId="5C4B47EE">
            <w:pPr>
              <w:spacing w:line="360" w:lineRule="exact"/>
              <w:jc w:val="left"/>
              <w:rPr>
                <w:rFonts w:hint="eastAsia" w:ascii="宋体" w:hAnsi="宋体"/>
                <w:kern w:val="0"/>
                <w:sz w:val="21"/>
                <w:szCs w:val="21"/>
              </w:rPr>
            </w:pPr>
            <w:r>
              <w:rPr>
                <w:rFonts w:hint="eastAsia" w:ascii="宋体" w:hAnsi="宋体"/>
                <w:kern w:val="0"/>
                <w:sz w:val="21"/>
                <w:szCs w:val="21"/>
              </w:rPr>
              <w:t>严格按照操作规程、工艺要求进行操作。负责通过质量管理活动不断提高全体员工的质量意识，制定完善的施工工艺、检验制度和考核制度，主动采取质量预防措施，及时发现质量问题并及时纠正。如果发生质量事故，应及时查明原因，制订解决方案，并以书面形式报告，并按商定的处理方案实施。详情见装配过程工艺卡片。</w:t>
            </w:r>
          </w:p>
        </w:tc>
      </w:tr>
      <w:tr w14:paraId="7DC2FC2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675" w:type="dxa"/>
            <w:shd w:val="clear" w:color="auto" w:fill="FFFFFF"/>
            <w:vAlign w:val="center"/>
          </w:tcPr>
          <w:p w14:paraId="358DAF59">
            <w:pPr>
              <w:spacing w:line="360" w:lineRule="exact"/>
              <w:jc w:val="center"/>
              <w:rPr>
                <w:rFonts w:hint="eastAsia" w:ascii="宋体" w:hAnsi="宋体"/>
                <w:kern w:val="0"/>
                <w:sz w:val="21"/>
                <w:szCs w:val="21"/>
              </w:rPr>
            </w:pPr>
            <w:r>
              <w:rPr>
                <w:rFonts w:hint="eastAsia" w:ascii="宋体" w:hAnsi="宋体"/>
                <w:kern w:val="0"/>
                <w:sz w:val="21"/>
                <w:szCs w:val="21"/>
              </w:rPr>
              <w:t>8</w:t>
            </w:r>
          </w:p>
        </w:tc>
        <w:tc>
          <w:tcPr>
            <w:tcW w:w="1218" w:type="dxa"/>
            <w:shd w:val="clear" w:color="auto" w:fill="FFFFFF"/>
            <w:vAlign w:val="center"/>
          </w:tcPr>
          <w:p w14:paraId="178CC2E0">
            <w:pPr>
              <w:spacing w:line="360" w:lineRule="exact"/>
              <w:jc w:val="center"/>
              <w:rPr>
                <w:rFonts w:ascii="宋体" w:hAnsi="宋体"/>
                <w:kern w:val="0"/>
                <w:sz w:val="21"/>
                <w:szCs w:val="21"/>
              </w:rPr>
            </w:pPr>
            <w:r>
              <w:rPr>
                <w:rFonts w:hint="eastAsia" w:ascii="宋体" w:hAnsi="宋体"/>
                <w:kern w:val="0"/>
                <w:sz w:val="21"/>
                <w:szCs w:val="21"/>
              </w:rPr>
              <w:t>管理方面</w:t>
            </w:r>
          </w:p>
        </w:tc>
        <w:tc>
          <w:tcPr>
            <w:tcW w:w="6482" w:type="dxa"/>
            <w:shd w:val="clear" w:color="auto" w:fill="FFFFFF"/>
          </w:tcPr>
          <w:p w14:paraId="0E1CC12D">
            <w:pPr>
              <w:spacing w:line="360" w:lineRule="exact"/>
              <w:jc w:val="left"/>
              <w:rPr>
                <w:rFonts w:hint="eastAsia" w:ascii="宋体" w:hAnsi="宋体"/>
                <w:kern w:val="0"/>
                <w:sz w:val="21"/>
                <w:szCs w:val="21"/>
              </w:rPr>
            </w:pPr>
            <w:r>
              <w:rPr>
                <w:rFonts w:hint="eastAsia" w:ascii="宋体" w:hAnsi="宋体"/>
                <w:kern w:val="0"/>
                <w:sz w:val="21"/>
                <w:szCs w:val="21"/>
              </w:rPr>
              <w:t>签订安全、环保协议，明确双方安全、环保责任与义务；操作人员在卡车公司厂区作业时严格遵守各项管理制度。</w:t>
            </w:r>
          </w:p>
          <w:p w14:paraId="002B9EDD">
            <w:pPr>
              <w:spacing w:line="360" w:lineRule="exact"/>
              <w:jc w:val="left"/>
              <w:rPr>
                <w:rFonts w:ascii="宋体" w:hAnsi="宋体"/>
                <w:kern w:val="0"/>
                <w:sz w:val="21"/>
                <w:szCs w:val="21"/>
              </w:rPr>
            </w:pPr>
            <w:r>
              <w:rPr>
                <w:rFonts w:hint="eastAsia" w:ascii="宋体" w:hAnsi="宋体"/>
                <w:kern w:val="0"/>
                <w:sz w:val="21"/>
                <w:szCs w:val="21"/>
              </w:rPr>
              <w:t>不得违章作业等，库区内严禁吸烟、开车拨打电话。</w:t>
            </w:r>
          </w:p>
          <w:p w14:paraId="247A2AA7">
            <w:pPr>
              <w:spacing w:line="360" w:lineRule="exact"/>
              <w:jc w:val="left"/>
              <w:rPr>
                <w:rFonts w:ascii="宋体" w:hAnsi="宋体"/>
                <w:kern w:val="0"/>
                <w:sz w:val="21"/>
                <w:szCs w:val="21"/>
              </w:rPr>
            </w:pPr>
            <w:r>
              <w:rPr>
                <w:rFonts w:hint="eastAsia" w:ascii="宋体" w:hAnsi="宋体"/>
                <w:kern w:val="0"/>
                <w:sz w:val="21"/>
                <w:szCs w:val="21"/>
              </w:rPr>
              <w:t>做好设备日常维护保养，交接班等，设备出现故障应及时维修，确保设备完好率≥95%，正常作业。</w:t>
            </w:r>
          </w:p>
        </w:tc>
      </w:tr>
    </w:tbl>
    <w:p w14:paraId="3C4FF780">
      <w:pPr>
        <w:spacing w:line="480" w:lineRule="exact"/>
        <w:jc w:val="left"/>
        <w:rPr>
          <w:rStyle w:val="69"/>
          <w:rFonts w:hint="eastAsia"/>
          <w:sz w:val="24"/>
        </w:rPr>
      </w:pPr>
    </w:p>
    <w:p w14:paraId="62D6BE3E">
      <w:pPr>
        <w:spacing w:line="480" w:lineRule="exact"/>
        <w:ind w:firstLine="480"/>
        <w:jc w:val="left"/>
        <w:rPr>
          <w:rStyle w:val="69"/>
          <w:rFonts w:hint="eastAsia"/>
          <w:sz w:val="24"/>
        </w:rPr>
      </w:pPr>
      <w:r>
        <w:rPr>
          <w:rStyle w:val="69"/>
          <w:rFonts w:hint="eastAsia"/>
          <w:sz w:val="24"/>
        </w:rPr>
        <w:t>（二）业务量与软硬件配置及相关说明</w:t>
      </w:r>
    </w:p>
    <w:p w14:paraId="634D3B12">
      <w:pPr>
        <w:spacing w:line="480" w:lineRule="exact"/>
        <w:ind w:firstLine="480"/>
        <w:jc w:val="left"/>
        <w:rPr>
          <w:rStyle w:val="69"/>
          <w:rFonts w:eastAsia="宋体"/>
          <w:sz w:val="24"/>
          <w:highlight w:val="yellow"/>
        </w:rPr>
      </w:pPr>
      <w:r>
        <w:rPr>
          <w:rStyle w:val="69"/>
          <w:rFonts w:hint="eastAsia"/>
          <w:sz w:val="24"/>
          <w:highlight w:val="yellow"/>
        </w:rPr>
        <w:t>1、</w:t>
      </w:r>
      <w:r>
        <w:rPr>
          <w:rStyle w:val="69"/>
          <w:rFonts w:hint="eastAsia" w:eastAsia="宋体"/>
          <w:sz w:val="24"/>
          <w:highlight w:val="yellow"/>
        </w:rPr>
        <w:t>该项目包括卡车公司党家庄厂区、绵阳厂区；</w:t>
      </w:r>
    </w:p>
    <w:p w14:paraId="4F67AF0D">
      <w:pPr>
        <w:spacing w:line="480" w:lineRule="exact"/>
        <w:ind w:firstLine="480"/>
        <w:jc w:val="left"/>
        <w:rPr>
          <w:rStyle w:val="69"/>
          <w:rFonts w:hint="eastAsia"/>
          <w:sz w:val="24"/>
          <w:highlight w:val="yellow"/>
        </w:rPr>
      </w:pPr>
      <w:r>
        <w:rPr>
          <w:rStyle w:val="69"/>
          <w:rFonts w:hint="eastAsia" w:eastAsia="宋体"/>
          <w:sz w:val="24"/>
          <w:highlight w:val="yellow"/>
        </w:rPr>
        <w:t>2、预计产量50480辆份（党家庄厂区36050辆份、绵阳厂区14430辆份）</w:t>
      </w:r>
    </w:p>
    <w:p w14:paraId="24E0069F">
      <w:pPr>
        <w:numPr>
          <w:ilvl w:val="0"/>
          <w:numId w:val="32"/>
        </w:numPr>
        <w:spacing w:line="480" w:lineRule="exact"/>
        <w:ind w:firstLine="480"/>
        <w:jc w:val="left"/>
        <w:rPr>
          <w:rFonts w:hint="eastAsia" w:ascii="宋体" w:hAnsi="宋体"/>
        </w:rPr>
      </w:pPr>
      <w:r>
        <w:rPr>
          <w:rFonts w:hint="eastAsia" w:ascii="宋体" w:hAnsi="宋体"/>
        </w:rPr>
        <w:t>业务运行预计配置的软硬件</w:t>
      </w:r>
    </w:p>
    <w:p w14:paraId="416AB683">
      <w:pPr>
        <w:numPr>
          <w:ilvl w:val="0"/>
          <w:numId w:val="32"/>
        </w:numPr>
        <w:spacing w:line="480" w:lineRule="exact"/>
        <w:ind w:firstLine="480"/>
        <w:jc w:val="left"/>
        <w:rPr>
          <w:rFonts w:hint="eastAsia" w:ascii="宋体" w:hAnsi="宋体"/>
        </w:rPr>
      </w:pPr>
    </w:p>
    <w:tbl>
      <w:tblPr>
        <w:tblStyle w:val="30"/>
        <w:tblW w:w="0" w:type="auto"/>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108" w:type="dxa"/>
          <w:bottom w:w="0" w:type="dxa"/>
          <w:right w:w="108" w:type="dxa"/>
        </w:tblCellMar>
      </w:tblPr>
      <w:tblGrid>
        <w:gridCol w:w="675"/>
        <w:gridCol w:w="1595"/>
        <w:gridCol w:w="6011"/>
      </w:tblGrid>
      <w:tr w14:paraId="662C1DC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675" w:type="dxa"/>
            <w:vAlign w:val="center"/>
          </w:tcPr>
          <w:p w14:paraId="35E894A2">
            <w:pPr>
              <w:spacing w:line="360" w:lineRule="exact"/>
              <w:jc w:val="center"/>
              <w:rPr>
                <w:rFonts w:ascii="宋体" w:hAnsi="宋体"/>
                <w:kern w:val="0"/>
                <w:sz w:val="21"/>
                <w:szCs w:val="21"/>
              </w:rPr>
            </w:pPr>
            <w:r>
              <w:rPr>
                <w:rFonts w:hint="eastAsia" w:ascii="宋体" w:hAnsi="宋体"/>
                <w:kern w:val="0"/>
                <w:sz w:val="21"/>
                <w:szCs w:val="21"/>
              </w:rPr>
              <w:t>序号</w:t>
            </w:r>
          </w:p>
        </w:tc>
        <w:tc>
          <w:tcPr>
            <w:tcW w:w="1595" w:type="dxa"/>
            <w:vAlign w:val="center"/>
          </w:tcPr>
          <w:p w14:paraId="369AEAE9">
            <w:pPr>
              <w:spacing w:line="360" w:lineRule="exact"/>
              <w:jc w:val="center"/>
              <w:rPr>
                <w:rFonts w:ascii="宋体" w:hAnsi="宋体"/>
                <w:kern w:val="0"/>
                <w:sz w:val="21"/>
                <w:szCs w:val="21"/>
              </w:rPr>
            </w:pPr>
            <w:r>
              <w:rPr>
                <w:rFonts w:hint="eastAsia" w:ascii="宋体" w:hAnsi="宋体"/>
                <w:kern w:val="0"/>
                <w:sz w:val="21"/>
                <w:szCs w:val="21"/>
              </w:rPr>
              <w:t>配置项目</w:t>
            </w:r>
          </w:p>
        </w:tc>
        <w:tc>
          <w:tcPr>
            <w:tcW w:w="6011" w:type="dxa"/>
            <w:vAlign w:val="center"/>
          </w:tcPr>
          <w:p w14:paraId="7032C13C">
            <w:pPr>
              <w:spacing w:line="360" w:lineRule="exact"/>
              <w:jc w:val="center"/>
              <w:rPr>
                <w:rFonts w:ascii="宋体" w:hAnsi="宋体"/>
                <w:kern w:val="0"/>
                <w:sz w:val="21"/>
                <w:szCs w:val="21"/>
              </w:rPr>
            </w:pPr>
            <w:r>
              <w:rPr>
                <w:rFonts w:hint="eastAsia" w:ascii="宋体" w:hAnsi="宋体"/>
                <w:kern w:val="0"/>
                <w:sz w:val="21"/>
                <w:szCs w:val="21"/>
              </w:rPr>
              <w:t>配置明细说明</w:t>
            </w:r>
          </w:p>
        </w:tc>
      </w:tr>
      <w:tr w14:paraId="4D1170F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675" w:type="dxa"/>
            <w:vAlign w:val="center"/>
          </w:tcPr>
          <w:p w14:paraId="457EFBE3">
            <w:pPr>
              <w:spacing w:line="360" w:lineRule="exact"/>
              <w:jc w:val="center"/>
              <w:rPr>
                <w:rFonts w:hint="eastAsia" w:ascii="宋体" w:hAnsi="宋体"/>
                <w:kern w:val="0"/>
                <w:sz w:val="21"/>
                <w:szCs w:val="21"/>
              </w:rPr>
            </w:pPr>
            <w:r>
              <w:rPr>
                <w:rFonts w:hint="eastAsia" w:ascii="宋体" w:hAnsi="宋体"/>
                <w:kern w:val="0"/>
                <w:sz w:val="21"/>
                <w:szCs w:val="21"/>
              </w:rPr>
              <w:t>1</w:t>
            </w:r>
          </w:p>
        </w:tc>
        <w:tc>
          <w:tcPr>
            <w:tcW w:w="1595" w:type="dxa"/>
            <w:vAlign w:val="center"/>
          </w:tcPr>
          <w:p w14:paraId="33920DD4">
            <w:pPr>
              <w:spacing w:line="360" w:lineRule="exact"/>
              <w:jc w:val="center"/>
              <w:rPr>
                <w:rFonts w:hint="eastAsia" w:ascii="宋体" w:hAnsi="宋体"/>
                <w:kern w:val="0"/>
                <w:sz w:val="21"/>
                <w:szCs w:val="21"/>
              </w:rPr>
            </w:pPr>
            <w:r>
              <w:rPr>
                <w:rFonts w:hint="eastAsia" w:ascii="宋体" w:hAnsi="宋体"/>
                <w:kern w:val="0"/>
                <w:sz w:val="21"/>
                <w:szCs w:val="21"/>
              </w:rPr>
              <w:t>人员</w:t>
            </w:r>
          </w:p>
        </w:tc>
        <w:tc>
          <w:tcPr>
            <w:tcW w:w="6011" w:type="dxa"/>
            <w:vAlign w:val="center"/>
          </w:tcPr>
          <w:p w14:paraId="05295A1B">
            <w:pPr>
              <w:spacing w:line="360" w:lineRule="exact"/>
              <w:jc w:val="left"/>
              <w:rPr>
                <w:rFonts w:hint="eastAsia" w:ascii="宋体" w:hAnsi="宋体"/>
                <w:kern w:val="0"/>
                <w:sz w:val="21"/>
                <w:szCs w:val="21"/>
              </w:rPr>
            </w:pPr>
            <w:r>
              <w:rPr>
                <w:rFonts w:ascii="宋体" w:hAnsi="宋体"/>
                <w:kern w:val="0"/>
                <w:sz w:val="21"/>
                <w:szCs w:val="21"/>
              </w:rPr>
              <w:t>a</w:t>
            </w:r>
            <w:r>
              <w:rPr>
                <w:rFonts w:hint="eastAsia" w:ascii="宋体" w:hAnsi="宋体"/>
                <w:kern w:val="0"/>
                <w:sz w:val="21"/>
                <w:szCs w:val="21"/>
              </w:rPr>
              <w:t>）人员配置数量、组织架构设置满足作业需求，单班不得少于6人。</w:t>
            </w:r>
          </w:p>
          <w:p w14:paraId="1E727A5A">
            <w:pPr>
              <w:spacing w:line="360" w:lineRule="exact"/>
              <w:jc w:val="left"/>
              <w:rPr>
                <w:rFonts w:hint="eastAsia" w:ascii="宋体" w:hAnsi="宋体"/>
                <w:kern w:val="0"/>
                <w:sz w:val="21"/>
                <w:szCs w:val="21"/>
              </w:rPr>
            </w:pPr>
            <w:r>
              <w:rPr>
                <w:rFonts w:hint="eastAsia" w:ascii="宋体" w:hAnsi="宋体"/>
                <w:kern w:val="0"/>
                <w:sz w:val="21"/>
                <w:szCs w:val="21"/>
              </w:rPr>
              <w:t>b）特殊岗位人员须经过培训并取得相应资质，持证上岗。</w:t>
            </w:r>
          </w:p>
          <w:p w14:paraId="28CC9F8B">
            <w:pPr>
              <w:spacing w:line="360" w:lineRule="exact"/>
              <w:jc w:val="left"/>
              <w:rPr>
                <w:rFonts w:ascii="宋体" w:hAnsi="宋体"/>
                <w:kern w:val="0"/>
                <w:sz w:val="21"/>
                <w:szCs w:val="21"/>
              </w:rPr>
            </w:pPr>
            <w:r>
              <w:rPr>
                <w:rFonts w:ascii="宋体" w:hAnsi="宋体"/>
                <w:kern w:val="0"/>
                <w:sz w:val="21"/>
                <w:szCs w:val="21"/>
              </w:rPr>
              <w:t>C</w:t>
            </w:r>
            <w:r>
              <w:rPr>
                <w:rFonts w:hint="eastAsia" w:ascii="宋体" w:hAnsi="宋体"/>
                <w:kern w:val="0"/>
                <w:sz w:val="21"/>
                <w:szCs w:val="21"/>
              </w:rPr>
              <w:t>）作业人员需经安全教育培训考核合格后，方可上岗作业。</w:t>
            </w:r>
          </w:p>
        </w:tc>
      </w:tr>
      <w:tr w14:paraId="60E338D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675" w:type="dxa"/>
            <w:vAlign w:val="center"/>
          </w:tcPr>
          <w:p w14:paraId="31276290">
            <w:pPr>
              <w:spacing w:line="360" w:lineRule="exact"/>
              <w:jc w:val="center"/>
              <w:rPr>
                <w:rFonts w:hint="eastAsia" w:ascii="宋体" w:hAnsi="宋体"/>
                <w:kern w:val="0"/>
                <w:sz w:val="21"/>
                <w:szCs w:val="21"/>
              </w:rPr>
            </w:pPr>
            <w:r>
              <w:rPr>
                <w:rFonts w:hint="eastAsia" w:ascii="宋体" w:hAnsi="宋体"/>
                <w:kern w:val="0"/>
                <w:sz w:val="21"/>
                <w:szCs w:val="21"/>
              </w:rPr>
              <w:t>2</w:t>
            </w:r>
          </w:p>
        </w:tc>
        <w:tc>
          <w:tcPr>
            <w:tcW w:w="1595" w:type="dxa"/>
            <w:vAlign w:val="center"/>
          </w:tcPr>
          <w:p w14:paraId="4EFCF5F2">
            <w:pPr>
              <w:spacing w:line="360" w:lineRule="exact"/>
              <w:jc w:val="center"/>
              <w:rPr>
                <w:rFonts w:hint="eastAsia" w:ascii="宋体" w:hAnsi="宋体"/>
                <w:kern w:val="0"/>
                <w:sz w:val="21"/>
                <w:szCs w:val="21"/>
              </w:rPr>
            </w:pPr>
            <w:r>
              <w:rPr>
                <w:rFonts w:hint="eastAsia" w:ascii="宋体" w:hAnsi="宋体"/>
                <w:kern w:val="0"/>
                <w:sz w:val="21"/>
                <w:szCs w:val="21"/>
              </w:rPr>
              <w:t>设备/工具</w:t>
            </w:r>
          </w:p>
        </w:tc>
        <w:tc>
          <w:tcPr>
            <w:tcW w:w="6011" w:type="dxa"/>
            <w:vAlign w:val="center"/>
          </w:tcPr>
          <w:p w14:paraId="59741144">
            <w:pPr>
              <w:spacing w:line="360" w:lineRule="exact"/>
              <w:jc w:val="left"/>
              <w:rPr>
                <w:rFonts w:ascii="宋体" w:hAnsi="宋体"/>
                <w:kern w:val="0"/>
                <w:sz w:val="21"/>
                <w:szCs w:val="21"/>
              </w:rPr>
            </w:pPr>
            <w:r>
              <w:rPr>
                <w:rFonts w:ascii="宋体" w:hAnsi="宋体"/>
                <w:kern w:val="0"/>
                <w:sz w:val="21"/>
                <w:szCs w:val="21"/>
              </w:rPr>
              <w:t>a</w:t>
            </w:r>
            <w:r>
              <w:rPr>
                <w:rFonts w:hint="eastAsia" w:ascii="宋体" w:hAnsi="宋体"/>
                <w:kern w:val="0"/>
                <w:sz w:val="21"/>
                <w:szCs w:val="21"/>
              </w:rPr>
              <w:t>）符合易燃易爆场所的合规喷涂设备、工具。</w:t>
            </w:r>
          </w:p>
          <w:p w14:paraId="54C73B10">
            <w:pPr>
              <w:spacing w:line="360" w:lineRule="exact"/>
              <w:jc w:val="left"/>
              <w:rPr>
                <w:rFonts w:hint="eastAsia" w:ascii="宋体" w:hAnsi="宋体"/>
                <w:kern w:val="0"/>
                <w:sz w:val="21"/>
                <w:szCs w:val="21"/>
              </w:rPr>
            </w:pPr>
            <w:r>
              <w:rPr>
                <w:rFonts w:ascii="宋体" w:hAnsi="宋体"/>
                <w:kern w:val="0"/>
                <w:sz w:val="21"/>
                <w:szCs w:val="21"/>
              </w:rPr>
              <w:t>b</w:t>
            </w:r>
            <w:r>
              <w:rPr>
                <w:rFonts w:hint="eastAsia" w:ascii="宋体" w:hAnsi="宋体"/>
                <w:kern w:val="0"/>
                <w:sz w:val="21"/>
                <w:szCs w:val="21"/>
              </w:rPr>
              <w:t>）以上设备工具由承包方提供。</w:t>
            </w:r>
          </w:p>
          <w:p w14:paraId="7A31BB16">
            <w:pPr>
              <w:spacing w:line="360" w:lineRule="exact"/>
              <w:jc w:val="left"/>
              <w:rPr>
                <w:rFonts w:hint="eastAsia" w:ascii="宋体" w:hAnsi="宋体"/>
                <w:kern w:val="0"/>
                <w:sz w:val="21"/>
                <w:szCs w:val="21"/>
              </w:rPr>
            </w:pPr>
            <w:r>
              <w:rPr>
                <w:rFonts w:hint="eastAsia" w:ascii="宋体" w:hAnsi="宋体"/>
                <w:kern w:val="0"/>
                <w:sz w:val="21"/>
                <w:szCs w:val="21"/>
              </w:rPr>
              <w:t>c）乙方应建立与作业相关的设备设施定期检查、维护、检测检验制度，发现问题及时与甲方沟通联系。</w:t>
            </w:r>
          </w:p>
        </w:tc>
      </w:tr>
      <w:tr w14:paraId="18CF402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675" w:type="dxa"/>
            <w:vAlign w:val="center"/>
          </w:tcPr>
          <w:p w14:paraId="0809A2D9">
            <w:pPr>
              <w:spacing w:line="360" w:lineRule="exact"/>
              <w:jc w:val="center"/>
              <w:rPr>
                <w:rFonts w:ascii="宋体" w:hAnsi="宋体"/>
                <w:kern w:val="0"/>
                <w:sz w:val="21"/>
                <w:szCs w:val="21"/>
              </w:rPr>
            </w:pPr>
            <w:r>
              <w:rPr>
                <w:rFonts w:hint="eastAsia" w:ascii="宋体" w:hAnsi="宋体"/>
                <w:kern w:val="0"/>
                <w:sz w:val="21"/>
                <w:szCs w:val="21"/>
              </w:rPr>
              <w:t>3</w:t>
            </w:r>
          </w:p>
        </w:tc>
        <w:tc>
          <w:tcPr>
            <w:tcW w:w="1595" w:type="dxa"/>
            <w:vAlign w:val="center"/>
          </w:tcPr>
          <w:p w14:paraId="74B91E85">
            <w:pPr>
              <w:spacing w:line="360" w:lineRule="exact"/>
              <w:jc w:val="center"/>
              <w:rPr>
                <w:rFonts w:hint="eastAsia" w:ascii="宋体" w:hAnsi="宋体"/>
                <w:kern w:val="0"/>
                <w:sz w:val="21"/>
                <w:szCs w:val="21"/>
              </w:rPr>
            </w:pPr>
            <w:r>
              <w:rPr>
                <w:rFonts w:hint="eastAsia" w:ascii="宋体" w:hAnsi="宋体"/>
                <w:kern w:val="0"/>
                <w:sz w:val="21"/>
                <w:szCs w:val="21"/>
              </w:rPr>
              <w:t>辅料/能源</w:t>
            </w:r>
          </w:p>
        </w:tc>
        <w:tc>
          <w:tcPr>
            <w:tcW w:w="6011" w:type="dxa"/>
            <w:vAlign w:val="center"/>
          </w:tcPr>
          <w:p w14:paraId="7CD4BD4A">
            <w:pPr>
              <w:pStyle w:val="62"/>
              <w:spacing w:line="360" w:lineRule="exact"/>
              <w:jc w:val="left"/>
              <w:rPr>
                <w:rFonts w:hint="eastAsia" w:ascii="宋体" w:hAnsi="宋体"/>
                <w:kern w:val="0"/>
                <w:szCs w:val="21"/>
              </w:rPr>
            </w:pPr>
            <w:r>
              <w:rPr>
                <w:rFonts w:ascii="宋体" w:hAnsi="宋体"/>
                <w:kern w:val="0"/>
                <w:sz w:val="21"/>
                <w:szCs w:val="21"/>
              </w:rPr>
              <w:t>a</w:t>
            </w:r>
            <w:r>
              <w:rPr>
                <w:rFonts w:hint="eastAsia" w:ascii="宋体" w:hAnsi="宋体"/>
                <w:kern w:val="0"/>
                <w:sz w:val="21"/>
                <w:szCs w:val="21"/>
              </w:rPr>
              <w:t>）</w:t>
            </w:r>
            <w:r>
              <w:rPr>
                <w:rFonts w:hint="eastAsia" w:ascii="宋体" w:hAnsi="宋体"/>
                <w:kern w:val="0"/>
                <w:szCs w:val="21"/>
              </w:rPr>
              <w:t>喷涂材料、辅料由发包方提供，现场只能存放当班量。</w:t>
            </w:r>
          </w:p>
          <w:p w14:paraId="086EAC28">
            <w:pPr>
              <w:pStyle w:val="62"/>
              <w:spacing w:line="360" w:lineRule="exact"/>
              <w:jc w:val="left"/>
              <w:rPr>
                <w:rFonts w:hint="eastAsia" w:ascii="宋体" w:hAnsi="宋体"/>
                <w:kern w:val="0"/>
                <w:szCs w:val="21"/>
              </w:rPr>
            </w:pPr>
            <w:r>
              <w:rPr>
                <w:rFonts w:ascii="宋体" w:hAnsi="宋体"/>
                <w:kern w:val="0"/>
                <w:sz w:val="21"/>
                <w:szCs w:val="21"/>
              </w:rPr>
              <w:t>b</w:t>
            </w:r>
            <w:r>
              <w:rPr>
                <w:rFonts w:hint="eastAsia" w:ascii="宋体" w:hAnsi="宋体"/>
                <w:kern w:val="0"/>
                <w:sz w:val="21"/>
                <w:szCs w:val="21"/>
              </w:rPr>
              <w:t>）</w:t>
            </w:r>
            <w:r>
              <w:rPr>
                <w:rFonts w:hint="eastAsia" w:ascii="宋体" w:hAnsi="宋体"/>
                <w:kern w:val="0"/>
                <w:szCs w:val="21"/>
              </w:rPr>
              <w:t>风水电气等能源由发包方限额提供。</w:t>
            </w:r>
          </w:p>
        </w:tc>
      </w:tr>
      <w:tr w14:paraId="724743A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675" w:type="dxa"/>
            <w:vAlign w:val="center"/>
          </w:tcPr>
          <w:p w14:paraId="61DC751A">
            <w:pPr>
              <w:spacing w:line="360" w:lineRule="exact"/>
              <w:jc w:val="center"/>
              <w:rPr>
                <w:rFonts w:hint="eastAsia" w:ascii="宋体" w:hAnsi="宋体"/>
                <w:kern w:val="0"/>
                <w:sz w:val="21"/>
                <w:szCs w:val="21"/>
              </w:rPr>
            </w:pPr>
            <w:r>
              <w:rPr>
                <w:rFonts w:ascii="宋体" w:hAnsi="宋体"/>
                <w:kern w:val="0"/>
                <w:sz w:val="21"/>
                <w:szCs w:val="21"/>
              </w:rPr>
              <w:t>4</w:t>
            </w:r>
          </w:p>
        </w:tc>
        <w:tc>
          <w:tcPr>
            <w:tcW w:w="1595" w:type="dxa"/>
            <w:vAlign w:val="center"/>
          </w:tcPr>
          <w:p w14:paraId="61853FFC">
            <w:pPr>
              <w:spacing w:line="360" w:lineRule="exact"/>
              <w:jc w:val="center"/>
              <w:rPr>
                <w:rFonts w:hint="eastAsia" w:ascii="宋体" w:hAnsi="宋体"/>
                <w:kern w:val="0"/>
                <w:sz w:val="21"/>
                <w:szCs w:val="21"/>
              </w:rPr>
            </w:pPr>
            <w:r>
              <w:rPr>
                <w:rFonts w:hint="eastAsia" w:ascii="宋体" w:hAnsi="宋体"/>
                <w:kern w:val="0"/>
                <w:sz w:val="21"/>
                <w:szCs w:val="21"/>
              </w:rPr>
              <w:t>劳保用品</w:t>
            </w:r>
          </w:p>
        </w:tc>
        <w:tc>
          <w:tcPr>
            <w:tcW w:w="6011" w:type="dxa"/>
            <w:vAlign w:val="center"/>
          </w:tcPr>
          <w:p w14:paraId="4FF482B5">
            <w:pPr>
              <w:spacing w:line="360" w:lineRule="exact"/>
              <w:jc w:val="left"/>
              <w:rPr>
                <w:rFonts w:hint="eastAsia" w:ascii="宋体" w:hAnsi="宋体"/>
                <w:kern w:val="0"/>
                <w:sz w:val="21"/>
                <w:szCs w:val="21"/>
              </w:rPr>
            </w:pPr>
            <w:r>
              <w:rPr>
                <w:rFonts w:ascii="宋体" w:hAnsi="宋体"/>
                <w:kern w:val="0"/>
                <w:sz w:val="21"/>
                <w:szCs w:val="21"/>
              </w:rPr>
              <w:t>a</w:t>
            </w:r>
            <w:r>
              <w:rPr>
                <w:rFonts w:hint="eastAsia" w:ascii="宋体" w:hAnsi="宋体"/>
                <w:kern w:val="0"/>
                <w:sz w:val="21"/>
                <w:szCs w:val="21"/>
              </w:rPr>
              <w:t>）承包方为现场操作员工提供合规工作服、劳保鞋、手套、工具以及职业卫生防护用品等。</w:t>
            </w:r>
          </w:p>
        </w:tc>
      </w:tr>
      <w:tr w14:paraId="0003332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675" w:type="dxa"/>
            <w:vAlign w:val="center"/>
          </w:tcPr>
          <w:p w14:paraId="32FA4437">
            <w:pPr>
              <w:spacing w:line="360" w:lineRule="exact"/>
              <w:jc w:val="center"/>
              <w:rPr>
                <w:rFonts w:ascii="宋体" w:hAnsi="宋体"/>
                <w:kern w:val="0"/>
                <w:sz w:val="21"/>
                <w:szCs w:val="21"/>
              </w:rPr>
            </w:pPr>
            <w:r>
              <w:rPr>
                <w:rFonts w:hint="eastAsia" w:ascii="宋体" w:hAnsi="宋体"/>
                <w:kern w:val="0"/>
                <w:sz w:val="21"/>
                <w:szCs w:val="21"/>
              </w:rPr>
              <w:t>5</w:t>
            </w:r>
          </w:p>
        </w:tc>
        <w:tc>
          <w:tcPr>
            <w:tcW w:w="1595" w:type="dxa"/>
            <w:vAlign w:val="center"/>
          </w:tcPr>
          <w:p w14:paraId="4617CBD2">
            <w:pPr>
              <w:spacing w:line="360" w:lineRule="exact"/>
              <w:jc w:val="center"/>
              <w:rPr>
                <w:rFonts w:ascii="宋体" w:hAnsi="宋体"/>
                <w:kern w:val="0"/>
                <w:sz w:val="21"/>
                <w:szCs w:val="21"/>
              </w:rPr>
            </w:pPr>
            <w:r>
              <w:rPr>
                <w:rFonts w:hint="eastAsia" w:ascii="宋体" w:hAnsi="宋体"/>
                <w:kern w:val="0"/>
                <w:sz w:val="21"/>
                <w:szCs w:val="21"/>
              </w:rPr>
              <w:t>作业区域</w:t>
            </w:r>
          </w:p>
        </w:tc>
        <w:tc>
          <w:tcPr>
            <w:tcW w:w="6011" w:type="dxa"/>
            <w:vAlign w:val="center"/>
          </w:tcPr>
          <w:p w14:paraId="19F308F7">
            <w:pPr>
              <w:spacing w:line="360" w:lineRule="exact"/>
              <w:jc w:val="left"/>
              <w:rPr>
                <w:rFonts w:hint="eastAsia" w:ascii="宋体" w:hAnsi="宋体"/>
                <w:kern w:val="0"/>
                <w:sz w:val="21"/>
                <w:szCs w:val="21"/>
              </w:rPr>
            </w:pPr>
            <w:r>
              <w:rPr>
                <w:rFonts w:hint="eastAsia" w:ascii="宋体" w:hAnsi="宋体"/>
                <w:kern w:val="0"/>
                <w:sz w:val="21"/>
                <w:szCs w:val="21"/>
              </w:rPr>
              <w:t>a）作业区域由发包方提供，限于卡车公司内。</w:t>
            </w:r>
          </w:p>
          <w:p w14:paraId="1BAB9EC2">
            <w:pPr>
              <w:spacing w:line="360" w:lineRule="exact"/>
              <w:jc w:val="left"/>
              <w:rPr>
                <w:rFonts w:hint="eastAsia" w:ascii="宋体" w:hAnsi="宋体"/>
                <w:kern w:val="0"/>
                <w:sz w:val="21"/>
                <w:szCs w:val="21"/>
              </w:rPr>
            </w:pPr>
            <w:r>
              <w:rPr>
                <w:rFonts w:hint="eastAsia" w:ascii="宋体" w:hAnsi="宋体"/>
                <w:kern w:val="0"/>
                <w:sz w:val="21"/>
                <w:szCs w:val="21"/>
              </w:rPr>
              <w:t>b）管理有序，目视化管理完善，现场满足HOS管理要求。</w:t>
            </w:r>
          </w:p>
          <w:p w14:paraId="21F646B4">
            <w:pPr>
              <w:spacing w:line="360" w:lineRule="exact"/>
              <w:jc w:val="left"/>
              <w:rPr>
                <w:rFonts w:ascii="宋体" w:hAnsi="宋体"/>
                <w:kern w:val="0"/>
                <w:sz w:val="21"/>
                <w:szCs w:val="21"/>
              </w:rPr>
            </w:pPr>
            <w:r>
              <w:rPr>
                <w:rFonts w:hint="eastAsia" w:ascii="宋体" w:hAnsi="宋体"/>
                <w:kern w:val="0"/>
                <w:sz w:val="21"/>
                <w:szCs w:val="21"/>
              </w:rPr>
              <w:t>C)安全、消防、环保及职业卫生标识合规有效。</w:t>
            </w:r>
          </w:p>
        </w:tc>
      </w:tr>
      <w:tr w14:paraId="0CC430F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675" w:type="dxa"/>
            <w:vAlign w:val="center"/>
          </w:tcPr>
          <w:p w14:paraId="15CDDE6C">
            <w:pPr>
              <w:spacing w:line="360" w:lineRule="exact"/>
              <w:jc w:val="center"/>
              <w:rPr>
                <w:rFonts w:ascii="宋体" w:hAnsi="宋体"/>
                <w:kern w:val="0"/>
                <w:sz w:val="21"/>
                <w:szCs w:val="21"/>
              </w:rPr>
            </w:pPr>
            <w:r>
              <w:rPr>
                <w:rFonts w:hint="eastAsia" w:ascii="宋体" w:hAnsi="宋体"/>
                <w:kern w:val="0"/>
                <w:sz w:val="21"/>
                <w:szCs w:val="21"/>
              </w:rPr>
              <w:t>6</w:t>
            </w:r>
          </w:p>
        </w:tc>
        <w:tc>
          <w:tcPr>
            <w:tcW w:w="1595" w:type="dxa"/>
            <w:vAlign w:val="center"/>
          </w:tcPr>
          <w:p w14:paraId="15DA8FC2">
            <w:pPr>
              <w:spacing w:line="360" w:lineRule="exact"/>
              <w:jc w:val="center"/>
              <w:rPr>
                <w:rFonts w:ascii="宋体" w:hAnsi="宋体"/>
                <w:kern w:val="0"/>
                <w:sz w:val="21"/>
                <w:szCs w:val="21"/>
              </w:rPr>
            </w:pPr>
            <w:r>
              <w:rPr>
                <w:rFonts w:hint="eastAsia" w:ascii="宋体" w:hAnsi="宋体"/>
                <w:kern w:val="0"/>
                <w:sz w:val="21"/>
                <w:szCs w:val="21"/>
              </w:rPr>
              <w:t>管理制度</w:t>
            </w:r>
          </w:p>
        </w:tc>
        <w:tc>
          <w:tcPr>
            <w:tcW w:w="6011" w:type="dxa"/>
            <w:vAlign w:val="center"/>
          </w:tcPr>
          <w:p w14:paraId="7CC9C174">
            <w:pPr>
              <w:spacing w:line="360" w:lineRule="exact"/>
              <w:jc w:val="left"/>
              <w:rPr>
                <w:rFonts w:hint="eastAsia" w:ascii="宋体" w:hAnsi="宋体"/>
                <w:kern w:val="0"/>
                <w:sz w:val="21"/>
                <w:szCs w:val="21"/>
              </w:rPr>
            </w:pPr>
            <w:r>
              <w:rPr>
                <w:rFonts w:hint="eastAsia" w:ascii="宋体" w:hAnsi="宋体"/>
                <w:kern w:val="0"/>
                <w:sz w:val="21"/>
                <w:szCs w:val="21"/>
              </w:rPr>
              <w:t>管理制度覆盖业务全过程，并能确保作业流程有序顺畅、质量控制切实有效、具备应对突发事件能力。</w:t>
            </w:r>
          </w:p>
          <w:p w14:paraId="630F7BA2">
            <w:pPr>
              <w:numPr>
                <w:ilvl w:val="0"/>
                <w:numId w:val="33"/>
              </w:numPr>
              <w:spacing w:line="360" w:lineRule="exact"/>
              <w:jc w:val="left"/>
              <w:rPr>
                <w:rFonts w:hint="eastAsia" w:ascii="宋体" w:hAnsi="宋体"/>
                <w:kern w:val="0"/>
                <w:sz w:val="21"/>
                <w:szCs w:val="21"/>
              </w:rPr>
            </w:pPr>
            <w:r>
              <w:rPr>
                <w:rFonts w:hint="eastAsia" w:ascii="宋体" w:hAnsi="宋体"/>
                <w:kern w:val="0"/>
                <w:sz w:val="21"/>
                <w:szCs w:val="21"/>
              </w:rPr>
              <w:t>乙方应建立健全全员岗位安全生产责任制度。</w:t>
            </w:r>
          </w:p>
          <w:p w14:paraId="6406DB14">
            <w:pPr>
              <w:numPr>
                <w:ilvl w:val="0"/>
                <w:numId w:val="33"/>
              </w:numPr>
              <w:spacing w:line="360" w:lineRule="exact"/>
              <w:jc w:val="left"/>
              <w:rPr>
                <w:rFonts w:ascii="宋体" w:hAnsi="宋体"/>
                <w:kern w:val="0"/>
                <w:sz w:val="21"/>
                <w:szCs w:val="21"/>
              </w:rPr>
            </w:pPr>
            <w:r>
              <w:rPr>
                <w:rFonts w:hint="eastAsia" w:ascii="宋体" w:hAnsi="宋体"/>
                <w:kern w:val="0"/>
                <w:sz w:val="21"/>
                <w:szCs w:val="21"/>
              </w:rPr>
              <w:t>乙方严格遵守甲方安全教育培训相关要求。</w:t>
            </w:r>
          </w:p>
          <w:p w14:paraId="760F7750">
            <w:pPr>
              <w:numPr>
                <w:ilvl w:val="0"/>
                <w:numId w:val="33"/>
              </w:numPr>
              <w:spacing w:line="360" w:lineRule="exact"/>
              <w:jc w:val="left"/>
              <w:rPr>
                <w:rFonts w:ascii="宋体" w:hAnsi="宋体"/>
                <w:kern w:val="0"/>
                <w:sz w:val="21"/>
                <w:szCs w:val="21"/>
              </w:rPr>
            </w:pPr>
            <w:r>
              <w:rPr>
                <w:rFonts w:hint="eastAsia" w:ascii="宋体" w:hAnsi="宋体"/>
                <w:kern w:val="0"/>
                <w:sz w:val="21"/>
                <w:szCs w:val="21"/>
              </w:rPr>
              <w:t>严格遵守安全操作规程作业，发现岗位安全操作规程存在重大缺陷或与实际要求不相符时，应及时反馈发包方。</w:t>
            </w:r>
          </w:p>
          <w:p w14:paraId="4A612B3A">
            <w:pPr>
              <w:spacing w:line="360" w:lineRule="exact"/>
              <w:jc w:val="left"/>
              <w:rPr>
                <w:rFonts w:hint="eastAsia" w:ascii="宋体" w:hAnsi="宋体"/>
                <w:kern w:val="0"/>
                <w:sz w:val="21"/>
                <w:szCs w:val="21"/>
              </w:rPr>
            </w:pPr>
            <w:r>
              <w:rPr>
                <w:rFonts w:hint="eastAsia" w:ascii="宋体" w:hAnsi="宋体"/>
                <w:kern w:val="0"/>
                <w:sz w:val="21"/>
                <w:szCs w:val="21"/>
              </w:rPr>
              <w:t>d)乙方应配合发包方建立安全、消防、环保及职业卫生管理制度，严格执行，并接受发包方监督。</w:t>
            </w:r>
          </w:p>
        </w:tc>
      </w:tr>
      <w:tr w14:paraId="78AE2EA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675" w:type="dxa"/>
            <w:vAlign w:val="center"/>
          </w:tcPr>
          <w:p w14:paraId="5D96D529">
            <w:pPr>
              <w:spacing w:line="360" w:lineRule="exact"/>
              <w:jc w:val="center"/>
              <w:rPr>
                <w:rFonts w:hint="eastAsia" w:ascii="宋体" w:hAnsi="宋体"/>
                <w:kern w:val="0"/>
                <w:sz w:val="21"/>
                <w:szCs w:val="21"/>
              </w:rPr>
            </w:pPr>
            <w:r>
              <w:rPr>
                <w:rFonts w:hint="eastAsia" w:ascii="宋体" w:hAnsi="宋体"/>
                <w:kern w:val="0"/>
                <w:sz w:val="21"/>
                <w:szCs w:val="21"/>
              </w:rPr>
              <w:t>7</w:t>
            </w:r>
          </w:p>
        </w:tc>
        <w:tc>
          <w:tcPr>
            <w:tcW w:w="1595" w:type="dxa"/>
            <w:vAlign w:val="center"/>
          </w:tcPr>
          <w:p w14:paraId="7E7C5B89">
            <w:pPr>
              <w:spacing w:line="360" w:lineRule="exact"/>
              <w:jc w:val="center"/>
              <w:rPr>
                <w:rFonts w:hint="eastAsia" w:ascii="宋体" w:hAnsi="宋体"/>
                <w:kern w:val="0"/>
                <w:sz w:val="21"/>
                <w:szCs w:val="21"/>
              </w:rPr>
            </w:pPr>
            <w:r>
              <w:rPr>
                <w:rFonts w:hint="eastAsia" w:ascii="宋体" w:hAnsi="宋体"/>
                <w:kern w:val="0"/>
                <w:sz w:val="21"/>
                <w:szCs w:val="21"/>
              </w:rPr>
              <w:t>应急管理</w:t>
            </w:r>
          </w:p>
        </w:tc>
        <w:tc>
          <w:tcPr>
            <w:tcW w:w="6011" w:type="dxa"/>
            <w:vAlign w:val="center"/>
          </w:tcPr>
          <w:p w14:paraId="03D08837">
            <w:pPr>
              <w:spacing w:line="360" w:lineRule="exact"/>
              <w:jc w:val="left"/>
              <w:rPr>
                <w:rFonts w:ascii="宋体" w:hAnsi="宋体"/>
                <w:kern w:val="0"/>
                <w:sz w:val="21"/>
                <w:szCs w:val="21"/>
              </w:rPr>
            </w:pPr>
            <w:r>
              <w:rPr>
                <w:rFonts w:ascii="宋体" w:hAnsi="宋体"/>
                <w:kern w:val="0"/>
                <w:sz w:val="21"/>
                <w:szCs w:val="21"/>
              </w:rPr>
              <w:t>a</w:t>
            </w:r>
            <w:r>
              <w:rPr>
                <w:rFonts w:hint="eastAsia" w:ascii="宋体" w:hAnsi="宋体"/>
                <w:kern w:val="0"/>
                <w:sz w:val="21"/>
                <w:szCs w:val="21"/>
              </w:rPr>
              <w:t>）配合发包方开展安全消防管理及培训，严格执行发包方的安全消防制度及指令。</w:t>
            </w:r>
          </w:p>
          <w:p w14:paraId="720659C1">
            <w:pPr>
              <w:spacing w:line="360" w:lineRule="exact"/>
              <w:jc w:val="left"/>
              <w:rPr>
                <w:rFonts w:hint="eastAsia" w:ascii="宋体" w:hAnsi="宋体"/>
                <w:kern w:val="0"/>
                <w:sz w:val="21"/>
                <w:szCs w:val="21"/>
              </w:rPr>
            </w:pPr>
            <w:r>
              <w:rPr>
                <w:rFonts w:ascii="宋体" w:hAnsi="宋体"/>
                <w:kern w:val="0"/>
                <w:sz w:val="21"/>
                <w:szCs w:val="21"/>
              </w:rPr>
              <w:t>b</w:t>
            </w:r>
            <w:r>
              <w:rPr>
                <w:rFonts w:hint="eastAsia" w:ascii="宋体" w:hAnsi="宋体"/>
                <w:kern w:val="0"/>
                <w:sz w:val="21"/>
                <w:szCs w:val="21"/>
              </w:rPr>
              <w:t>）参与发包方应急演练，熟知应急措施。</w:t>
            </w:r>
          </w:p>
        </w:tc>
      </w:tr>
      <w:tr w14:paraId="29CAD43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675" w:type="dxa"/>
            <w:vAlign w:val="center"/>
          </w:tcPr>
          <w:p w14:paraId="4D40D273">
            <w:pPr>
              <w:spacing w:line="360" w:lineRule="exact"/>
              <w:jc w:val="center"/>
              <w:rPr>
                <w:rFonts w:ascii="宋体" w:hAnsi="宋体"/>
                <w:kern w:val="0"/>
                <w:sz w:val="21"/>
                <w:szCs w:val="21"/>
              </w:rPr>
            </w:pPr>
            <w:r>
              <w:rPr>
                <w:rFonts w:hint="eastAsia" w:ascii="宋体" w:hAnsi="宋体"/>
                <w:kern w:val="0"/>
                <w:sz w:val="21"/>
                <w:szCs w:val="21"/>
              </w:rPr>
              <w:t>8</w:t>
            </w:r>
          </w:p>
        </w:tc>
        <w:tc>
          <w:tcPr>
            <w:tcW w:w="1595" w:type="dxa"/>
            <w:vAlign w:val="center"/>
          </w:tcPr>
          <w:p w14:paraId="4AD66383">
            <w:pPr>
              <w:spacing w:line="360" w:lineRule="exact"/>
              <w:jc w:val="center"/>
              <w:rPr>
                <w:rFonts w:hint="eastAsia" w:ascii="宋体" w:hAnsi="宋体"/>
                <w:kern w:val="0"/>
                <w:sz w:val="21"/>
                <w:szCs w:val="21"/>
              </w:rPr>
            </w:pPr>
            <w:r>
              <w:rPr>
                <w:rFonts w:hint="eastAsia" w:ascii="宋体" w:hAnsi="宋体"/>
                <w:kern w:val="0"/>
                <w:sz w:val="21"/>
                <w:szCs w:val="21"/>
              </w:rPr>
              <w:t>环保管理</w:t>
            </w:r>
          </w:p>
        </w:tc>
        <w:tc>
          <w:tcPr>
            <w:tcW w:w="6011" w:type="dxa"/>
            <w:vAlign w:val="center"/>
          </w:tcPr>
          <w:p w14:paraId="1DB47B59">
            <w:pPr>
              <w:spacing w:line="360" w:lineRule="exact"/>
              <w:jc w:val="left"/>
              <w:rPr>
                <w:rFonts w:hint="eastAsia" w:ascii="宋体" w:hAnsi="宋体"/>
                <w:kern w:val="0"/>
                <w:sz w:val="21"/>
                <w:szCs w:val="21"/>
              </w:rPr>
            </w:pPr>
            <w:r>
              <w:rPr>
                <w:rFonts w:ascii="宋体" w:hAnsi="宋体"/>
                <w:kern w:val="0"/>
                <w:sz w:val="21"/>
                <w:szCs w:val="21"/>
              </w:rPr>
              <w:t>a</w:t>
            </w:r>
            <w:r>
              <w:rPr>
                <w:rFonts w:hint="eastAsia" w:ascii="宋体" w:hAnsi="宋体"/>
                <w:kern w:val="0"/>
                <w:sz w:val="21"/>
                <w:szCs w:val="21"/>
              </w:rPr>
              <w:t>）配合发包方开展环保培训，做好相关并严格按照要求开展工作。</w:t>
            </w:r>
          </w:p>
          <w:p w14:paraId="2FECC83F">
            <w:pPr>
              <w:spacing w:line="360" w:lineRule="exact"/>
              <w:jc w:val="left"/>
              <w:rPr>
                <w:rFonts w:hint="eastAsia" w:ascii="宋体" w:hAnsi="宋体"/>
                <w:kern w:val="0"/>
                <w:sz w:val="21"/>
                <w:szCs w:val="21"/>
              </w:rPr>
            </w:pPr>
            <w:r>
              <w:rPr>
                <w:rFonts w:ascii="宋体" w:hAnsi="宋体"/>
                <w:kern w:val="0"/>
                <w:sz w:val="21"/>
                <w:szCs w:val="21"/>
              </w:rPr>
              <w:t>b</w:t>
            </w:r>
            <w:r>
              <w:rPr>
                <w:rFonts w:hint="eastAsia" w:ascii="宋体" w:hAnsi="宋体"/>
                <w:kern w:val="0"/>
                <w:sz w:val="21"/>
                <w:szCs w:val="21"/>
              </w:rPr>
              <w:t>）配合发包方做好危险废物的存储、处置工作。</w:t>
            </w:r>
          </w:p>
        </w:tc>
      </w:tr>
      <w:tr w14:paraId="3256E44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675" w:type="dxa"/>
            <w:vAlign w:val="center"/>
          </w:tcPr>
          <w:p w14:paraId="653CAFE0">
            <w:pPr>
              <w:spacing w:line="360" w:lineRule="exact"/>
              <w:jc w:val="center"/>
              <w:rPr>
                <w:rFonts w:ascii="宋体" w:hAnsi="宋体"/>
                <w:kern w:val="0"/>
                <w:sz w:val="21"/>
                <w:szCs w:val="21"/>
              </w:rPr>
            </w:pPr>
            <w:r>
              <w:rPr>
                <w:rFonts w:hint="eastAsia" w:ascii="宋体" w:hAnsi="宋体"/>
                <w:kern w:val="0"/>
                <w:sz w:val="21"/>
                <w:szCs w:val="21"/>
              </w:rPr>
              <w:t>9</w:t>
            </w:r>
          </w:p>
        </w:tc>
        <w:tc>
          <w:tcPr>
            <w:tcW w:w="1595" w:type="dxa"/>
            <w:vAlign w:val="center"/>
          </w:tcPr>
          <w:p w14:paraId="64341969">
            <w:pPr>
              <w:spacing w:line="360" w:lineRule="exact"/>
              <w:jc w:val="center"/>
              <w:rPr>
                <w:rFonts w:hint="eastAsia" w:ascii="宋体" w:hAnsi="宋体"/>
                <w:kern w:val="0"/>
                <w:sz w:val="21"/>
                <w:szCs w:val="21"/>
              </w:rPr>
            </w:pPr>
            <w:r>
              <w:rPr>
                <w:rFonts w:hint="eastAsia" w:ascii="宋体" w:hAnsi="宋体"/>
                <w:kern w:val="0"/>
                <w:sz w:val="21"/>
                <w:szCs w:val="21"/>
              </w:rPr>
              <w:t>职业卫生管理</w:t>
            </w:r>
          </w:p>
        </w:tc>
        <w:tc>
          <w:tcPr>
            <w:tcW w:w="6011" w:type="dxa"/>
            <w:vAlign w:val="center"/>
          </w:tcPr>
          <w:p w14:paraId="3DBFC6B5">
            <w:pPr>
              <w:spacing w:line="360" w:lineRule="exact"/>
              <w:jc w:val="left"/>
              <w:rPr>
                <w:rFonts w:ascii="宋体" w:hAnsi="宋体"/>
                <w:kern w:val="0"/>
                <w:sz w:val="21"/>
                <w:szCs w:val="21"/>
              </w:rPr>
            </w:pPr>
            <w:r>
              <w:rPr>
                <w:rFonts w:ascii="宋体" w:hAnsi="宋体"/>
                <w:kern w:val="0"/>
                <w:sz w:val="21"/>
                <w:szCs w:val="21"/>
              </w:rPr>
              <w:t>a</w:t>
            </w:r>
            <w:r>
              <w:rPr>
                <w:rFonts w:hint="eastAsia" w:ascii="宋体" w:hAnsi="宋体"/>
                <w:kern w:val="0"/>
                <w:sz w:val="21"/>
                <w:szCs w:val="21"/>
              </w:rPr>
              <w:t>）承包方开展合规职业卫生岗前、岗中、离岗查体，建立职业卫生监护档案，并向发包方提供合规的人员检测报告。</w:t>
            </w:r>
          </w:p>
          <w:p w14:paraId="0136E75F">
            <w:pPr>
              <w:spacing w:line="360" w:lineRule="exact"/>
              <w:jc w:val="left"/>
              <w:rPr>
                <w:rFonts w:hint="eastAsia" w:ascii="宋体" w:hAnsi="宋体"/>
                <w:kern w:val="0"/>
                <w:sz w:val="21"/>
                <w:szCs w:val="21"/>
              </w:rPr>
            </w:pPr>
            <w:r>
              <w:rPr>
                <w:rFonts w:ascii="宋体" w:hAnsi="宋体"/>
                <w:kern w:val="0"/>
                <w:sz w:val="21"/>
                <w:szCs w:val="21"/>
              </w:rPr>
              <w:t>b</w:t>
            </w:r>
            <w:r>
              <w:rPr>
                <w:rFonts w:hint="eastAsia" w:ascii="宋体" w:hAnsi="宋体"/>
                <w:kern w:val="0"/>
                <w:sz w:val="21"/>
                <w:szCs w:val="21"/>
              </w:rPr>
              <w:t>）承包方人员出现职业卫生事故，由承包方负责处理。</w:t>
            </w:r>
          </w:p>
        </w:tc>
      </w:tr>
      <w:tr w14:paraId="62D1595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675" w:type="dxa"/>
            <w:vAlign w:val="center"/>
          </w:tcPr>
          <w:p w14:paraId="4A805D8C">
            <w:pPr>
              <w:spacing w:line="360" w:lineRule="exact"/>
              <w:jc w:val="center"/>
              <w:rPr>
                <w:rFonts w:ascii="宋体" w:hAnsi="宋体"/>
                <w:kern w:val="0"/>
                <w:sz w:val="21"/>
                <w:szCs w:val="21"/>
              </w:rPr>
            </w:pPr>
            <w:r>
              <w:rPr>
                <w:rFonts w:hint="eastAsia" w:ascii="宋体" w:hAnsi="宋体"/>
                <w:kern w:val="0"/>
                <w:sz w:val="21"/>
                <w:szCs w:val="21"/>
              </w:rPr>
              <w:t>10</w:t>
            </w:r>
          </w:p>
        </w:tc>
        <w:tc>
          <w:tcPr>
            <w:tcW w:w="1595" w:type="dxa"/>
            <w:vAlign w:val="center"/>
          </w:tcPr>
          <w:p w14:paraId="39919C76">
            <w:pPr>
              <w:spacing w:line="360" w:lineRule="exact"/>
              <w:jc w:val="center"/>
              <w:rPr>
                <w:rFonts w:hint="eastAsia" w:ascii="宋体" w:hAnsi="宋体"/>
                <w:kern w:val="0"/>
                <w:sz w:val="21"/>
                <w:szCs w:val="21"/>
              </w:rPr>
            </w:pPr>
            <w:r>
              <w:rPr>
                <w:rFonts w:hint="eastAsia" w:ascii="宋体" w:hAnsi="宋体"/>
                <w:kern w:val="0"/>
                <w:sz w:val="21"/>
                <w:szCs w:val="21"/>
              </w:rPr>
              <w:t>消防管理</w:t>
            </w:r>
          </w:p>
        </w:tc>
        <w:tc>
          <w:tcPr>
            <w:tcW w:w="6011" w:type="dxa"/>
            <w:vAlign w:val="center"/>
          </w:tcPr>
          <w:p w14:paraId="222C3FDF">
            <w:pPr>
              <w:spacing w:line="360" w:lineRule="exact"/>
              <w:jc w:val="left"/>
              <w:rPr>
                <w:rFonts w:hint="eastAsia" w:ascii="宋体" w:hAnsi="宋体"/>
                <w:kern w:val="0"/>
                <w:sz w:val="21"/>
                <w:szCs w:val="21"/>
              </w:rPr>
            </w:pPr>
            <w:r>
              <w:rPr>
                <w:rFonts w:ascii="宋体" w:hAnsi="宋体"/>
                <w:kern w:val="0"/>
                <w:sz w:val="21"/>
                <w:szCs w:val="21"/>
              </w:rPr>
              <w:t>a</w:t>
            </w:r>
            <w:r>
              <w:rPr>
                <w:rFonts w:hint="eastAsia" w:ascii="宋体" w:hAnsi="宋体"/>
                <w:kern w:val="0"/>
                <w:sz w:val="21"/>
                <w:szCs w:val="21"/>
              </w:rPr>
              <w:t>）定期进行消防安全检查，保证现场消防设施、器材配置齐全运行正常。</w:t>
            </w:r>
          </w:p>
          <w:p w14:paraId="169B2229">
            <w:pPr>
              <w:spacing w:line="360" w:lineRule="exact"/>
              <w:jc w:val="left"/>
              <w:rPr>
                <w:rFonts w:hint="eastAsia" w:ascii="宋体" w:hAnsi="宋体"/>
                <w:kern w:val="0"/>
                <w:sz w:val="21"/>
                <w:szCs w:val="21"/>
              </w:rPr>
            </w:pPr>
            <w:r>
              <w:rPr>
                <w:rFonts w:hint="eastAsia" w:ascii="宋体" w:hAnsi="宋体"/>
                <w:kern w:val="0"/>
                <w:sz w:val="21"/>
                <w:szCs w:val="21"/>
              </w:rPr>
              <w:t>b)自觉遵守公司消防安全管理办法、岗位消防安全操作规程，禁止违章作业。</w:t>
            </w:r>
          </w:p>
          <w:p w14:paraId="587A31B2">
            <w:pPr>
              <w:spacing w:line="360" w:lineRule="exact"/>
              <w:jc w:val="left"/>
              <w:rPr>
                <w:rFonts w:ascii="宋体" w:hAnsi="宋体"/>
                <w:kern w:val="0"/>
                <w:sz w:val="21"/>
                <w:szCs w:val="21"/>
              </w:rPr>
            </w:pPr>
            <w:r>
              <w:rPr>
                <w:rFonts w:hint="eastAsia" w:ascii="宋体" w:hAnsi="宋体"/>
                <w:kern w:val="0"/>
                <w:sz w:val="21"/>
                <w:szCs w:val="21"/>
              </w:rPr>
              <w:t>C)落实设备、人员静电防护要求，按照规范标准要求储存易燃易爆品，并建立台账专人管理。</w:t>
            </w:r>
          </w:p>
        </w:tc>
      </w:tr>
    </w:tbl>
    <w:p w14:paraId="145D8373">
      <w:pPr>
        <w:spacing w:line="480" w:lineRule="exact"/>
        <w:ind w:firstLine="480"/>
        <w:jc w:val="left"/>
        <w:rPr>
          <w:rStyle w:val="69"/>
          <w:sz w:val="24"/>
        </w:rPr>
      </w:pPr>
    </w:p>
    <w:p w14:paraId="62889DA1">
      <w:pPr>
        <w:spacing w:line="480" w:lineRule="exact"/>
        <w:ind w:firstLine="480"/>
        <w:jc w:val="left"/>
        <w:rPr>
          <w:rStyle w:val="69"/>
          <w:sz w:val="24"/>
        </w:rPr>
      </w:pPr>
      <w:r>
        <w:rPr>
          <w:rStyle w:val="69"/>
          <w:rFonts w:hint="eastAsia"/>
          <w:sz w:val="24"/>
        </w:rPr>
        <w:t>说明：以上是可满足卡车公司</w:t>
      </w:r>
      <w:r>
        <w:rPr>
          <w:rStyle w:val="69"/>
          <w:rFonts w:hint="eastAsia"/>
          <w:sz w:val="24"/>
          <w:highlight w:val="yellow"/>
        </w:rPr>
        <w:t>总产量</w:t>
      </w:r>
      <w:r>
        <w:rPr>
          <w:rStyle w:val="69"/>
          <w:rFonts w:hint="eastAsia" w:eastAsia="宋体"/>
          <w:sz w:val="24"/>
          <w:highlight w:val="yellow"/>
        </w:rPr>
        <w:t>50480</w:t>
      </w:r>
      <w:r>
        <w:rPr>
          <w:rStyle w:val="69"/>
          <w:rFonts w:hint="eastAsia"/>
          <w:sz w:val="24"/>
          <w:highlight w:val="yellow"/>
        </w:rPr>
        <w:t>辆时</w:t>
      </w:r>
      <w:r>
        <w:rPr>
          <w:rStyle w:val="69"/>
          <w:rFonts w:hint="eastAsia"/>
          <w:sz w:val="24"/>
        </w:rPr>
        <w:t>的基本配置，仅供投标人参考。以上配置均由投标人负责配置，费用均已包含在服务费中。如后期业务量发生增减变化，报价不予调整。投标人不能因此影响招标人的生产经营。</w:t>
      </w:r>
    </w:p>
    <w:p w14:paraId="2E1414F0">
      <w:pPr>
        <w:spacing w:line="480" w:lineRule="exact"/>
        <w:ind w:firstLine="480"/>
        <w:jc w:val="left"/>
        <w:rPr>
          <w:rFonts w:hint="eastAsia" w:ascii="宋体" w:hAnsi="宋体"/>
          <w:szCs w:val="21"/>
        </w:rPr>
      </w:pPr>
      <w:r>
        <w:rPr>
          <w:rFonts w:hint="eastAsia"/>
        </w:rPr>
        <w:t>聚脲喷涂工序工艺、产品严格按照卡车公司技术、质量部门要求进行操作；产能满足卡车公司生产单位生产需求。外包</w:t>
      </w:r>
      <w:r>
        <w:rPr>
          <w:rFonts w:hint="eastAsia" w:ascii="宋体" w:hAnsi="宋体"/>
          <w:szCs w:val="21"/>
        </w:rPr>
        <w:t>业务、产品、程序、研究或发展有关的一切数据、工艺、配方、图纸、商业秘密（包括但不限于市场信息及客户名单）（以下统称“保密资料”），上述保密资料均归发包方所有，未经发包方的事先书面授权，中标方不得把保密资料泄漏或转让、转许可给任何个人、单位或团体；承包方不得将上述图纸、工艺或技术等申报专利，详情见附件。</w:t>
      </w:r>
    </w:p>
    <w:p w14:paraId="782BC0AF">
      <w:pPr>
        <w:rPr>
          <w:rFonts w:hint="eastAsia"/>
        </w:rPr>
      </w:pPr>
    </w:p>
    <w:p w14:paraId="481E0104">
      <w:pPr>
        <w:rPr>
          <w:rFonts w:hint="eastAsia"/>
        </w:rPr>
      </w:pPr>
    </w:p>
    <w:p w14:paraId="55C56A76">
      <w:pPr>
        <w:rPr>
          <w:rFonts w:hint="default"/>
          <w:lang w:val="en-US" w:eastAsia="zh-CN"/>
        </w:rPr>
      </w:pPr>
      <w:r>
        <w:rPr>
          <w:rFonts w:hint="default"/>
          <w:lang w:val="en-US" w:eastAsia="zh-CN"/>
        </w:rPr>
        <w:br w:type="page"/>
      </w:r>
    </w:p>
    <w:p w14:paraId="5871DF53">
      <w:pPr>
        <w:pStyle w:val="71"/>
      </w:pPr>
      <w:bookmarkStart w:id="18" w:name="_Toc20595"/>
      <w:bookmarkStart w:id="19" w:name="_Toc47976609"/>
      <w:r>
        <w:rPr>
          <w:rFonts w:hint="eastAsia"/>
        </w:rPr>
        <w:t>第三部分　合同主要条款</w:t>
      </w:r>
      <w:bookmarkEnd w:id="18"/>
      <w:bookmarkEnd w:id="19"/>
    </w:p>
    <w:p w14:paraId="23914DBE">
      <w:pPr>
        <w:pStyle w:val="72"/>
        <w:numPr>
          <w:ilvl w:val="0"/>
          <w:numId w:val="34"/>
        </w:numPr>
        <w:ind w:left="420"/>
      </w:pPr>
      <w:bookmarkStart w:id="20" w:name="_Toc47976610"/>
      <w:r>
        <w:rPr>
          <w:rFonts w:hint="eastAsia"/>
          <w:lang w:val="en-US" w:eastAsia="zh-CN"/>
        </w:rPr>
        <w:t>标的、数量、</w:t>
      </w:r>
      <w:r>
        <w:rPr>
          <w:rFonts w:hint="eastAsia"/>
        </w:rPr>
        <w:t>交货期</w:t>
      </w:r>
      <w:bookmarkEnd w:id="20"/>
    </w:p>
    <w:p w14:paraId="18603CA8">
      <w:pPr>
        <w:pStyle w:val="72"/>
      </w:pPr>
      <w:bookmarkStart w:id="21" w:name="_Toc47976611"/>
      <w:r>
        <w:rPr>
          <w:rFonts w:hint="eastAsia"/>
        </w:rPr>
        <w:t>交货地点</w:t>
      </w:r>
      <w:bookmarkEnd w:id="21"/>
    </w:p>
    <w:p w14:paraId="3F03A936">
      <w:pPr>
        <w:pStyle w:val="72"/>
      </w:pPr>
      <w:bookmarkStart w:id="22" w:name="_Toc47976612"/>
      <w:r>
        <w:rPr>
          <w:rFonts w:hint="eastAsia"/>
          <w:lang w:val="en-US" w:eastAsia="zh-CN"/>
        </w:rPr>
        <w:t>价款及</w:t>
      </w:r>
      <w:r>
        <w:rPr>
          <w:rFonts w:hint="eastAsia"/>
        </w:rPr>
        <w:t>付款方式</w:t>
      </w:r>
      <w:bookmarkEnd w:id="22"/>
    </w:p>
    <w:p w14:paraId="0A7F4E98">
      <w:pPr>
        <w:pStyle w:val="72"/>
      </w:pPr>
      <w:bookmarkStart w:id="23" w:name="_Toc47976613"/>
      <w:r>
        <w:rPr>
          <w:rFonts w:hint="eastAsia"/>
          <w:lang w:val="en-US" w:eastAsia="zh-CN"/>
        </w:rPr>
        <w:t>质量要求、</w:t>
      </w:r>
      <w:r>
        <w:rPr>
          <w:rFonts w:hint="eastAsia"/>
        </w:rPr>
        <w:t>保修期及售后服务</w:t>
      </w:r>
      <w:bookmarkEnd w:id="23"/>
    </w:p>
    <w:p w14:paraId="50F6C5C1">
      <w:pPr>
        <w:pStyle w:val="72"/>
      </w:pPr>
      <w:bookmarkStart w:id="24" w:name="_Toc47976614"/>
      <w:r>
        <w:rPr>
          <w:rFonts w:hint="eastAsia"/>
        </w:rPr>
        <w:t>安装、调试及验收要求</w:t>
      </w:r>
      <w:bookmarkEnd w:id="24"/>
    </w:p>
    <w:p w14:paraId="7FDA440C">
      <w:pPr>
        <w:pStyle w:val="72"/>
      </w:pPr>
      <w:r>
        <w:rPr>
          <w:rFonts w:hint="eastAsia"/>
          <w:lang w:val="en-US" w:eastAsia="zh-CN"/>
        </w:rPr>
        <w:t>违约责任</w:t>
      </w:r>
    </w:p>
    <w:p w14:paraId="7B4D50AD">
      <w:pPr>
        <w:pStyle w:val="72"/>
      </w:pPr>
      <w:r>
        <w:rPr>
          <w:rFonts w:hint="eastAsia"/>
          <w:lang w:val="en-US" w:eastAsia="zh-CN"/>
        </w:rPr>
        <w:t>争议解决方式</w:t>
      </w:r>
    </w:p>
    <w:p w14:paraId="260D6138">
      <w:pPr>
        <w:pStyle w:val="76"/>
      </w:pPr>
    </w:p>
    <w:p w14:paraId="6A576E98">
      <w:pPr>
        <w:pStyle w:val="76"/>
      </w:pPr>
    </w:p>
    <w:p w14:paraId="373AA179">
      <w:pPr>
        <w:pStyle w:val="76"/>
      </w:pPr>
    </w:p>
    <w:p w14:paraId="150257F3">
      <w:pPr>
        <w:pStyle w:val="76"/>
      </w:pPr>
    </w:p>
    <w:p w14:paraId="40953605">
      <w:pPr>
        <w:pStyle w:val="76"/>
      </w:pPr>
    </w:p>
    <w:p w14:paraId="7DF7CDCE">
      <w:pPr>
        <w:pStyle w:val="76"/>
      </w:pPr>
    </w:p>
    <w:p w14:paraId="2CD5A204">
      <w:pPr>
        <w:pStyle w:val="76"/>
      </w:pPr>
    </w:p>
    <w:p w14:paraId="3AECA4B5">
      <w:pPr>
        <w:pStyle w:val="76"/>
      </w:pPr>
    </w:p>
    <w:p w14:paraId="4AD354C0">
      <w:pPr>
        <w:pStyle w:val="76"/>
      </w:pPr>
    </w:p>
    <w:p w14:paraId="27E760CE">
      <w:pPr>
        <w:pStyle w:val="76"/>
      </w:pPr>
    </w:p>
    <w:p w14:paraId="09615663">
      <w:pPr>
        <w:pStyle w:val="76"/>
      </w:pPr>
    </w:p>
    <w:p w14:paraId="050FA5A8">
      <w:pPr>
        <w:pStyle w:val="76"/>
      </w:pPr>
    </w:p>
    <w:p w14:paraId="0370F036">
      <w:pPr>
        <w:pStyle w:val="76"/>
      </w:pPr>
    </w:p>
    <w:p w14:paraId="32A383C9">
      <w:pPr>
        <w:pStyle w:val="76"/>
      </w:pPr>
    </w:p>
    <w:p w14:paraId="1ED05CA3">
      <w:pPr>
        <w:pStyle w:val="76"/>
      </w:pPr>
    </w:p>
    <w:p w14:paraId="610F994C">
      <w:pPr>
        <w:pStyle w:val="76"/>
      </w:pPr>
    </w:p>
    <w:p w14:paraId="33192396">
      <w:pPr>
        <w:pStyle w:val="76"/>
      </w:pPr>
    </w:p>
    <w:p w14:paraId="4DC7C6C4">
      <w:pPr>
        <w:pStyle w:val="76"/>
      </w:pPr>
    </w:p>
    <w:p w14:paraId="79A7EC9B">
      <w:pPr>
        <w:pStyle w:val="76"/>
      </w:pPr>
    </w:p>
    <w:p w14:paraId="0EB8BBEB">
      <w:pPr>
        <w:pStyle w:val="71"/>
        <w:rPr>
          <w:rFonts w:hint="default" w:eastAsia="黑体"/>
          <w:lang w:val="en-US" w:eastAsia="zh-CN"/>
        </w:rPr>
      </w:pPr>
      <w:bookmarkStart w:id="25" w:name="_Toc47976615"/>
      <w:bookmarkStart w:id="26" w:name="_Toc5925"/>
      <w:r>
        <w:rPr>
          <w:rFonts w:hint="eastAsia"/>
        </w:rPr>
        <w:t>第四部分　</w:t>
      </w:r>
      <w:bookmarkEnd w:id="25"/>
      <w:r>
        <w:rPr>
          <w:rFonts w:hint="eastAsia"/>
          <w:lang w:val="en-US" w:eastAsia="zh-CN"/>
        </w:rPr>
        <w:t>投标文件附件</w:t>
      </w:r>
      <w:bookmarkEnd w:id="26"/>
    </w:p>
    <w:p w14:paraId="600DE1DD">
      <w:pPr>
        <w:pStyle w:val="71"/>
        <w:jc w:val="left"/>
        <w:rPr>
          <w:rFonts w:hint="eastAsia" w:ascii="宋体" w:hAnsi="宋体" w:eastAsia="宋体" w:cs="宋体"/>
          <w:sz w:val="32"/>
          <w:szCs w:val="32"/>
          <w:highlight w:val="yellow"/>
          <w:lang w:eastAsia="zh-CN"/>
        </w:rPr>
      </w:pPr>
      <w:bookmarkStart w:id="27" w:name="_Toc47976616"/>
      <w:bookmarkStart w:id="28" w:name="_Toc4225"/>
      <w:r>
        <w:rPr>
          <w:rFonts w:hint="eastAsia" w:ascii="宋体" w:hAnsi="宋体" w:eastAsia="宋体" w:cs="宋体"/>
          <w:sz w:val="32"/>
          <w:szCs w:val="32"/>
          <w:highlight w:val="yellow"/>
        </w:rPr>
        <w:t>附件</w:t>
      </w:r>
      <w:bookmarkEnd w:id="27"/>
      <w:bookmarkEnd w:id="28"/>
      <w:r>
        <w:rPr>
          <w:rFonts w:hint="eastAsia" w:ascii="宋体" w:hAnsi="宋体" w:eastAsia="宋体" w:cs="宋体"/>
          <w:sz w:val="32"/>
          <w:szCs w:val="32"/>
          <w:highlight w:val="yellow"/>
          <w:lang w:val="en-US" w:eastAsia="zh-CN"/>
        </w:rPr>
        <w:t>1</w:t>
      </w:r>
    </w:p>
    <w:p w14:paraId="3D26BC99">
      <w:pPr>
        <w:keepNext/>
        <w:keepLines/>
        <w:jc w:val="center"/>
        <w:outlineLvl w:val="2"/>
        <w:rPr>
          <w:rFonts w:hint="eastAsia" w:ascii="宋体" w:hAnsi="宋体" w:eastAsia="宋体" w:cs="宋体"/>
          <w:b/>
          <w:bCs/>
          <w:color w:val="000000"/>
          <w:sz w:val="32"/>
          <w:szCs w:val="32"/>
        </w:rPr>
      </w:pPr>
      <w:r>
        <w:rPr>
          <w:rFonts w:hint="eastAsia" w:ascii="宋体" w:hAnsi="宋体" w:eastAsia="宋体" w:cs="宋体"/>
          <w:b/>
          <w:bCs/>
          <w:color w:val="000000"/>
          <w:sz w:val="32"/>
          <w:szCs w:val="32"/>
        </w:rPr>
        <w:t>投标函</w:t>
      </w:r>
    </w:p>
    <w:p w14:paraId="0B39DB81">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致：中国重汽集团</w:t>
      </w:r>
      <w:r>
        <w:rPr>
          <w:rFonts w:hint="eastAsia" w:ascii="宋体" w:hAnsi="宋体" w:cs="Times New Roman"/>
          <w:color w:val="000000"/>
          <w:sz w:val="24"/>
          <w:szCs w:val="24"/>
          <w:u w:val="single"/>
          <w:lang w:val="en-US" w:eastAsia="zh-CN"/>
        </w:rPr>
        <w:t xml:space="preserve">            </w:t>
      </w:r>
      <w:r>
        <w:rPr>
          <w:rFonts w:hint="eastAsia" w:ascii="宋体" w:hAnsi="宋体" w:eastAsia="宋体" w:cs="Times New Roman"/>
          <w:color w:val="000000"/>
          <w:sz w:val="24"/>
          <w:szCs w:val="24"/>
        </w:rPr>
        <w:t>有限公司：</w:t>
      </w:r>
    </w:p>
    <w:p w14:paraId="7F916B14">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根据贵方</w:t>
      </w:r>
      <w:r>
        <w:rPr>
          <w:rFonts w:hint="eastAsia" w:ascii="宋体" w:hAnsi="宋体" w:cs="Times New Roman"/>
          <w:color w:val="000000"/>
          <w:sz w:val="24"/>
          <w:szCs w:val="24"/>
          <w:u w:val="single"/>
          <w:lang w:val="en-US" w:eastAsia="zh-CN"/>
        </w:rPr>
        <w:t xml:space="preserve">                       </w:t>
      </w:r>
      <w:r>
        <w:rPr>
          <w:rFonts w:hint="eastAsia" w:ascii="宋体" w:hAnsi="宋体" w:eastAsia="宋体" w:cs="Times New Roman"/>
          <w:bCs/>
          <w:snapToGrid w:val="0"/>
          <w:color w:val="000000"/>
          <w:kern w:val="0"/>
          <w:sz w:val="24"/>
          <w:szCs w:val="24"/>
        </w:rPr>
        <w:t>招标公告</w:t>
      </w:r>
      <w:r>
        <w:rPr>
          <w:rFonts w:hint="eastAsia" w:ascii="宋体" w:hAnsi="宋体" w:eastAsia="宋体" w:cs="Times New Roman"/>
          <w:color w:val="000000"/>
          <w:sz w:val="24"/>
          <w:szCs w:val="24"/>
        </w:rPr>
        <w:t>，</w:t>
      </w:r>
      <w:r>
        <w:rPr>
          <w:rFonts w:ascii="宋体" w:hAnsi="宋体" w:eastAsia="宋体" w:cs="Times New Roman"/>
          <w:b/>
          <w:color w:val="000000"/>
          <w:sz w:val="24"/>
          <w:szCs w:val="24"/>
          <w:u w:val="single"/>
        </w:rPr>
        <w:t xml:space="preserve">            </w:t>
      </w:r>
      <w:r>
        <w:rPr>
          <w:rFonts w:hint="eastAsia" w:ascii="宋体" w:hAnsi="宋体" w:eastAsia="宋体" w:cs="Times New Roman"/>
          <w:color w:val="000000"/>
          <w:sz w:val="24"/>
          <w:szCs w:val="24"/>
        </w:rPr>
        <w:t>投标公司，</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法人代表人为</w:t>
      </w:r>
      <w:r>
        <w:rPr>
          <w:rFonts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，正式授权</w:t>
      </w:r>
      <w:r>
        <w:rPr>
          <w:rFonts w:ascii="宋体" w:hAnsi="宋体" w:eastAsia="宋体" w:cs="Times New Roman"/>
          <w:color w:val="000000"/>
          <w:sz w:val="24"/>
          <w:szCs w:val="24"/>
          <w:u w:val="single"/>
        </w:rPr>
        <w:t xml:space="preserve">           </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提交纸质投标文件：资质证明文件、商务文件和技术文件正本</w:t>
      </w:r>
      <w:r>
        <w:rPr>
          <w:rFonts w:hint="eastAsia" w:ascii="宋体" w:hAnsi="宋体" w:cs="Times New Roman"/>
          <w:color w:val="000000"/>
          <w:sz w:val="24"/>
          <w:szCs w:val="24"/>
          <w:u w:val="single"/>
          <w:lang w:val="en-US" w:eastAsia="zh-CN"/>
        </w:rPr>
        <w:t xml:space="preserve">  </w:t>
      </w:r>
      <w:r>
        <w:rPr>
          <w:rFonts w:hint="eastAsia" w:ascii="宋体" w:hAnsi="宋体" w:eastAsia="宋体" w:cs="Times New Roman"/>
          <w:color w:val="000000"/>
          <w:sz w:val="24"/>
          <w:szCs w:val="24"/>
        </w:rPr>
        <w:t>份、副本</w:t>
      </w:r>
      <w:r>
        <w:rPr>
          <w:rFonts w:hint="eastAsia" w:ascii="宋体" w:hAnsi="宋体" w:cs="Times New Roman"/>
          <w:color w:val="000000"/>
          <w:sz w:val="24"/>
          <w:szCs w:val="24"/>
          <w:u w:val="single"/>
          <w:lang w:val="en-US" w:eastAsia="zh-CN"/>
        </w:rPr>
        <w:t xml:space="preserve">  </w:t>
      </w:r>
      <w:r>
        <w:rPr>
          <w:rFonts w:hint="eastAsia" w:ascii="宋体" w:hAnsi="宋体" w:eastAsia="宋体" w:cs="Times New Roman"/>
          <w:color w:val="000000"/>
          <w:sz w:val="24"/>
          <w:szCs w:val="24"/>
        </w:rPr>
        <w:t>份；电子版投标文件一份。</w:t>
      </w:r>
    </w:p>
    <w:p w14:paraId="26D62944">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据此函，签字代表宣布同意如下：</w:t>
      </w:r>
    </w:p>
    <w:p w14:paraId="71FBB532">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1</w:t>
      </w:r>
      <w:r>
        <w:rPr>
          <w:rFonts w:hint="eastAsia" w:ascii="宋体" w:hAnsi="宋体" w:eastAsia="宋体" w:cs="Times New Roman"/>
          <w:color w:val="000000"/>
          <w:sz w:val="24"/>
          <w:szCs w:val="24"/>
        </w:rPr>
        <w:t>.投标人已详细审查全部“招标文件”，包括修改文件（如有的话）以及全部参考资料和有关附件，已经了解我方对于招标文件、采购过程、采购结果有依法进行询问、质疑、投诉的权利及相关渠道和要求。</w:t>
      </w:r>
    </w:p>
    <w:p w14:paraId="535DAEDA">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2</w:t>
      </w:r>
      <w:r>
        <w:rPr>
          <w:rFonts w:hint="eastAsia" w:ascii="宋体" w:hAnsi="宋体" w:eastAsia="宋体" w:cs="Times New Roman"/>
          <w:color w:val="000000"/>
          <w:sz w:val="24"/>
          <w:szCs w:val="24"/>
        </w:rPr>
        <w:t>.投标人在投标之前已经与贵方进行了充分的沟通，完全理解并接受招标文件的各项规定和要求，对招标文件的合理性、合法性不再有异议。</w:t>
      </w:r>
    </w:p>
    <w:p w14:paraId="7A6FA392">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3</w:t>
      </w:r>
      <w:r>
        <w:rPr>
          <w:rFonts w:hint="eastAsia" w:ascii="宋体" w:hAnsi="宋体" w:eastAsia="宋体" w:cs="Times New Roman"/>
          <w:color w:val="000000"/>
          <w:sz w:val="24"/>
          <w:szCs w:val="24"/>
        </w:rPr>
        <w:t>.本投标有效期自开标日起</w:t>
      </w:r>
      <w:r>
        <w:rPr>
          <w:rFonts w:ascii="宋体" w:hAnsi="宋体" w:eastAsia="宋体" w:cs="Times New Roman"/>
          <w:bCs/>
          <w:color w:val="000000"/>
          <w:sz w:val="24"/>
          <w:szCs w:val="24"/>
          <w:u w:val="single"/>
        </w:rPr>
        <w:t xml:space="preserve"> </w:t>
      </w:r>
      <w:r>
        <w:rPr>
          <w:rFonts w:hint="eastAsia" w:ascii="宋体" w:hAnsi="宋体" w:cs="Times New Roman"/>
          <w:bCs/>
          <w:color w:val="000000"/>
          <w:sz w:val="24"/>
          <w:szCs w:val="24"/>
          <w:u w:val="single"/>
          <w:lang w:val="en-US" w:eastAsia="zh-CN"/>
        </w:rPr>
        <w:t xml:space="preserve"> </w:t>
      </w:r>
      <w:r>
        <w:rPr>
          <w:rFonts w:hint="eastAsia" w:ascii="宋体" w:hAnsi="宋体" w:eastAsia="宋体" w:cs="Times New Roman"/>
          <w:color w:val="000000"/>
          <w:sz w:val="24"/>
          <w:szCs w:val="24"/>
        </w:rPr>
        <w:t>个日历日。</w:t>
      </w:r>
    </w:p>
    <w:p w14:paraId="459E3F15">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4</w:t>
      </w:r>
      <w:r>
        <w:rPr>
          <w:rFonts w:hint="eastAsia" w:ascii="宋体" w:hAnsi="宋体" w:eastAsia="宋体" w:cs="Times New Roman"/>
          <w:color w:val="000000"/>
          <w:sz w:val="24"/>
          <w:szCs w:val="24"/>
        </w:rPr>
        <w:t>.如中标，本投标文件至本项目合同履行完毕止均保持有效，本投标人将按“招标文件”及政府采购法律、法规的规定履行合同责任和义务。</w:t>
      </w:r>
    </w:p>
    <w:p w14:paraId="77545813">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5</w:t>
      </w:r>
      <w:r>
        <w:rPr>
          <w:rFonts w:hint="eastAsia" w:ascii="宋体" w:hAnsi="宋体" w:eastAsia="宋体" w:cs="Times New Roman"/>
          <w:color w:val="000000"/>
          <w:sz w:val="24"/>
          <w:szCs w:val="24"/>
        </w:rPr>
        <w:t>.投标人同意按照贵方要求提供与投标有关的一切数据或资料。</w:t>
      </w:r>
    </w:p>
    <w:p w14:paraId="4F02BADB">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6</w:t>
      </w:r>
      <w:r>
        <w:rPr>
          <w:rFonts w:hint="eastAsia" w:ascii="宋体" w:hAnsi="宋体" w:eastAsia="宋体" w:cs="Times New Roman"/>
          <w:color w:val="000000"/>
          <w:sz w:val="24"/>
          <w:szCs w:val="24"/>
        </w:rPr>
        <w:t>.与本投标有关的一切正式往来信函请寄：</w:t>
      </w:r>
    </w:p>
    <w:p w14:paraId="3404A7CE">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地址：</w:t>
      </w:r>
      <w:r>
        <w:rPr>
          <w:rFonts w:ascii="宋体" w:hAnsi="宋体" w:eastAsia="宋体" w:cs="Times New Roman"/>
          <w:color w:val="000000"/>
          <w:sz w:val="24"/>
          <w:szCs w:val="24"/>
        </w:rPr>
        <w:t xml:space="preserve">                             </w:t>
      </w:r>
    </w:p>
    <w:p w14:paraId="24E63A1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邮编：</w:t>
      </w:r>
      <w:r>
        <w:rPr>
          <w:rFonts w:ascii="宋体" w:hAnsi="宋体" w:eastAsia="宋体" w:cs="Times New Roman"/>
          <w:color w:val="000000"/>
          <w:sz w:val="24"/>
          <w:szCs w:val="24"/>
        </w:rPr>
        <w:t xml:space="preserve">        </w:t>
      </w:r>
    </w:p>
    <w:p w14:paraId="40F28EC1">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电话：</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传真：</w:t>
      </w:r>
      <w:r>
        <w:rPr>
          <w:rFonts w:ascii="宋体" w:hAnsi="宋体" w:eastAsia="宋体" w:cs="Times New Roman"/>
          <w:color w:val="000000"/>
          <w:sz w:val="24"/>
          <w:szCs w:val="24"/>
        </w:rPr>
        <w:t xml:space="preserve">                   </w:t>
      </w:r>
    </w:p>
    <w:p w14:paraId="1D482AFB">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投标人代表姓名：</w:t>
      </w:r>
      <w:r>
        <w:rPr>
          <w:rFonts w:hint="eastAsia"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职务：</w:t>
      </w:r>
      <w:r>
        <w:rPr>
          <w:rFonts w:ascii="宋体" w:hAnsi="宋体" w:eastAsia="宋体" w:cs="Times New Roman"/>
          <w:color w:val="000000"/>
          <w:sz w:val="24"/>
          <w:szCs w:val="24"/>
        </w:rPr>
        <w:t xml:space="preserve">          </w:t>
      </w:r>
    </w:p>
    <w:p w14:paraId="43152E4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开户银行：</w:t>
      </w:r>
      <w:r>
        <w:rPr>
          <w:rFonts w:ascii="宋体" w:hAnsi="宋体" w:eastAsia="宋体" w:cs="Times New Roman"/>
          <w:color w:val="000000"/>
          <w:sz w:val="24"/>
          <w:szCs w:val="24"/>
        </w:rPr>
        <w:t xml:space="preserve">                   </w:t>
      </w:r>
    </w:p>
    <w:p w14:paraId="2F8C4A40">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银行帐号：</w:t>
      </w:r>
      <w:r>
        <w:rPr>
          <w:rFonts w:ascii="宋体" w:hAnsi="宋体" w:eastAsia="宋体" w:cs="Times New Roman"/>
          <w:color w:val="000000"/>
          <w:sz w:val="24"/>
          <w:szCs w:val="24"/>
        </w:rPr>
        <w:t xml:space="preserve">                   </w:t>
      </w:r>
    </w:p>
    <w:p w14:paraId="04462310">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hint="eastAsia" w:ascii="宋体" w:hAnsi="宋体" w:eastAsia="宋体" w:cs="Times New Roman"/>
          <w:bCs/>
          <w:color w:val="000000"/>
          <w:sz w:val="24"/>
          <w:szCs w:val="24"/>
        </w:rPr>
        <w:t>盖章）</w:t>
      </w:r>
      <w:r>
        <w:rPr>
          <w:rFonts w:ascii="宋体" w:hAnsi="宋体" w:eastAsia="宋体" w:cs="Times New Roman"/>
          <w:color w:val="000000"/>
          <w:sz w:val="24"/>
          <w:szCs w:val="24"/>
        </w:rPr>
        <w:t xml:space="preserve">: </w:t>
      </w:r>
    </w:p>
    <w:p w14:paraId="7045671E">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授权代表签字</w:t>
      </w:r>
      <w:r>
        <w:rPr>
          <w:rFonts w:hint="eastAsia" w:ascii="宋体" w:hAnsi="宋体" w:eastAsia="宋体" w:cs="Times New Roman"/>
          <w:bCs/>
          <w:color w:val="000000"/>
          <w:sz w:val="24"/>
          <w:szCs w:val="24"/>
        </w:rPr>
        <w:t>：</w:t>
      </w:r>
    </w:p>
    <w:p w14:paraId="284F62AD">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日期：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14:paraId="50D9D845">
      <w:pPr>
        <w:rPr>
          <w:rFonts w:ascii="黑体" w:hAnsi="Calibri" w:eastAsia="黑体" w:cs="Times New Roman"/>
          <w:color w:val="000000"/>
          <w:sz w:val="24"/>
          <w:szCs w:val="24"/>
        </w:rPr>
      </w:pPr>
    </w:p>
    <w:p w14:paraId="32681108">
      <w:pPr>
        <w:jc w:val="both"/>
        <w:rPr>
          <w:rFonts w:ascii="宋体"/>
          <w:b/>
          <w:color w:val="000000"/>
          <w:szCs w:val="24"/>
        </w:rPr>
      </w:pPr>
    </w:p>
    <w:p w14:paraId="57006D89">
      <w:pPr>
        <w:pStyle w:val="72"/>
        <w:numPr>
          <w:ilvl w:val="0"/>
          <w:numId w:val="0"/>
        </w:numPr>
        <w:ind w:leftChars="0"/>
        <w:rPr>
          <w:rFonts w:hint="eastAsia" w:ascii="宋体" w:hAnsi="宋体" w:eastAsia="宋体" w:cs="宋体"/>
          <w:sz w:val="32"/>
          <w:szCs w:val="32"/>
          <w:highlight w:val="yellow"/>
          <w:lang w:val="en-US" w:eastAsia="zh-CN"/>
        </w:rPr>
      </w:pPr>
      <w:bookmarkStart w:id="29" w:name="_Toc47976618"/>
      <w:bookmarkStart w:id="30" w:name="_Toc29366865"/>
      <w:bookmarkStart w:id="31" w:name="_Toc29366869"/>
      <w:r>
        <w:rPr>
          <w:rFonts w:hint="eastAsia" w:ascii="宋体" w:hAnsi="宋体" w:eastAsia="宋体" w:cs="宋体"/>
          <w:sz w:val="32"/>
          <w:szCs w:val="32"/>
          <w:highlight w:val="yellow"/>
          <w:lang w:val="en-US" w:eastAsia="zh-CN"/>
        </w:rPr>
        <w:t>附件2</w:t>
      </w:r>
    </w:p>
    <w:bookmarkEnd w:id="29"/>
    <w:p w14:paraId="0179E87D">
      <w:pPr>
        <w:spacing w:line="360" w:lineRule="auto"/>
        <w:jc w:val="center"/>
        <w:rPr>
          <w:rFonts w:hint="eastAsia" w:ascii="宋体" w:hAnsi="宋体" w:eastAsia="宋体" w:cs="宋体"/>
          <w:color w:val="000000"/>
          <w:sz w:val="32"/>
          <w:szCs w:val="32"/>
        </w:rPr>
      </w:pPr>
      <w:r>
        <w:rPr>
          <w:rFonts w:hint="eastAsia" w:ascii="宋体" w:hAnsi="宋体" w:eastAsia="宋体" w:cs="宋体"/>
          <w:b/>
          <w:bCs/>
          <w:color w:val="000000"/>
          <w:sz w:val="32"/>
          <w:szCs w:val="32"/>
        </w:rPr>
        <w:t>法定代表人授权委托书</w:t>
      </w:r>
    </w:p>
    <w:p w14:paraId="19A97CD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本授权委托书声明：我＿＿＿＿＿＿＿（姓名）系＿＿＿＿＿＿＿＿＿＿＿＿＿＿＿＿＿＿＿＿＿＿＿＿（投标人全称）的法定代表人，就</w:t>
      </w:r>
      <w:r>
        <w:rPr>
          <w:rFonts w:ascii="宋体" w:hAnsi="宋体" w:eastAsia="宋体" w:cs="Times New Roman"/>
          <w:b/>
          <w:bCs/>
          <w:color w:val="000000"/>
          <w:sz w:val="24"/>
          <w:szCs w:val="24"/>
          <w:u w:val="single"/>
        </w:rPr>
        <w:t xml:space="preserve"> </w:t>
      </w:r>
      <w:r>
        <w:rPr>
          <w:rFonts w:hint="eastAsia" w:ascii="宋体" w:hAnsi="宋体" w:cs="Times New Roman"/>
          <w:b/>
          <w:bCs/>
          <w:color w:val="000000"/>
          <w:sz w:val="24"/>
          <w:szCs w:val="24"/>
          <w:u w:val="single"/>
          <w:lang w:val="en-US" w:eastAsia="zh-CN"/>
        </w:rPr>
        <w:t xml:space="preserve">                      </w:t>
      </w:r>
      <w:r>
        <w:rPr>
          <w:rFonts w:hint="eastAsia" w:ascii="宋体" w:hAnsi="宋体" w:eastAsia="宋体" w:cs="Times New Roman"/>
          <w:color w:val="000000"/>
          <w:sz w:val="24"/>
          <w:szCs w:val="24"/>
        </w:rPr>
        <w:t>现授权委托＿＿＿＿＿＿＿＿＿＿＿＿＿＿＿＿＿＿＿＿＿＿＿＿＿＿＿＿（单位名称）的＿＿＿＿＿＿＿＿（姓名、职务）为我公司全权代表，全权代表在投标文件、评标过程中的书面承诺、合同等所签署的一切文件和处理与之有关的一切事务，我均予以承认。</w:t>
      </w:r>
    </w:p>
    <w:p w14:paraId="74BF2FA9">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全权代表无转委权。特此委托。</w:t>
      </w:r>
    </w:p>
    <w:tbl>
      <w:tblPr>
        <w:tblStyle w:val="30"/>
        <w:tblW w:w="8590"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590"/>
      </w:tblGrid>
      <w:tr w14:paraId="57313CDB">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407" w:hRule="atLeast"/>
          <w:jc w:val="center"/>
        </w:trPr>
        <w:tc>
          <w:tcPr>
            <w:tcW w:w="8590" w:type="dxa"/>
            <w:tcBorders>
              <w:top w:val="single" w:color="auto" w:sz="4" w:space="0"/>
              <w:bottom w:val="single" w:color="auto" w:sz="4" w:space="0"/>
            </w:tcBorders>
            <w:vAlign w:val="center"/>
          </w:tcPr>
          <w:p w14:paraId="6DC2AEF8">
            <w:pPr>
              <w:adjustRightInd w:val="0"/>
              <w:snapToGrid w:val="0"/>
              <w:spacing w:before="93" w:beforeLines="30" w:line="312" w:lineRule="auto"/>
              <w:jc w:val="center"/>
              <w:rPr>
                <w:rFonts w:ascii="宋体" w:hAnsi="Calibri" w:eastAsia="宋体" w:cs="Times New Roman"/>
                <w:sz w:val="24"/>
                <w:szCs w:val="20"/>
                <w:u w:val="none"/>
              </w:rPr>
            </w:pPr>
            <w:r>
              <w:rPr>
                <w:rFonts w:hint="eastAsia" w:ascii="宋体" w:hAnsi="宋体" w:eastAsia="宋体" w:cs="Times New Roman"/>
                <w:sz w:val="24"/>
                <w:szCs w:val="20"/>
              </w:rPr>
              <w:t>附法人身份证明复印件</w:t>
            </w:r>
            <w:r>
              <w:rPr>
                <w:rFonts w:hint="eastAsia" w:ascii="宋体" w:hAnsi="宋体" w:eastAsia="宋体" w:cs="Times New Roman"/>
                <w:sz w:val="24"/>
                <w:szCs w:val="20"/>
                <w:u w:val="none"/>
                <w:lang w:eastAsia="zh-CN"/>
              </w:rPr>
              <w:t>（</w:t>
            </w:r>
            <w:r>
              <w:rPr>
                <w:rFonts w:hint="eastAsia" w:ascii="宋体" w:hAnsi="宋体" w:eastAsia="宋体" w:cs="Times New Roman"/>
                <w:color w:val="000000" w:themeColor="text1"/>
                <w:sz w:val="24"/>
                <w:szCs w:val="20"/>
                <w:u w:val="none"/>
                <w:lang w:val="en-US" w:eastAsia="zh-CN"/>
                <w14:textFill>
                  <w14:solidFill>
                    <w14:schemeClr w14:val="tx1"/>
                  </w14:solidFill>
                </w14:textFill>
              </w:rPr>
              <w:t>正反面）</w:t>
            </w:r>
          </w:p>
          <w:p w14:paraId="0A0449F6">
            <w:pPr>
              <w:adjustRightInd w:val="0"/>
              <w:snapToGrid w:val="0"/>
              <w:spacing w:before="93" w:beforeLines="30" w:line="312" w:lineRule="auto"/>
              <w:jc w:val="center"/>
              <w:rPr>
                <w:rFonts w:ascii="宋体" w:hAnsi="Calibri" w:eastAsia="宋体" w:cs="Times New Roman"/>
                <w:sz w:val="24"/>
                <w:szCs w:val="20"/>
              </w:rPr>
            </w:pPr>
            <w:r>
              <w:rPr>
                <w:rFonts w:hint="eastAsia" w:ascii="宋体" w:hAnsi="宋体" w:eastAsia="宋体" w:cs="Times New Roman"/>
                <w:sz w:val="24"/>
                <w:szCs w:val="20"/>
              </w:rPr>
              <w:t>附授权代理人身份证明复印件</w:t>
            </w:r>
            <w:r>
              <w:rPr>
                <w:rFonts w:hint="eastAsia" w:ascii="宋体" w:hAnsi="宋体" w:eastAsia="宋体" w:cs="Times New Roman"/>
                <w:sz w:val="24"/>
                <w:szCs w:val="20"/>
                <w:lang w:eastAsia="zh-CN"/>
              </w:rPr>
              <w:t>（</w:t>
            </w:r>
            <w:r>
              <w:rPr>
                <w:rFonts w:hint="eastAsia" w:ascii="宋体" w:hAnsi="宋体" w:eastAsia="宋体" w:cs="Times New Roman"/>
                <w:sz w:val="24"/>
                <w:szCs w:val="20"/>
                <w:lang w:val="en-US" w:eastAsia="zh-CN"/>
              </w:rPr>
              <w:t>正反面</w:t>
            </w:r>
            <w:r>
              <w:rPr>
                <w:rFonts w:hint="eastAsia" w:ascii="宋体" w:hAnsi="宋体" w:eastAsia="宋体" w:cs="Times New Roman"/>
                <w:sz w:val="24"/>
                <w:szCs w:val="20"/>
                <w:lang w:eastAsia="zh-CN"/>
              </w:rPr>
              <w:t>）</w:t>
            </w:r>
          </w:p>
        </w:tc>
      </w:tr>
    </w:tbl>
    <w:p w14:paraId="37BFA8A8">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全权代表姓名：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性别：</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年龄：</w:t>
      </w:r>
    </w:p>
    <w:p w14:paraId="3B6DD363">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单位：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部门：</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职务：</w:t>
      </w:r>
    </w:p>
    <w:p w14:paraId="0F64A2A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法定代表人签字或盖章</w:t>
      </w:r>
      <w:r>
        <w:rPr>
          <w:rFonts w:ascii="宋体" w:hAnsi="宋体" w:eastAsia="宋体" w:cs="Times New Roman"/>
          <w:color w:val="000000"/>
          <w:sz w:val="24"/>
          <w:szCs w:val="24"/>
        </w:rPr>
        <w:t xml:space="preserve">                          </w:t>
      </w:r>
    </w:p>
    <w:p w14:paraId="100F211A">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被授权人签字</w:t>
      </w:r>
      <w:r>
        <w:rPr>
          <w:rFonts w:ascii="宋体" w:hAnsi="宋体" w:eastAsia="宋体" w:cs="Times New Roman"/>
          <w:color w:val="000000"/>
          <w:sz w:val="24"/>
          <w:szCs w:val="24"/>
        </w:rPr>
        <w:t xml:space="preserve">  </w:t>
      </w:r>
    </w:p>
    <w:p w14:paraId="7B47F762">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被授权人电话：</w:t>
      </w:r>
      <w:r>
        <w:rPr>
          <w:rFonts w:ascii="宋体" w:hAnsi="宋体" w:eastAsia="宋体" w:cs="Times New Roman"/>
          <w:color w:val="000000"/>
          <w:sz w:val="24"/>
          <w:szCs w:val="24"/>
        </w:rPr>
        <w:t xml:space="preserve">   </w:t>
      </w:r>
    </w:p>
    <w:p w14:paraId="6B9DBB7C">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投标人名称（公章）</w:t>
      </w:r>
      <w:r>
        <w:rPr>
          <w:rFonts w:ascii="宋体" w:hAnsi="宋体" w:eastAsia="宋体" w:cs="Times New Roman"/>
          <w:color w:val="000000"/>
          <w:sz w:val="24"/>
          <w:szCs w:val="24"/>
        </w:rPr>
        <w:t xml:space="preserve">                       </w:t>
      </w:r>
    </w:p>
    <w:p w14:paraId="152336F1">
      <w:pPr>
        <w:spacing w:line="460" w:lineRule="exact"/>
        <w:ind w:firstLine="5520" w:firstLineChars="2300"/>
        <w:rPr>
          <w:rFonts w:ascii="宋体" w:hAnsi="Calibri"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2B3FEAEC">
      <w:pPr>
        <w:spacing w:line="360" w:lineRule="auto"/>
        <w:ind w:firstLine="4800" w:firstLineChars="2000"/>
        <w:rPr>
          <w:rFonts w:ascii="宋体" w:hAnsi="宋体" w:cs="宋体"/>
          <w:sz w:val="24"/>
          <w:szCs w:val="21"/>
        </w:rPr>
      </w:pPr>
    </w:p>
    <w:p w14:paraId="42BBE3A2">
      <w:pPr>
        <w:spacing w:line="360" w:lineRule="auto"/>
        <w:ind w:firstLine="4800" w:firstLineChars="2000"/>
        <w:rPr>
          <w:rFonts w:ascii="宋体" w:hAnsi="宋体" w:cs="宋体"/>
          <w:sz w:val="24"/>
          <w:szCs w:val="21"/>
        </w:rPr>
      </w:pPr>
    </w:p>
    <w:p w14:paraId="3D18A567">
      <w:pPr>
        <w:spacing w:line="360" w:lineRule="auto"/>
        <w:ind w:firstLine="4800" w:firstLineChars="2000"/>
        <w:rPr>
          <w:rFonts w:ascii="宋体" w:hAnsi="宋体" w:cs="宋体"/>
          <w:sz w:val="24"/>
          <w:szCs w:val="21"/>
        </w:rPr>
      </w:pPr>
    </w:p>
    <w:p w14:paraId="758E3B4E">
      <w:pPr>
        <w:spacing w:line="360" w:lineRule="auto"/>
        <w:ind w:firstLine="4800" w:firstLineChars="2000"/>
        <w:rPr>
          <w:rFonts w:ascii="宋体" w:hAnsi="宋体" w:cs="宋体"/>
          <w:sz w:val="24"/>
          <w:szCs w:val="21"/>
        </w:rPr>
      </w:pPr>
    </w:p>
    <w:p w14:paraId="69663AF6">
      <w:pPr>
        <w:pStyle w:val="14"/>
      </w:pPr>
    </w:p>
    <w:p w14:paraId="3A5DEF51">
      <w:pPr>
        <w:spacing w:line="360" w:lineRule="auto"/>
        <w:rPr>
          <w:rFonts w:ascii="宋体" w:hAnsi="宋体" w:cs="宋体"/>
          <w:sz w:val="24"/>
          <w:szCs w:val="21"/>
        </w:rPr>
      </w:pPr>
    </w:p>
    <w:bookmarkEnd w:id="30"/>
    <w:bookmarkEnd w:id="31"/>
    <w:p w14:paraId="53E6B306">
      <w:pPr>
        <w:pStyle w:val="72"/>
        <w:numPr>
          <w:ilvl w:val="0"/>
          <w:numId w:val="0"/>
        </w:numPr>
        <w:ind w:leftChars="0"/>
        <w:rPr>
          <w:rFonts w:hint="eastAsia" w:ascii="宋体" w:hAnsi="宋体" w:eastAsia="宋体" w:cs="宋体"/>
          <w:sz w:val="32"/>
          <w:szCs w:val="32"/>
          <w:highlight w:val="yellow"/>
          <w:lang w:val="en-US" w:eastAsia="zh-CN"/>
        </w:rPr>
      </w:pPr>
      <w:r>
        <w:rPr>
          <w:rFonts w:hint="eastAsia" w:ascii="宋体" w:hAnsi="宋体" w:eastAsia="宋体" w:cs="宋体"/>
          <w:sz w:val="32"/>
          <w:szCs w:val="32"/>
          <w:highlight w:val="yellow"/>
          <w:lang w:val="en-US" w:eastAsia="zh-CN"/>
        </w:rPr>
        <w:t>附件3</w:t>
      </w:r>
    </w:p>
    <w:p w14:paraId="308FC764">
      <w:pPr>
        <w:pStyle w:val="72"/>
        <w:numPr>
          <w:ilvl w:val="0"/>
          <w:numId w:val="0"/>
        </w:numPr>
        <w:ind w:leftChars="0"/>
        <w:jc w:val="center"/>
        <w:rPr>
          <w:rFonts w:hint="eastAsia"/>
          <w:lang w:val="en-US" w:eastAsia="zh-CN"/>
        </w:rPr>
      </w:pPr>
      <w:r>
        <w:rPr>
          <w:rFonts w:hint="eastAsia"/>
          <w:lang w:val="en-US" w:eastAsia="zh-CN"/>
        </w:rPr>
        <w:t>开标一览表</w:t>
      </w:r>
    </w:p>
    <w:p w14:paraId="5C13057A">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项目名称：</w:t>
      </w:r>
      <w:r>
        <w:rPr>
          <w:rFonts w:hint="eastAsia" w:ascii="宋体" w:hAnsi="宋体" w:cs="Times New Roman"/>
          <w:color w:val="000000"/>
          <w:sz w:val="24"/>
          <w:szCs w:val="24"/>
          <w:u w:val="single"/>
          <w:lang w:val="en-US" w:eastAsia="zh-CN"/>
        </w:rPr>
        <w:t xml:space="preserve">                          </w:t>
      </w:r>
      <w:r>
        <w:rPr>
          <w:rFonts w:ascii="宋体" w:hAnsi="宋体" w:eastAsia="宋体" w:cs="Times New Roman"/>
          <w:color w:val="000000"/>
          <w:sz w:val="24"/>
          <w:szCs w:val="24"/>
        </w:rPr>
        <w:t xml:space="preserve">                                                        </w:t>
      </w:r>
    </w:p>
    <w:tbl>
      <w:tblPr>
        <w:tblStyle w:val="30"/>
        <w:tblW w:w="601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77"/>
        <w:gridCol w:w="1518"/>
        <w:gridCol w:w="848"/>
        <w:gridCol w:w="2270"/>
        <w:gridCol w:w="699"/>
      </w:tblGrid>
      <w:tr w14:paraId="5266DB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65" w:hRule="atLeast"/>
          <w:jc w:val="center"/>
        </w:trPr>
        <w:tc>
          <w:tcPr>
            <w:tcW w:w="677" w:type="dxa"/>
            <w:vAlign w:val="center"/>
          </w:tcPr>
          <w:p w14:paraId="4A936B45">
            <w:pPr>
              <w:jc w:val="center"/>
              <w:rPr>
                <w:rFonts w:ascii="Times New Roman" w:hAnsi="Times New Roman" w:eastAsia="宋体" w:cs="Times New Roman"/>
                <w:b/>
                <w:szCs w:val="20"/>
              </w:rPr>
            </w:pPr>
            <w:r>
              <w:rPr>
                <w:rFonts w:hint="eastAsia" w:ascii="Times New Roman" w:hAnsi="Times New Roman" w:eastAsia="宋体" w:cs="Times New Roman"/>
                <w:b/>
                <w:szCs w:val="20"/>
              </w:rPr>
              <w:t>序号</w:t>
            </w:r>
          </w:p>
        </w:tc>
        <w:tc>
          <w:tcPr>
            <w:tcW w:w="1518" w:type="dxa"/>
            <w:vAlign w:val="center"/>
          </w:tcPr>
          <w:p w14:paraId="1E0709A2">
            <w:pPr>
              <w:jc w:val="center"/>
              <w:rPr>
                <w:rFonts w:ascii="Times New Roman" w:hAnsi="Times New Roman" w:eastAsia="宋体" w:cs="Times New Roman"/>
                <w:b/>
                <w:szCs w:val="20"/>
              </w:rPr>
            </w:pPr>
            <w:r>
              <w:rPr>
                <w:rFonts w:hint="eastAsia" w:ascii="Times New Roman" w:hAnsi="Times New Roman" w:eastAsia="宋体" w:cs="Times New Roman"/>
                <w:b/>
                <w:szCs w:val="20"/>
              </w:rPr>
              <w:t>货物名称</w:t>
            </w:r>
          </w:p>
        </w:tc>
        <w:tc>
          <w:tcPr>
            <w:tcW w:w="848" w:type="dxa"/>
            <w:vAlign w:val="center"/>
          </w:tcPr>
          <w:p w14:paraId="17FDCA5F">
            <w:pPr>
              <w:jc w:val="center"/>
              <w:rPr>
                <w:rFonts w:ascii="Times New Roman" w:hAnsi="Times New Roman" w:eastAsia="宋体" w:cs="Times New Roman"/>
                <w:b/>
                <w:szCs w:val="20"/>
              </w:rPr>
            </w:pPr>
            <w:r>
              <w:rPr>
                <w:rFonts w:hint="eastAsia" w:ascii="Times New Roman" w:hAnsi="Times New Roman" w:eastAsia="宋体" w:cs="Times New Roman"/>
                <w:b/>
                <w:szCs w:val="20"/>
              </w:rPr>
              <w:t>数量</w:t>
            </w:r>
          </w:p>
        </w:tc>
        <w:tc>
          <w:tcPr>
            <w:tcW w:w="2270" w:type="dxa"/>
            <w:vAlign w:val="center"/>
          </w:tcPr>
          <w:p w14:paraId="2CFDF69E">
            <w:pPr>
              <w:jc w:val="center"/>
              <w:rPr>
                <w:rFonts w:ascii="Times New Roman" w:hAnsi="Times New Roman" w:eastAsia="宋体" w:cs="Times New Roman"/>
                <w:b/>
                <w:szCs w:val="20"/>
              </w:rPr>
            </w:pPr>
            <w:r>
              <w:rPr>
                <w:rFonts w:hint="eastAsia" w:ascii="Times New Roman" w:hAnsi="Times New Roman" w:eastAsia="宋体" w:cs="Times New Roman"/>
                <w:b/>
                <w:szCs w:val="20"/>
              </w:rPr>
              <w:t>投标总价</w:t>
            </w:r>
            <w:r>
              <w:rPr>
                <w:rFonts w:hint="eastAsia" w:ascii="等线" w:hAnsi="等线" w:eastAsia="等线" w:cs="Times New Roman"/>
                <w:b/>
                <w:szCs w:val="20"/>
              </w:rPr>
              <w:t>（元）</w:t>
            </w:r>
          </w:p>
        </w:tc>
        <w:tc>
          <w:tcPr>
            <w:tcW w:w="699" w:type="dxa"/>
            <w:vAlign w:val="center"/>
          </w:tcPr>
          <w:p w14:paraId="6A18842B">
            <w:pPr>
              <w:jc w:val="center"/>
              <w:rPr>
                <w:rFonts w:hint="default" w:ascii="等线" w:hAnsi="等线" w:eastAsia="等线" w:cs="Times New Roman"/>
                <w:b/>
                <w:szCs w:val="20"/>
                <w:lang w:val="en-US"/>
              </w:rPr>
            </w:pPr>
            <w:r>
              <w:rPr>
                <w:rFonts w:hint="eastAsia" w:cs="Times New Roman"/>
                <w:b/>
                <w:szCs w:val="20"/>
                <w:lang w:val="en-US" w:eastAsia="zh-CN"/>
              </w:rPr>
              <w:t>商务条款是否偏离</w:t>
            </w:r>
          </w:p>
        </w:tc>
      </w:tr>
      <w:tr w14:paraId="5BAA27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534" w:hRule="atLeast"/>
          <w:jc w:val="center"/>
        </w:trPr>
        <w:tc>
          <w:tcPr>
            <w:tcW w:w="677" w:type="dxa"/>
            <w:vAlign w:val="center"/>
          </w:tcPr>
          <w:p w14:paraId="4A5755E0">
            <w:pPr>
              <w:jc w:val="center"/>
              <w:rPr>
                <w:rFonts w:ascii="Times New Roman" w:hAnsi="Times New Roman" w:eastAsia="宋体" w:cs="Times New Roman"/>
                <w:b/>
                <w:szCs w:val="20"/>
              </w:rPr>
            </w:pPr>
          </w:p>
        </w:tc>
        <w:tc>
          <w:tcPr>
            <w:tcW w:w="1518" w:type="dxa"/>
            <w:vAlign w:val="center"/>
          </w:tcPr>
          <w:p w14:paraId="54DC8446">
            <w:pPr>
              <w:jc w:val="center"/>
              <w:rPr>
                <w:rFonts w:hint="eastAsia" w:ascii="Times New Roman" w:hAnsi="Times New Roman" w:eastAsia="宋体" w:cs="Times New Roman"/>
                <w:b/>
                <w:szCs w:val="20"/>
                <w:lang w:eastAsia="zh-CN"/>
              </w:rPr>
            </w:pPr>
          </w:p>
        </w:tc>
        <w:tc>
          <w:tcPr>
            <w:tcW w:w="848" w:type="dxa"/>
            <w:vAlign w:val="center"/>
          </w:tcPr>
          <w:p w14:paraId="36DF2E5E">
            <w:pPr>
              <w:jc w:val="center"/>
              <w:rPr>
                <w:rFonts w:hint="eastAsia" w:ascii="Times New Roman" w:hAnsi="Times New Roman" w:eastAsia="宋体" w:cs="Times New Roman"/>
                <w:b/>
                <w:szCs w:val="20"/>
                <w:lang w:val="en-US" w:eastAsia="zh-CN"/>
              </w:rPr>
            </w:pPr>
          </w:p>
        </w:tc>
        <w:tc>
          <w:tcPr>
            <w:tcW w:w="2270" w:type="dxa"/>
            <w:vAlign w:val="center"/>
          </w:tcPr>
          <w:p w14:paraId="0FB381A6">
            <w:pPr>
              <w:jc w:val="left"/>
              <w:rPr>
                <w:rFonts w:hint="eastAsia" w:ascii="等线" w:hAnsi="等线" w:eastAsia="等线" w:cs="Times New Roman"/>
                <w:b/>
                <w:szCs w:val="20"/>
                <w:lang w:val="en-US" w:eastAsia="zh-CN"/>
              </w:rPr>
            </w:pPr>
            <w:r>
              <w:rPr>
                <w:rFonts w:hint="eastAsia" w:ascii="等线" w:hAnsi="等线" w:eastAsia="等线" w:cs="Times New Roman"/>
                <w:b/>
                <w:szCs w:val="20"/>
              </w:rPr>
              <w:t>不含税价</w:t>
            </w:r>
            <w:r>
              <w:rPr>
                <w:rFonts w:hint="eastAsia" w:ascii="等线" w:hAnsi="等线" w:eastAsia="等线" w:cs="Times New Roman"/>
                <w:b/>
                <w:szCs w:val="20"/>
                <w:lang w:eastAsia="zh-CN"/>
              </w:rPr>
              <w:t>：</w:t>
            </w:r>
          </w:p>
          <w:p w14:paraId="53D09461">
            <w:pPr>
              <w:jc w:val="left"/>
              <w:rPr>
                <w:rFonts w:hint="default" w:ascii="等线" w:hAnsi="等线" w:eastAsia="等线" w:cs="Times New Roman"/>
                <w:b/>
                <w:szCs w:val="20"/>
                <w:lang w:val="en-US" w:eastAsia="zh-CN"/>
              </w:rPr>
            </w:pPr>
            <w:r>
              <w:rPr>
                <w:rFonts w:hint="eastAsia" w:ascii="等线" w:hAnsi="等线" w:eastAsia="等线" w:cs="Times New Roman"/>
                <w:b/>
                <w:szCs w:val="20"/>
              </w:rPr>
              <w:t>含税价格：</w:t>
            </w:r>
            <w:r>
              <w:rPr>
                <w:rFonts w:hint="eastAsia" w:ascii="等线" w:hAnsi="等线" w:eastAsia="等线" w:cs="Times New Roman"/>
                <w:b/>
                <w:szCs w:val="20"/>
                <w:u w:val="single"/>
                <w:lang w:val="en-US" w:eastAsia="zh-CN"/>
              </w:rPr>
              <w:t xml:space="preserve">    （大写：    ）</w:t>
            </w:r>
          </w:p>
          <w:p w14:paraId="097597C8">
            <w:pPr>
              <w:jc w:val="left"/>
              <w:rPr>
                <w:rFonts w:ascii="Times New Roman" w:hAnsi="Times New Roman" w:eastAsia="宋体" w:cs="Times New Roman"/>
                <w:b/>
                <w:szCs w:val="20"/>
              </w:rPr>
            </w:pPr>
            <w:r>
              <w:rPr>
                <w:rFonts w:hint="eastAsia" w:ascii="等线" w:hAnsi="等线" w:eastAsia="等线" w:cs="Times New Roman"/>
                <w:b/>
                <w:szCs w:val="20"/>
              </w:rPr>
              <w:t>税率：</w:t>
            </w:r>
          </w:p>
        </w:tc>
        <w:tc>
          <w:tcPr>
            <w:tcW w:w="699" w:type="dxa"/>
            <w:vAlign w:val="center"/>
          </w:tcPr>
          <w:p w14:paraId="1FCF983E">
            <w:pPr>
              <w:jc w:val="center"/>
              <w:rPr>
                <w:rFonts w:ascii="Times New Roman" w:hAnsi="Times New Roman" w:eastAsia="宋体" w:cs="Times New Roman"/>
                <w:b/>
                <w:szCs w:val="20"/>
              </w:rPr>
            </w:pPr>
          </w:p>
        </w:tc>
      </w:tr>
    </w:tbl>
    <w:p w14:paraId="2D275DAE">
      <w:pPr>
        <w:rPr>
          <w:rFonts w:ascii="宋体" w:hAnsi="Arial" w:eastAsia="宋体" w:cs="Times New Roman"/>
          <w:sz w:val="24"/>
          <w:szCs w:val="24"/>
        </w:rPr>
      </w:pPr>
    </w:p>
    <w:p w14:paraId="631E0DA4">
      <w:pPr>
        <w:spacing w:line="400" w:lineRule="exact"/>
        <w:rPr>
          <w:rFonts w:ascii="宋体" w:hAnsi="Calibri" w:eastAsia="宋体" w:cs="Times New Roman"/>
          <w:szCs w:val="21"/>
        </w:rPr>
      </w:pPr>
      <w:r>
        <w:rPr>
          <w:rFonts w:hint="eastAsia" w:ascii="宋体" w:hAnsi="宋体" w:eastAsia="宋体" w:cs="Times New Roman"/>
          <w:b/>
          <w:bCs/>
          <w:szCs w:val="21"/>
        </w:rPr>
        <w:t>注：</w:t>
      </w:r>
    </w:p>
    <w:p w14:paraId="2489D3A3">
      <w:pPr>
        <w:spacing w:line="520" w:lineRule="exact"/>
        <w:rPr>
          <w:rFonts w:ascii="宋体" w:hAnsi="Calibri" w:eastAsia="宋体" w:cs="Times New Roman"/>
          <w:b/>
          <w:bCs/>
          <w:szCs w:val="21"/>
        </w:rPr>
      </w:pPr>
      <w:r>
        <w:rPr>
          <w:rFonts w:ascii="宋体" w:hAnsi="宋体" w:eastAsia="宋体" w:cs="Times New Roman"/>
          <w:b/>
          <w:bCs/>
          <w:szCs w:val="21"/>
        </w:rPr>
        <w:t>1</w:t>
      </w:r>
      <w:r>
        <w:rPr>
          <w:rFonts w:hint="eastAsia" w:ascii="宋体" w:hAnsi="宋体" w:eastAsia="宋体" w:cs="Times New Roman"/>
          <w:b/>
          <w:bCs/>
          <w:szCs w:val="21"/>
        </w:rPr>
        <w:t>.此表中的报价必须与相应的报价明细表中的报价一致。</w:t>
      </w:r>
    </w:p>
    <w:p w14:paraId="6FF33B77">
      <w:pPr>
        <w:spacing w:line="300" w:lineRule="auto"/>
        <w:rPr>
          <w:rFonts w:ascii="宋体" w:hAnsi="宋体" w:eastAsia="宋体" w:cs="宋体"/>
          <w:b/>
          <w:szCs w:val="20"/>
        </w:rPr>
      </w:pPr>
      <w:r>
        <w:rPr>
          <w:rFonts w:hint="eastAsia" w:ascii="宋体" w:hAnsi="宋体" w:cs="宋体"/>
          <w:b/>
          <w:szCs w:val="20"/>
          <w:lang w:val="en-US" w:eastAsia="zh-CN"/>
        </w:rPr>
        <w:t>2</w:t>
      </w:r>
      <w:r>
        <w:rPr>
          <w:rFonts w:hint="eastAsia" w:ascii="宋体" w:hAnsi="宋体" w:eastAsia="宋体" w:cs="宋体"/>
          <w:b/>
          <w:szCs w:val="20"/>
        </w:rPr>
        <w:t>.需写明含税价、不含税价格、税率。</w:t>
      </w:r>
    </w:p>
    <w:p w14:paraId="04E7938D">
      <w:pPr>
        <w:pStyle w:val="14"/>
        <w:rPr>
          <w:rFonts w:hint="eastAsia" w:hAnsi="宋体" w:eastAsia="宋体" w:cs="Times New Roman"/>
          <w:b/>
          <w:bCs/>
          <w:szCs w:val="21"/>
          <w:highlight w:val="none"/>
          <w:lang w:val="en-US" w:eastAsia="zh-CN"/>
        </w:rPr>
      </w:pPr>
      <w:r>
        <w:rPr>
          <w:rFonts w:hint="eastAsia" w:hAnsi="宋体" w:cs="宋体"/>
          <w:b/>
          <w:szCs w:val="20"/>
          <w:highlight w:val="none"/>
          <w:lang w:val="en-US" w:eastAsia="zh-CN"/>
        </w:rPr>
        <w:t>3</w:t>
      </w:r>
      <w:r>
        <w:rPr>
          <w:rFonts w:hint="eastAsia" w:hAnsi="宋体" w:eastAsia="宋体" w:cs="宋体"/>
          <w:b/>
          <w:szCs w:val="20"/>
          <w:highlight w:val="none"/>
        </w:rPr>
        <w:t>.</w:t>
      </w:r>
      <w:r>
        <w:rPr>
          <w:rFonts w:hint="eastAsia" w:hAnsi="宋体" w:eastAsia="宋体" w:cs="Times New Roman"/>
          <w:b/>
          <w:bCs/>
          <w:szCs w:val="21"/>
          <w:highlight w:val="none"/>
        </w:rPr>
        <w:t>投标总价包括</w:t>
      </w:r>
      <w:r>
        <w:rPr>
          <w:rFonts w:hint="eastAsia" w:hAnsi="宋体" w:cs="Times New Roman"/>
          <w:b/>
          <w:bCs/>
          <w:szCs w:val="21"/>
          <w:highlight w:val="none"/>
          <w:u w:val="single"/>
          <w:lang w:val="en-US" w:eastAsia="zh-CN"/>
        </w:rPr>
        <w:t xml:space="preserve">                                             </w:t>
      </w:r>
      <w:r>
        <w:rPr>
          <w:rFonts w:hint="eastAsia" w:hAnsi="宋体" w:cs="Times New Roman"/>
          <w:b/>
          <w:bCs/>
          <w:szCs w:val="21"/>
          <w:highlight w:val="none"/>
          <w:u w:val="none"/>
          <w:lang w:val="en-US" w:eastAsia="zh-CN"/>
        </w:rPr>
        <w:t>全部费用</w:t>
      </w:r>
      <w:r>
        <w:rPr>
          <w:rFonts w:hint="eastAsia" w:hAnsi="宋体" w:eastAsia="宋体" w:cs="Times New Roman"/>
          <w:b/>
          <w:bCs/>
          <w:szCs w:val="21"/>
          <w:highlight w:val="none"/>
        </w:rPr>
        <w:t>。</w:t>
      </w:r>
    </w:p>
    <w:p w14:paraId="37948116">
      <w:pPr>
        <w:pStyle w:val="14"/>
        <w:rPr>
          <w:rFonts w:hint="eastAsia" w:hAnsi="宋体" w:eastAsia="宋体" w:cs="Times New Roman"/>
          <w:b/>
          <w:bCs/>
          <w:szCs w:val="21"/>
          <w:highlight w:val="yellow"/>
        </w:rPr>
      </w:pPr>
    </w:p>
    <w:p w14:paraId="122437DB">
      <w:pPr>
        <w:pStyle w:val="14"/>
        <w:rPr>
          <w:rFonts w:hint="eastAsia" w:hAnsi="宋体" w:eastAsia="宋体" w:cs="Times New Roman"/>
          <w:b/>
          <w:bCs/>
          <w:szCs w:val="21"/>
          <w:highlight w:val="yellow"/>
        </w:rPr>
      </w:pPr>
    </w:p>
    <w:p w14:paraId="04CA4F0F">
      <w:pPr>
        <w:spacing w:line="660" w:lineRule="exact"/>
        <w:jc w:val="center"/>
        <w:rPr>
          <w:rFonts w:ascii="宋体" w:hAnsi="Calibri" w:eastAsia="宋体" w:cs="Times New Roman"/>
          <w:sz w:val="24"/>
          <w:szCs w:val="20"/>
        </w:rPr>
      </w:pPr>
      <w:r>
        <w:rPr>
          <w:rFonts w:hint="eastAsia" w:ascii="宋体" w:hAnsi="宋体" w:cs="Times New Roman"/>
          <w:sz w:val="24"/>
          <w:szCs w:val="20"/>
          <w:lang w:val="en-US" w:eastAsia="zh-CN"/>
        </w:rPr>
        <w:t xml:space="preserve">                        </w:t>
      </w:r>
      <w:r>
        <w:rPr>
          <w:rFonts w:hint="eastAsia" w:ascii="宋体" w:hAnsi="宋体" w:eastAsia="宋体" w:cs="Times New Roman"/>
          <w:sz w:val="24"/>
          <w:szCs w:val="20"/>
        </w:rPr>
        <w:t>投标人：（盖章）</w:t>
      </w:r>
    </w:p>
    <w:p w14:paraId="56A16EB6">
      <w:pPr>
        <w:spacing w:line="660" w:lineRule="exact"/>
        <w:jc w:val="righ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14:paraId="17C8223C">
      <w:pPr>
        <w:spacing w:line="660" w:lineRule="exact"/>
        <w:jc w:val="center"/>
        <w:rPr>
          <w:rFonts w:ascii="宋体" w:hAnsi="Calibri" w:eastAsia="宋体" w:cs="Times New Roman"/>
          <w:sz w:val="24"/>
          <w:szCs w:val="20"/>
        </w:rPr>
      </w:pPr>
      <w:r>
        <w:rPr>
          <w:rFonts w:hint="eastAsia" w:ascii="宋体" w:hAnsi="宋体" w:cs="Times New Roman"/>
          <w:sz w:val="24"/>
          <w:szCs w:val="20"/>
          <w:lang w:val="en-US" w:eastAsia="zh-CN"/>
        </w:rPr>
        <w:t xml:space="preserve">                                     </w:t>
      </w: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15FBE699">
      <w:pPr>
        <w:pStyle w:val="72"/>
        <w:numPr>
          <w:ilvl w:val="0"/>
          <w:numId w:val="0"/>
        </w:numPr>
        <w:ind w:leftChars="0"/>
      </w:pPr>
      <w:r>
        <w:t xml:space="preserve"> </w:t>
      </w:r>
    </w:p>
    <w:p w14:paraId="629CACEA">
      <w:pPr>
        <w:pStyle w:val="72"/>
        <w:numPr>
          <w:ilvl w:val="0"/>
          <w:numId w:val="0"/>
        </w:numPr>
        <w:ind w:leftChars="0"/>
      </w:pPr>
    </w:p>
    <w:p w14:paraId="2CE14CF3">
      <w:pPr>
        <w:pStyle w:val="72"/>
        <w:numPr>
          <w:ilvl w:val="0"/>
          <w:numId w:val="0"/>
        </w:numPr>
        <w:ind w:leftChars="0"/>
      </w:pPr>
    </w:p>
    <w:p w14:paraId="2FBF7315">
      <w:pPr>
        <w:pStyle w:val="72"/>
        <w:numPr>
          <w:ilvl w:val="0"/>
          <w:numId w:val="0"/>
        </w:numPr>
        <w:ind w:leftChars="0"/>
      </w:pPr>
    </w:p>
    <w:p w14:paraId="5938BB61">
      <w:pPr>
        <w:pStyle w:val="72"/>
        <w:numPr>
          <w:ilvl w:val="0"/>
          <w:numId w:val="0"/>
        </w:numPr>
        <w:ind w:leftChars="0"/>
      </w:pPr>
    </w:p>
    <w:p w14:paraId="093739FC">
      <w:pPr>
        <w:pStyle w:val="72"/>
        <w:numPr>
          <w:ilvl w:val="0"/>
          <w:numId w:val="0"/>
        </w:numPr>
        <w:ind w:leftChars="0"/>
      </w:pPr>
    </w:p>
    <w:p w14:paraId="2C9B5DBD">
      <w:pPr>
        <w:pStyle w:val="72"/>
        <w:numPr>
          <w:ilvl w:val="0"/>
          <w:numId w:val="0"/>
        </w:numPr>
        <w:ind w:leftChars="0"/>
      </w:pPr>
    </w:p>
    <w:p w14:paraId="0013F30B">
      <w:pPr>
        <w:pStyle w:val="76"/>
        <w:ind w:firstLine="630" w:firstLineChars="300"/>
        <w:rPr>
          <w:rFonts w:hint="eastAsia"/>
        </w:rPr>
      </w:pPr>
    </w:p>
    <w:p w14:paraId="5824C4BF">
      <w:pPr>
        <w:pStyle w:val="76"/>
        <w:rPr>
          <w:rFonts w:hint="eastAsia" w:ascii="宋体" w:hAnsi="宋体" w:eastAsia="宋体" w:cs="宋体"/>
          <w:b/>
          <w:bCs/>
          <w:kern w:val="2"/>
          <w:sz w:val="32"/>
          <w:szCs w:val="32"/>
          <w:lang w:val="en-US" w:eastAsia="zh-CN" w:bidi="ar-SA"/>
        </w:rPr>
      </w:pPr>
      <w:r>
        <w:rPr>
          <w:rFonts w:hint="eastAsia" w:ascii="宋体" w:hAnsi="宋体" w:eastAsia="宋体" w:cs="宋体"/>
          <w:b/>
          <w:bCs/>
          <w:kern w:val="2"/>
          <w:sz w:val="32"/>
          <w:szCs w:val="32"/>
          <w:lang w:val="en-US" w:eastAsia="zh-CN" w:bidi="ar-SA"/>
        </w:rPr>
        <w:t>附件4</w:t>
      </w:r>
    </w:p>
    <w:p w14:paraId="4DC52569">
      <w:pPr>
        <w:rPr>
          <w:rFonts w:ascii="宋体" w:hAnsi="宋体"/>
          <w:highlight w:val="none"/>
        </w:rPr>
      </w:pPr>
      <w:r>
        <w:rPr>
          <w:rFonts w:hint="eastAsia" w:ascii="宋体" w:hAnsi="宋体"/>
          <w:highlight w:val="none"/>
        </w:rPr>
        <w:t>项目名称：(XX项目)</w:t>
      </w:r>
    </w:p>
    <w:p w14:paraId="7C5EEEFF">
      <w:pPr>
        <w:rPr>
          <w:rFonts w:ascii="宋体" w:hAnsi="宋体"/>
          <w:highlight w:val="none"/>
        </w:rPr>
      </w:pPr>
    </w:p>
    <w:p w14:paraId="6E3467C4">
      <w:pPr>
        <w:rPr>
          <w:rFonts w:ascii="宋体" w:hAnsi="宋体"/>
          <w:szCs w:val="21"/>
          <w:highlight w:val="none"/>
        </w:rPr>
      </w:pPr>
      <w:r>
        <w:rPr>
          <w:rFonts w:hint="eastAsia" w:ascii="宋体" w:hAnsi="宋体"/>
          <w:szCs w:val="21"/>
          <w:highlight w:val="none"/>
        </w:rPr>
        <w:t>日期：  年   月   日</w:t>
      </w:r>
    </w:p>
    <w:p w14:paraId="278B8445">
      <w:pPr>
        <w:jc w:val="center"/>
        <w:rPr>
          <w:rFonts w:eastAsia="黑体"/>
          <w:b/>
          <w:bCs/>
          <w:sz w:val="28"/>
          <w:highlight w:val="none"/>
        </w:rPr>
      </w:pPr>
    </w:p>
    <w:p w14:paraId="4E16171B">
      <w:pPr>
        <w:jc w:val="center"/>
        <w:rPr>
          <w:rFonts w:eastAsia="黑体"/>
          <w:b/>
          <w:bCs/>
          <w:sz w:val="28"/>
          <w:highlight w:val="none"/>
        </w:rPr>
      </w:pPr>
      <w:r>
        <w:rPr>
          <w:rFonts w:hint="eastAsia" w:eastAsia="黑体"/>
          <w:b/>
          <w:bCs/>
          <w:sz w:val="28"/>
          <w:highlight w:val="none"/>
        </w:rPr>
        <w:t>相关条款偏离表</w:t>
      </w:r>
    </w:p>
    <w:tbl>
      <w:tblPr>
        <w:tblStyle w:val="30"/>
        <w:tblW w:w="852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8"/>
        <w:gridCol w:w="1080"/>
        <w:gridCol w:w="3060"/>
        <w:gridCol w:w="3554"/>
      </w:tblGrid>
      <w:tr w14:paraId="742C7F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Merge w:val="restart"/>
            <w:vAlign w:val="center"/>
          </w:tcPr>
          <w:p w14:paraId="745D662F">
            <w:pPr>
              <w:jc w:val="center"/>
              <w:rPr>
                <w:rFonts w:ascii="宋体" w:hAnsi="宋体"/>
                <w:sz w:val="24"/>
                <w:highlight w:val="none"/>
              </w:rPr>
            </w:pPr>
            <w:r>
              <w:rPr>
                <w:rFonts w:hint="eastAsia" w:ascii="宋体" w:hAnsi="宋体"/>
                <w:sz w:val="24"/>
                <w:highlight w:val="none"/>
              </w:rPr>
              <w:t>序号</w:t>
            </w:r>
          </w:p>
        </w:tc>
        <w:tc>
          <w:tcPr>
            <w:tcW w:w="4140" w:type="dxa"/>
            <w:gridSpan w:val="2"/>
            <w:vAlign w:val="center"/>
          </w:tcPr>
          <w:p w14:paraId="395B0C6F">
            <w:pPr>
              <w:jc w:val="center"/>
              <w:rPr>
                <w:rFonts w:ascii="宋体" w:hAnsi="宋体"/>
                <w:sz w:val="24"/>
                <w:highlight w:val="none"/>
              </w:rPr>
            </w:pPr>
            <w:r>
              <w:rPr>
                <w:rFonts w:hint="eastAsia" w:ascii="宋体" w:hAnsi="宋体"/>
                <w:sz w:val="24"/>
                <w:highlight w:val="none"/>
              </w:rPr>
              <w:t>招标文件条款</w:t>
            </w:r>
          </w:p>
        </w:tc>
        <w:tc>
          <w:tcPr>
            <w:tcW w:w="3554" w:type="dxa"/>
            <w:vMerge w:val="restart"/>
            <w:vAlign w:val="center"/>
          </w:tcPr>
          <w:p w14:paraId="73E794A8">
            <w:pPr>
              <w:jc w:val="center"/>
              <w:rPr>
                <w:rFonts w:ascii="宋体" w:hAnsi="宋体"/>
                <w:sz w:val="24"/>
                <w:highlight w:val="none"/>
              </w:rPr>
            </w:pPr>
            <w:r>
              <w:rPr>
                <w:rFonts w:hint="eastAsia" w:ascii="宋体" w:hAnsi="宋体"/>
                <w:sz w:val="24"/>
                <w:highlight w:val="none"/>
              </w:rPr>
              <w:t>偏离内容</w:t>
            </w:r>
          </w:p>
        </w:tc>
      </w:tr>
      <w:tr w14:paraId="6018BD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Merge w:val="continue"/>
            <w:vAlign w:val="center"/>
          </w:tcPr>
          <w:p w14:paraId="3CAC8D2F">
            <w:pPr>
              <w:rPr>
                <w:rFonts w:ascii="宋体" w:hAnsi="宋体"/>
                <w:sz w:val="24"/>
                <w:highlight w:val="none"/>
              </w:rPr>
            </w:pPr>
          </w:p>
        </w:tc>
        <w:tc>
          <w:tcPr>
            <w:tcW w:w="1080" w:type="dxa"/>
            <w:vAlign w:val="center"/>
          </w:tcPr>
          <w:p w14:paraId="10C57CF7">
            <w:pPr>
              <w:jc w:val="center"/>
              <w:rPr>
                <w:rFonts w:ascii="宋体" w:hAnsi="宋体"/>
                <w:sz w:val="24"/>
                <w:highlight w:val="none"/>
              </w:rPr>
            </w:pPr>
            <w:r>
              <w:rPr>
                <w:rFonts w:hint="eastAsia" w:ascii="宋体" w:hAnsi="宋体"/>
                <w:sz w:val="24"/>
                <w:highlight w:val="none"/>
              </w:rPr>
              <w:t>条款号</w:t>
            </w:r>
          </w:p>
        </w:tc>
        <w:tc>
          <w:tcPr>
            <w:tcW w:w="3060" w:type="dxa"/>
            <w:vAlign w:val="center"/>
          </w:tcPr>
          <w:p w14:paraId="4D648324">
            <w:pPr>
              <w:jc w:val="center"/>
              <w:rPr>
                <w:rFonts w:ascii="宋体" w:hAnsi="宋体"/>
                <w:sz w:val="24"/>
                <w:highlight w:val="none"/>
              </w:rPr>
            </w:pPr>
            <w:r>
              <w:rPr>
                <w:rFonts w:hint="eastAsia" w:ascii="宋体" w:hAnsi="宋体"/>
                <w:sz w:val="24"/>
                <w:highlight w:val="none"/>
              </w:rPr>
              <w:t>条款要求</w:t>
            </w:r>
          </w:p>
        </w:tc>
        <w:tc>
          <w:tcPr>
            <w:tcW w:w="3554" w:type="dxa"/>
            <w:vMerge w:val="continue"/>
            <w:vAlign w:val="center"/>
          </w:tcPr>
          <w:p w14:paraId="302B1B1A">
            <w:pPr>
              <w:jc w:val="center"/>
              <w:rPr>
                <w:rFonts w:ascii="宋体" w:hAnsi="宋体"/>
                <w:sz w:val="24"/>
                <w:highlight w:val="none"/>
              </w:rPr>
            </w:pPr>
          </w:p>
        </w:tc>
      </w:tr>
      <w:tr w14:paraId="1112AD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3F7922EA">
            <w:pPr>
              <w:jc w:val="center"/>
              <w:rPr>
                <w:rFonts w:ascii="宋体" w:hAnsi="宋体"/>
                <w:sz w:val="24"/>
                <w:highlight w:val="none"/>
              </w:rPr>
            </w:pPr>
            <w:r>
              <w:rPr>
                <w:rFonts w:hint="eastAsia" w:ascii="宋体" w:hAnsi="宋体"/>
                <w:sz w:val="24"/>
                <w:highlight w:val="none"/>
              </w:rPr>
              <w:t>1</w:t>
            </w:r>
          </w:p>
        </w:tc>
        <w:tc>
          <w:tcPr>
            <w:tcW w:w="1080" w:type="dxa"/>
            <w:vAlign w:val="center"/>
          </w:tcPr>
          <w:p w14:paraId="538ABA5F">
            <w:pPr>
              <w:rPr>
                <w:rFonts w:ascii="宋体" w:hAnsi="宋体"/>
                <w:sz w:val="24"/>
                <w:highlight w:val="none"/>
              </w:rPr>
            </w:pPr>
          </w:p>
        </w:tc>
        <w:tc>
          <w:tcPr>
            <w:tcW w:w="3060" w:type="dxa"/>
            <w:vAlign w:val="center"/>
          </w:tcPr>
          <w:p w14:paraId="3C498C71">
            <w:pPr>
              <w:rPr>
                <w:rFonts w:ascii="宋体" w:hAnsi="宋体"/>
                <w:sz w:val="24"/>
                <w:highlight w:val="none"/>
              </w:rPr>
            </w:pPr>
          </w:p>
        </w:tc>
        <w:tc>
          <w:tcPr>
            <w:tcW w:w="3554" w:type="dxa"/>
            <w:vAlign w:val="center"/>
          </w:tcPr>
          <w:p w14:paraId="2F6E3968">
            <w:pPr>
              <w:rPr>
                <w:rFonts w:ascii="宋体" w:hAnsi="宋体"/>
                <w:sz w:val="24"/>
                <w:highlight w:val="none"/>
              </w:rPr>
            </w:pPr>
          </w:p>
        </w:tc>
      </w:tr>
      <w:tr w14:paraId="76B97A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040B3D6B">
            <w:pPr>
              <w:jc w:val="center"/>
              <w:rPr>
                <w:rFonts w:ascii="宋体" w:hAnsi="宋体"/>
                <w:sz w:val="24"/>
                <w:highlight w:val="none"/>
              </w:rPr>
            </w:pPr>
            <w:r>
              <w:rPr>
                <w:rFonts w:hint="eastAsia" w:ascii="宋体" w:hAnsi="宋体"/>
                <w:sz w:val="24"/>
                <w:highlight w:val="none"/>
              </w:rPr>
              <w:t>2</w:t>
            </w:r>
          </w:p>
        </w:tc>
        <w:tc>
          <w:tcPr>
            <w:tcW w:w="1080" w:type="dxa"/>
            <w:vAlign w:val="center"/>
          </w:tcPr>
          <w:p w14:paraId="2AD3B2F3">
            <w:pPr>
              <w:rPr>
                <w:rFonts w:ascii="宋体" w:hAnsi="宋体"/>
                <w:sz w:val="24"/>
                <w:highlight w:val="none"/>
              </w:rPr>
            </w:pPr>
          </w:p>
        </w:tc>
        <w:tc>
          <w:tcPr>
            <w:tcW w:w="3060" w:type="dxa"/>
            <w:vAlign w:val="center"/>
          </w:tcPr>
          <w:p w14:paraId="7F9B0AE5">
            <w:pPr>
              <w:rPr>
                <w:rFonts w:ascii="宋体" w:hAnsi="宋体"/>
                <w:sz w:val="24"/>
                <w:highlight w:val="none"/>
              </w:rPr>
            </w:pPr>
          </w:p>
        </w:tc>
        <w:tc>
          <w:tcPr>
            <w:tcW w:w="3554" w:type="dxa"/>
            <w:vAlign w:val="center"/>
          </w:tcPr>
          <w:p w14:paraId="010C3404">
            <w:pPr>
              <w:rPr>
                <w:rFonts w:ascii="宋体" w:hAnsi="宋体"/>
                <w:sz w:val="24"/>
                <w:highlight w:val="none"/>
              </w:rPr>
            </w:pPr>
          </w:p>
        </w:tc>
      </w:tr>
      <w:tr w14:paraId="46F514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4E1868C2">
            <w:pPr>
              <w:jc w:val="center"/>
              <w:rPr>
                <w:rFonts w:ascii="宋体" w:hAnsi="宋体"/>
                <w:sz w:val="24"/>
                <w:highlight w:val="none"/>
              </w:rPr>
            </w:pPr>
            <w:r>
              <w:rPr>
                <w:rFonts w:hint="eastAsia" w:ascii="宋体" w:hAnsi="宋体"/>
                <w:sz w:val="24"/>
                <w:highlight w:val="none"/>
              </w:rPr>
              <w:t>3</w:t>
            </w:r>
          </w:p>
        </w:tc>
        <w:tc>
          <w:tcPr>
            <w:tcW w:w="1080" w:type="dxa"/>
            <w:vAlign w:val="center"/>
          </w:tcPr>
          <w:p w14:paraId="7A8D31EC">
            <w:pPr>
              <w:rPr>
                <w:rFonts w:ascii="宋体" w:hAnsi="宋体"/>
                <w:sz w:val="24"/>
                <w:highlight w:val="none"/>
              </w:rPr>
            </w:pPr>
          </w:p>
        </w:tc>
        <w:tc>
          <w:tcPr>
            <w:tcW w:w="3060" w:type="dxa"/>
            <w:vAlign w:val="center"/>
          </w:tcPr>
          <w:p w14:paraId="756B7DFC">
            <w:pPr>
              <w:rPr>
                <w:rFonts w:ascii="宋体" w:hAnsi="宋体"/>
                <w:sz w:val="24"/>
                <w:highlight w:val="none"/>
              </w:rPr>
            </w:pPr>
          </w:p>
        </w:tc>
        <w:tc>
          <w:tcPr>
            <w:tcW w:w="3554" w:type="dxa"/>
            <w:vAlign w:val="center"/>
          </w:tcPr>
          <w:p w14:paraId="4D87A192">
            <w:pPr>
              <w:rPr>
                <w:rFonts w:ascii="宋体" w:hAnsi="宋体"/>
                <w:sz w:val="24"/>
                <w:highlight w:val="none"/>
              </w:rPr>
            </w:pPr>
          </w:p>
        </w:tc>
      </w:tr>
      <w:tr w14:paraId="6EBF0D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36B2605B">
            <w:pPr>
              <w:jc w:val="center"/>
              <w:rPr>
                <w:rFonts w:ascii="宋体" w:hAnsi="宋体"/>
                <w:sz w:val="24"/>
                <w:highlight w:val="none"/>
              </w:rPr>
            </w:pPr>
            <w:r>
              <w:rPr>
                <w:rFonts w:hint="eastAsia" w:ascii="宋体" w:hAnsi="宋体"/>
                <w:sz w:val="24"/>
                <w:highlight w:val="none"/>
              </w:rPr>
              <w:t>4</w:t>
            </w:r>
          </w:p>
        </w:tc>
        <w:tc>
          <w:tcPr>
            <w:tcW w:w="1080" w:type="dxa"/>
            <w:vAlign w:val="center"/>
          </w:tcPr>
          <w:p w14:paraId="15952CF5">
            <w:pPr>
              <w:rPr>
                <w:rFonts w:ascii="宋体" w:hAnsi="宋体"/>
                <w:sz w:val="24"/>
                <w:highlight w:val="none"/>
              </w:rPr>
            </w:pPr>
          </w:p>
        </w:tc>
        <w:tc>
          <w:tcPr>
            <w:tcW w:w="3060" w:type="dxa"/>
            <w:vAlign w:val="center"/>
          </w:tcPr>
          <w:p w14:paraId="62A65E7B">
            <w:pPr>
              <w:rPr>
                <w:rFonts w:ascii="宋体" w:hAnsi="宋体"/>
                <w:sz w:val="24"/>
                <w:highlight w:val="none"/>
              </w:rPr>
            </w:pPr>
          </w:p>
        </w:tc>
        <w:tc>
          <w:tcPr>
            <w:tcW w:w="3554" w:type="dxa"/>
            <w:vAlign w:val="center"/>
          </w:tcPr>
          <w:p w14:paraId="408F497A">
            <w:pPr>
              <w:rPr>
                <w:rFonts w:ascii="宋体" w:hAnsi="宋体"/>
                <w:sz w:val="24"/>
                <w:highlight w:val="none"/>
              </w:rPr>
            </w:pPr>
          </w:p>
        </w:tc>
      </w:tr>
      <w:tr w14:paraId="6150F3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4AF085D5">
            <w:pPr>
              <w:jc w:val="center"/>
              <w:rPr>
                <w:rFonts w:ascii="宋体" w:hAnsi="宋体"/>
                <w:sz w:val="24"/>
                <w:highlight w:val="none"/>
              </w:rPr>
            </w:pPr>
            <w:r>
              <w:rPr>
                <w:rFonts w:hint="eastAsia" w:ascii="宋体" w:hAnsi="宋体"/>
                <w:sz w:val="24"/>
                <w:highlight w:val="none"/>
              </w:rPr>
              <w:t>5</w:t>
            </w:r>
          </w:p>
        </w:tc>
        <w:tc>
          <w:tcPr>
            <w:tcW w:w="1080" w:type="dxa"/>
            <w:vAlign w:val="center"/>
          </w:tcPr>
          <w:p w14:paraId="3403E861">
            <w:pPr>
              <w:rPr>
                <w:rFonts w:ascii="宋体" w:hAnsi="宋体"/>
                <w:sz w:val="24"/>
                <w:highlight w:val="none"/>
              </w:rPr>
            </w:pPr>
          </w:p>
        </w:tc>
        <w:tc>
          <w:tcPr>
            <w:tcW w:w="3060" w:type="dxa"/>
            <w:vAlign w:val="center"/>
          </w:tcPr>
          <w:p w14:paraId="237ECA7D">
            <w:pPr>
              <w:rPr>
                <w:rFonts w:ascii="宋体" w:hAnsi="宋体"/>
                <w:sz w:val="24"/>
                <w:highlight w:val="none"/>
              </w:rPr>
            </w:pPr>
          </w:p>
        </w:tc>
        <w:tc>
          <w:tcPr>
            <w:tcW w:w="3554" w:type="dxa"/>
            <w:vAlign w:val="center"/>
          </w:tcPr>
          <w:p w14:paraId="59C54394">
            <w:pPr>
              <w:rPr>
                <w:rFonts w:ascii="宋体" w:hAnsi="宋体"/>
                <w:sz w:val="24"/>
                <w:highlight w:val="none"/>
              </w:rPr>
            </w:pPr>
          </w:p>
        </w:tc>
      </w:tr>
      <w:tr w14:paraId="142CD6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26C5A1DA">
            <w:pPr>
              <w:jc w:val="center"/>
              <w:rPr>
                <w:rFonts w:ascii="宋体" w:hAnsi="宋体"/>
                <w:sz w:val="24"/>
                <w:highlight w:val="none"/>
              </w:rPr>
            </w:pPr>
            <w:r>
              <w:rPr>
                <w:rFonts w:hint="eastAsia" w:ascii="宋体" w:hAnsi="宋体"/>
                <w:sz w:val="24"/>
                <w:highlight w:val="none"/>
              </w:rPr>
              <w:t>6</w:t>
            </w:r>
          </w:p>
        </w:tc>
        <w:tc>
          <w:tcPr>
            <w:tcW w:w="1080" w:type="dxa"/>
            <w:vAlign w:val="center"/>
          </w:tcPr>
          <w:p w14:paraId="591E72D4">
            <w:pPr>
              <w:rPr>
                <w:rFonts w:ascii="宋体" w:hAnsi="宋体"/>
                <w:sz w:val="24"/>
                <w:highlight w:val="none"/>
              </w:rPr>
            </w:pPr>
          </w:p>
        </w:tc>
        <w:tc>
          <w:tcPr>
            <w:tcW w:w="3060" w:type="dxa"/>
            <w:vAlign w:val="center"/>
          </w:tcPr>
          <w:p w14:paraId="214B514F">
            <w:pPr>
              <w:rPr>
                <w:rFonts w:ascii="宋体" w:hAnsi="宋体"/>
                <w:sz w:val="24"/>
                <w:highlight w:val="none"/>
              </w:rPr>
            </w:pPr>
          </w:p>
        </w:tc>
        <w:tc>
          <w:tcPr>
            <w:tcW w:w="3554" w:type="dxa"/>
            <w:vAlign w:val="center"/>
          </w:tcPr>
          <w:p w14:paraId="388AB4ED">
            <w:pPr>
              <w:rPr>
                <w:rFonts w:ascii="宋体" w:hAnsi="宋体"/>
                <w:sz w:val="24"/>
                <w:highlight w:val="none"/>
              </w:rPr>
            </w:pPr>
          </w:p>
        </w:tc>
      </w:tr>
      <w:tr w14:paraId="460B3E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0139E5C3">
            <w:pPr>
              <w:jc w:val="center"/>
              <w:rPr>
                <w:rFonts w:ascii="宋体" w:hAnsi="宋体"/>
                <w:sz w:val="24"/>
                <w:highlight w:val="none"/>
              </w:rPr>
            </w:pPr>
            <w:r>
              <w:rPr>
                <w:rFonts w:hint="eastAsia" w:ascii="宋体" w:hAnsi="宋体"/>
                <w:sz w:val="24"/>
                <w:highlight w:val="none"/>
              </w:rPr>
              <w:t>7</w:t>
            </w:r>
          </w:p>
        </w:tc>
        <w:tc>
          <w:tcPr>
            <w:tcW w:w="1080" w:type="dxa"/>
            <w:vAlign w:val="center"/>
          </w:tcPr>
          <w:p w14:paraId="7A2B3692">
            <w:pPr>
              <w:rPr>
                <w:rFonts w:ascii="宋体" w:hAnsi="宋体"/>
                <w:sz w:val="24"/>
                <w:highlight w:val="none"/>
              </w:rPr>
            </w:pPr>
          </w:p>
        </w:tc>
        <w:tc>
          <w:tcPr>
            <w:tcW w:w="3060" w:type="dxa"/>
            <w:vAlign w:val="center"/>
          </w:tcPr>
          <w:p w14:paraId="43D5BC50">
            <w:pPr>
              <w:rPr>
                <w:rFonts w:ascii="宋体" w:hAnsi="宋体"/>
                <w:sz w:val="24"/>
                <w:highlight w:val="none"/>
              </w:rPr>
            </w:pPr>
          </w:p>
        </w:tc>
        <w:tc>
          <w:tcPr>
            <w:tcW w:w="3554" w:type="dxa"/>
            <w:vAlign w:val="center"/>
          </w:tcPr>
          <w:p w14:paraId="1EB034FF">
            <w:pPr>
              <w:rPr>
                <w:rFonts w:ascii="宋体" w:hAnsi="宋体"/>
                <w:sz w:val="24"/>
                <w:highlight w:val="none"/>
              </w:rPr>
            </w:pPr>
          </w:p>
        </w:tc>
      </w:tr>
      <w:tr w14:paraId="2453DC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5751735A">
            <w:pPr>
              <w:jc w:val="center"/>
              <w:rPr>
                <w:rFonts w:ascii="宋体" w:hAnsi="宋体"/>
                <w:sz w:val="24"/>
                <w:highlight w:val="none"/>
              </w:rPr>
            </w:pPr>
            <w:r>
              <w:rPr>
                <w:rFonts w:hint="eastAsia" w:ascii="宋体" w:hAnsi="宋体"/>
                <w:sz w:val="24"/>
                <w:highlight w:val="none"/>
              </w:rPr>
              <w:t>8</w:t>
            </w:r>
          </w:p>
        </w:tc>
        <w:tc>
          <w:tcPr>
            <w:tcW w:w="1080" w:type="dxa"/>
            <w:vAlign w:val="center"/>
          </w:tcPr>
          <w:p w14:paraId="0A7BF74D">
            <w:pPr>
              <w:rPr>
                <w:rFonts w:ascii="宋体" w:hAnsi="宋体"/>
                <w:sz w:val="24"/>
                <w:highlight w:val="none"/>
              </w:rPr>
            </w:pPr>
          </w:p>
        </w:tc>
        <w:tc>
          <w:tcPr>
            <w:tcW w:w="3060" w:type="dxa"/>
            <w:vAlign w:val="center"/>
          </w:tcPr>
          <w:p w14:paraId="7B67645B">
            <w:pPr>
              <w:rPr>
                <w:rFonts w:ascii="宋体" w:hAnsi="宋体"/>
                <w:sz w:val="24"/>
                <w:highlight w:val="none"/>
              </w:rPr>
            </w:pPr>
          </w:p>
        </w:tc>
        <w:tc>
          <w:tcPr>
            <w:tcW w:w="3554" w:type="dxa"/>
            <w:vAlign w:val="center"/>
          </w:tcPr>
          <w:p w14:paraId="144C59C9">
            <w:pPr>
              <w:rPr>
                <w:rFonts w:ascii="宋体" w:hAnsi="宋体"/>
                <w:sz w:val="24"/>
                <w:highlight w:val="none"/>
              </w:rPr>
            </w:pPr>
          </w:p>
        </w:tc>
      </w:tr>
      <w:tr w14:paraId="3BAFE9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2E3616E7">
            <w:pPr>
              <w:jc w:val="center"/>
              <w:rPr>
                <w:rFonts w:ascii="宋体" w:hAnsi="宋体"/>
                <w:sz w:val="24"/>
                <w:highlight w:val="none"/>
              </w:rPr>
            </w:pPr>
            <w:r>
              <w:rPr>
                <w:rFonts w:hint="eastAsia" w:ascii="宋体" w:hAnsi="宋体"/>
                <w:sz w:val="24"/>
                <w:highlight w:val="none"/>
              </w:rPr>
              <w:t>9</w:t>
            </w:r>
          </w:p>
        </w:tc>
        <w:tc>
          <w:tcPr>
            <w:tcW w:w="1080" w:type="dxa"/>
            <w:vAlign w:val="center"/>
          </w:tcPr>
          <w:p w14:paraId="4B369379">
            <w:pPr>
              <w:rPr>
                <w:rFonts w:ascii="宋体" w:hAnsi="宋体"/>
                <w:sz w:val="24"/>
                <w:highlight w:val="none"/>
              </w:rPr>
            </w:pPr>
          </w:p>
        </w:tc>
        <w:tc>
          <w:tcPr>
            <w:tcW w:w="3060" w:type="dxa"/>
            <w:vAlign w:val="center"/>
          </w:tcPr>
          <w:p w14:paraId="55224F27">
            <w:pPr>
              <w:rPr>
                <w:rFonts w:ascii="宋体" w:hAnsi="宋体"/>
                <w:sz w:val="24"/>
                <w:highlight w:val="none"/>
              </w:rPr>
            </w:pPr>
          </w:p>
        </w:tc>
        <w:tc>
          <w:tcPr>
            <w:tcW w:w="3554" w:type="dxa"/>
            <w:vAlign w:val="center"/>
          </w:tcPr>
          <w:p w14:paraId="50639014">
            <w:pPr>
              <w:rPr>
                <w:rFonts w:ascii="宋体" w:hAnsi="宋体"/>
                <w:sz w:val="24"/>
                <w:highlight w:val="none"/>
              </w:rPr>
            </w:pPr>
          </w:p>
        </w:tc>
      </w:tr>
      <w:tr w14:paraId="6CC5A7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7F9D63E8">
            <w:pPr>
              <w:jc w:val="center"/>
              <w:rPr>
                <w:rFonts w:ascii="宋体" w:hAnsi="宋体"/>
                <w:sz w:val="24"/>
                <w:highlight w:val="none"/>
              </w:rPr>
            </w:pPr>
            <w:r>
              <w:rPr>
                <w:rFonts w:hint="eastAsia" w:ascii="宋体" w:hAnsi="宋体"/>
                <w:sz w:val="24"/>
                <w:highlight w:val="none"/>
              </w:rPr>
              <w:t>10</w:t>
            </w:r>
          </w:p>
        </w:tc>
        <w:tc>
          <w:tcPr>
            <w:tcW w:w="1080" w:type="dxa"/>
            <w:vAlign w:val="center"/>
          </w:tcPr>
          <w:p w14:paraId="5433C2BD">
            <w:pPr>
              <w:rPr>
                <w:rFonts w:ascii="宋体" w:hAnsi="宋体"/>
                <w:sz w:val="24"/>
                <w:highlight w:val="none"/>
              </w:rPr>
            </w:pPr>
          </w:p>
        </w:tc>
        <w:tc>
          <w:tcPr>
            <w:tcW w:w="3060" w:type="dxa"/>
            <w:vAlign w:val="center"/>
          </w:tcPr>
          <w:p w14:paraId="2D1D4A54">
            <w:pPr>
              <w:rPr>
                <w:rFonts w:ascii="宋体" w:hAnsi="宋体"/>
                <w:sz w:val="24"/>
                <w:highlight w:val="none"/>
              </w:rPr>
            </w:pPr>
          </w:p>
        </w:tc>
        <w:tc>
          <w:tcPr>
            <w:tcW w:w="3554" w:type="dxa"/>
            <w:vAlign w:val="center"/>
          </w:tcPr>
          <w:p w14:paraId="668B5942">
            <w:pPr>
              <w:rPr>
                <w:rFonts w:ascii="宋体" w:hAnsi="宋体"/>
                <w:sz w:val="24"/>
                <w:highlight w:val="none"/>
              </w:rPr>
            </w:pPr>
          </w:p>
        </w:tc>
      </w:tr>
    </w:tbl>
    <w:p w14:paraId="5C39E2CC">
      <w:pPr>
        <w:rPr>
          <w:rFonts w:ascii="宋体" w:hAnsi="宋体"/>
          <w:sz w:val="24"/>
          <w:highlight w:val="none"/>
        </w:rPr>
      </w:pPr>
    </w:p>
    <w:p w14:paraId="37AD7380">
      <w:pPr>
        <w:rPr>
          <w:rFonts w:ascii="仿宋_GB2312" w:hAnsi="宋体" w:eastAsia="仿宋_GB2312"/>
          <w:sz w:val="24"/>
          <w:highlight w:val="none"/>
        </w:rPr>
      </w:pPr>
      <w:r>
        <w:rPr>
          <w:rFonts w:hint="eastAsia" w:ascii="仿宋_GB2312" w:hAnsi="宋体" w:eastAsia="仿宋_GB2312"/>
          <w:sz w:val="24"/>
          <w:highlight w:val="none"/>
        </w:rPr>
        <w:t>投标人名称（盖章）：              法定代表人或授权代表签字：</w:t>
      </w:r>
    </w:p>
    <w:p w14:paraId="61998052">
      <w:pPr>
        <w:rPr>
          <w:rFonts w:ascii="宋体" w:hAnsi="宋体"/>
          <w:sz w:val="24"/>
          <w:highlight w:val="none"/>
        </w:rPr>
      </w:pPr>
    </w:p>
    <w:p w14:paraId="069039FB">
      <w:pPr>
        <w:rPr>
          <w:rFonts w:ascii="宋体" w:hAnsi="宋体"/>
          <w:sz w:val="24"/>
          <w:highlight w:val="none"/>
        </w:rPr>
      </w:pPr>
    </w:p>
    <w:p w14:paraId="0101026E">
      <w:pPr>
        <w:pStyle w:val="76"/>
        <w:rPr>
          <w:rFonts w:hint="eastAsia" w:ascii="宋体" w:hAnsi="宋体"/>
          <w:sz w:val="24"/>
          <w:highlight w:val="none"/>
        </w:rPr>
      </w:pPr>
      <w:r>
        <w:rPr>
          <w:rFonts w:hint="eastAsia" w:ascii="宋体" w:hAnsi="宋体"/>
          <w:b/>
          <w:sz w:val="24"/>
          <w:highlight w:val="none"/>
        </w:rPr>
        <w:t>注：</w:t>
      </w:r>
      <w:r>
        <w:rPr>
          <w:rFonts w:hint="eastAsia" w:ascii="宋体" w:hAnsi="宋体"/>
          <w:sz w:val="24"/>
          <w:highlight w:val="none"/>
        </w:rPr>
        <w:t>为避免歧义，无偏离也应要提报该表，并注明“无”字。如无该表则即使在其它部分已反映，将也被视为“无偏离”。</w:t>
      </w:r>
    </w:p>
    <w:p w14:paraId="53969182">
      <w:pPr>
        <w:rPr>
          <w:rFonts w:hint="eastAsia" w:ascii="宋体" w:hAnsi="宋体"/>
          <w:sz w:val="24"/>
          <w:highlight w:val="none"/>
        </w:rPr>
      </w:pPr>
      <w:r>
        <w:rPr>
          <w:rFonts w:hint="eastAsia" w:ascii="宋体" w:hAnsi="宋体"/>
          <w:sz w:val="24"/>
          <w:highlight w:val="none"/>
        </w:rPr>
        <w:br w:type="page"/>
      </w:r>
    </w:p>
    <w:p w14:paraId="6DB6E000">
      <w:pPr>
        <w:pStyle w:val="14"/>
        <w:outlineLvl w:val="2"/>
        <w:rPr>
          <w:rFonts w:hAnsi="宋体" w:cs="宋体"/>
          <w:b/>
          <w:bCs/>
          <w:color w:val="000000"/>
          <w:sz w:val="24"/>
          <w:szCs w:val="24"/>
        </w:rPr>
      </w:pPr>
      <w:r>
        <w:rPr>
          <w:rFonts w:hint="eastAsia" w:hAnsi="宋体" w:cs="宋体"/>
          <w:b/>
          <w:bCs/>
          <w:color w:val="000000"/>
          <w:sz w:val="24"/>
          <w:szCs w:val="24"/>
        </w:rPr>
        <w:t>SRM非生产供应商注册操作手册</w:t>
      </w:r>
    </w:p>
    <w:p w14:paraId="68765BB9">
      <w:pPr>
        <w:pStyle w:val="14"/>
      </w:pPr>
    </w:p>
    <w:p w14:paraId="0E24E503">
      <w:pPr>
        <w:adjustRightInd w:val="0"/>
        <w:snapToGrid w:val="0"/>
        <w:spacing w:line="360" w:lineRule="auto"/>
        <w:jc w:val="left"/>
        <w:rPr>
          <w:rFonts w:ascii="宋体" w:hAnsi="宋体" w:cs="宋体"/>
          <w:sz w:val="24"/>
          <w:szCs w:val="24"/>
        </w:rPr>
      </w:pPr>
      <w:r>
        <w:rPr>
          <w:rFonts w:ascii="宋体" w:hAnsi="宋体" w:cs="宋体"/>
          <w:sz w:val="24"/>
          <w:szCs w:val="24"/>
        </w:rPr>
        <w:t>浏览器中输入地址;</w:t>
      </w:r>
    </w:p>
    <w:p w14:paraId="74FA9387">
      <w:pPr>
        <w:adjustRightInd w:val="0"/>
        <w:snapToGrid w:val="0"/>
        <w:spacing w:line="360" w:lineRule="auto"/>
        <w:jc w:val="left"/>
        <w:rPr>
          <w:rFonts w:ascii="宋体" w:hAnsi="宋体" w:cs="宋体"/>
          <w:sz w:val="24"/>
          <w:szCs w:val="24"/>
        </w:rPr>
      </w:pPr>
      <w:r>
        <w:fldChar w:fldCharType="begin"/>
      </w:r>
      <w:r>
        <w:instrText xml:space="preserve"> HYPERLINK "http://ecaitong.sinotruk.com:8012/" \l "/login" \t "dlt" </w:instrText>
      </w:r>
      <w:r>
        <w:fldChar w:fldCharType="separate"/>
      </w:r>
      <w:r>
        <w:rPr>
          <w:rFonts w:ascii="宋体" w:hAnsi="宋体" w:cs="宋体"/>
          <w:sz w:val="24"/>
          <w:szCs w:val="24"/>
        </w:rPr>
        <w:t>http</w:t>
      </w:r>
      <w:r>
        <w:rPr>
          <w:rFonts w:hint="eastAsia" w:ascii="宋体" w:hAnsi="宋体" w:cs="宋体"/>
          <w:sz w:val="24"/>
          <w:szCs w:val="24"/>
        </w:rPr>
        <w:t>s</w:t>
      </w:r>
      <w:r>
        <w:rPr>
          <w:rFonts w:ascii="宋体" w:hAnsi="宋体" w:cs="宋体"/>
          <w:sz w:val="24"/>
          <w:szCs w:val="24"/>
        </w:rPr>
        <w:t>://ecaitong.sinotruk.com:8012/#/login</w:t>
      </w:r>
      <w:r>
        <w:rPr>
          <w:rFonts w:ascii="宋体" w:hAnsi="宋体" w:cs="宋体"/>
          <w:sz w:val="24"/>
          <w:szCs w:val="24"/>
        </w:rPr>
        <w:fldChar w:fldCharType="end"/>
      </w:r>
    </w:p>
    <w:p w14:paraId="6BB0DFE9">
      <w:pPr>
        <w:adjustRightInd w:val="0"/>
        <w:snapToGrid w:val="0"/>
        <w:spacing w:line="360" w:lineRule="auto"/>
        <w:jc w:val="left"/>
        <w:rPr>
          <w:rFonts w:ascii="宋体" w:hAnsi="宋体" w:cs="宋体"/>
          <w:sz w:val="24"/>
          <w:szCs w:val="24"/>
        </w:rPr>
      </w:pPr>
      <w:r>
        <w:rPr>
          <w:rFonts w:ascii="宋体" w:hAnsi="宋体" w:cs="宋体"/>
          <w:sz w:val="24"/>
          <w:szCs w:val="24"/>
        </w:rPr>
        <w:t>1.点击立即注册</w:t>
      </w:r>
    </w:p>
    <w:p w14:paraId="4D1508E0">
      <w:pPr>
        <w:snapToGrid w:val="0"/>
        <w:spacing w:line="312" w:lineRule="auto"/>
      </w:pPr>
      <w:r>
        <w:drawing>
          <wp:inline distT="0" distB="0" distL="0" distR="0">
            <wp:extent cx="5760085" cy="2933065"/>
            <wp:effectExtent l="0" t="0" r="5715" b="635"/>
            <wp:docPr id="17" name="picture" descr="descript"/>
            <wp:cNvGraphicFramePr/>
            <a:graphic xmlns:a="http://schemas.openxmlformats.org/drawingml/2006/main">
              <a:graphicData uri="http://schemas.openxmlformats.org/drawingml/2006/picture">
                <pic:pic xmlns:pic="http://schemas.openxmlformats.org/drawingml/2006/picture">
                  <pic:nvPicPr>
                    <pic:cNvPr id="17" name="picture" descr="descript"/>
                    <pic:cNvPicPr/>
                  </pic:nvPicPr>
                  <pic:blipFill>
                    <a:blip r:embed="rId11"/>
                    <a:stretch>
                      <a:fillRect/>
                    </a:stretch>
                  </pic:blipFill>
                  <pic:spPr>
                    <a:xfrm>
                      <a:off x="0" y="0"/>
                      <a:ext cx="5760085" cy="2933377"/>
                    </a:xfrm>
                    <a:prstGeom prst="rect">
                      <a:avLst/>
                    </a:prstGeom>
                  </pic:spPr>
                </pic:pic>
              </a:graphicData>
            </a:graphic>
          </wp:inline>
        </w:drawing>
      </w:r>
    </w:p>
    <w:p w14:paraId="19D7CFAC">
      <w:pPr>
        <w:spacing w:line="360" w:lineRule="auto"/>
        <w:rPr>
          <w:rFonts w:ascii="宋体" w:hAnsi="宋体" w:cs="宋体"/>
          <w:sz w:val="24"/>
          <w:szCs w:val="28"/>
        </w:rPr>
      </w:pPr>
      <w:r>
        <w:rPr>
          <w:rFonts w:hint="eastAsia" w:ascii="宋体" w:hAnsi="宋体" w:cs="宋体"/>
          <w:color w:val="000000"/>
          <w:sz w:val="24"/>
          <w:szCs w:val="28"/>
        </w:rPr>
        <w:t>2.</w:t>
      </w:r>
      <w:r>
        <w:rPr>
          <w:rFonts w:ascii="宋体" w:hAnsi="宋体" w:cs="宋体"/>
          <w:color w:val="000000"/>
          <w:sz w:val="24"/>
          <w:szCs w:val="28"/>
        </w:rPr>
        <w:t>填写手机号码（没有注册过的）</w:t>
      </w:r>
    </w:p>
    <w:p w14:paraId="1FEA666F">
      <w:pPr>
        <w:snapToGrid w:val="0"/>
        <w:spacing w:line="312" w:lineRule="auto"/>
      </w:pPr>
      <w:r>
        <w:drawing>
          <wp:inline distT="0" distB="0" distL="0" distR="0">
            <wp:extent cx="5760085" cy="2766695"/>
            <wp:effectExtent l="0" t="0" r="5715" b="1905"/>
            <wp:docPr id="18" name="picture" descr="descript"/>
            <wp:cNvGraphicFramePr/>
            <a:graphic xmlns:a="http://schemas.openxmlformats.org/drawingml/2006/main">
              <a:graphicData uri="http://schemas.openxmlformats.org/drawingml/2006/picture">
                <pic:pic xmlns:pic="http://schemas.openxmlformats.org/drawingml/2006/picture">
                  <pic:nvPicPr>
                    <pic:cNvPr id="18" name="picture" descr="descript"/>
                    <pic:cNvPicPr/>
                  </pic:nvPicPr>
                  <pic:blipFill>
                    <a:blip r:embed="rId12"/>
                    <a:stretch>
                      <a:fillRect/>
                    </a:stretch>
                  </pic:blipFill>
                  <pic:spPr>
                    <a:xfrm>
                      <a:off x="0" y="0"/>
                      <a:ext cx="5760085" cy="2766707"/>
                    </a:xfrm>
                    <a:prstGeom prst="rect">
                      <a:avLst/>
                    </a:prstGeom>
                  </pic:spPr>
                </pic:pic>
              </a:graphicData>
            </a:graphic>
          </wp:inline>
        </w:drawing>
      </w:r>
    </w:p>
    <w:p w14:paraId="0691E3CA">
      <w:pPr>
        <w:spacing w:line="360" w:lineRule="auto"/>
        <w:rPr>
          <w:rFonts w:ascii="宋体" w:hAnsi="宋体" w:cs="宋体"/>
          <w:sz w:val="24"/>
          <w:szCs w:val="28"/>
        </w:rPr>
      </w:pPr>
      <w:r>
        <w:rPr>
          <w:rFonts w:hint="eastAsia" w:ascii="宋体" w:hAnsi="宋体" w:cs="宋体"/>
          <w:color w:val="000000"/>
          <w:sz w:val="24"/>
          <w:szCs w:val="28"/>
        </w:rPr>
        <w:t>3.</w:t>
      </w:r>
      <w:r>
        <w:rPr>
          <w:rFonts w:ascii="宋体" w:hAnsi="宋体" w:cs="宋体"/>
          <w:color w:val="000000"/>
          <w:sz w:val="24"/>
          <w:szCs w:val="28"/>
        </w:rPr>
        <w:t>注册成功登录这个手机号码的账号进入系统，点击供应商注册</w:t>
      </w:r>
    </w:p>
    <w:p w14:paraId="31921633">
      <w:pPr>
        <w:snapToGrid w:val="0"/>
        <w:spacing w:line="312" w:lineRule="auto"/>
      </w:pPr>
      <w:r>
        <w:drawing>
          <wp:inline distT="0" distB="0" distL="0" distR="0">
            <wp:extent cx="5760085" cy="2869565"/>
            <wp:effectExtent l="0" t="0" r="5715" b="635"/>
            <wp:docPr id="19" name="picture" descr="descript"/>
            <wp:cNvGraphicFramePr/>
            <a:graphic xmlns:a="http://schemas.openxmlformats.org/drawingml/2006/main">
              <a:graphicData uri="http://schemas.openxmlformats.org/drawingml/2006/picture">
                <pic:pic xmlns:pic="http://schemas.openxmlformats.org/drawingml/2006/picture">
                  <pic:nvPicPr>
                    <pic:cNvPr id="19" name="picture" descr="descript"/>
                    <pic:cNvPicPr/>
                  </pic:nvPicPr>
                  <pic:blipFill>
                    <a:blip r:embed="rId13"/>
                    <a:stretch>
                      <a:fillRect/>
                    </a:stretch>
                  </pic:blipFill>
                  <pic:spPr>
                    <a:xfrm>
                      <a:off x="0" y="0"/>
                      <a:ext cx="5760085" cy="2870054"/>
                    </a:xfrm>
                    <a:prstGeom prst="rect">
                      <a:avLst/>
                    </a:prstGeom>
                  </pic:spPr>
                </pic:pic>
              </a:graphicData>
            </a:graphic>
          </wp:inline>
        </w:drawing>
      </w:r>
    </w:p>
    <w:p w14:paraId="1D22714A">
      <w:pPr>
        <w:spacing w:line="360" w:lineRule="auto"/>
        <w:rPr>
          <w:rFonts w:ascii="宋体" w:hAnsi="宋体" w:cs="宋体"/>
          <w:sz w:val="24"/>
          <w:szCs w:val="28"/>
        </w:rPr>
      </w:pPr>
      <w:r>
        <w:rPr>
          <w:rFonts w:hint="eastAsia" w:ascii="宋体" w:hAnsi="宋体" w:cs="宋体"/>
          <w:color w:val="000000"/>
          <w:sz w:val="24"/>
          <w:szCs w:val="28"/>
        </w:rPr>
        <w:t>4.</w:t>
      </w:r>
      <w:r>
        <w:rPr>
          <w:rFonts w:ascii="宋体" w:hAnsi="宋体" w:cs="宋体"/>
          <w:color w:val="000000"/>
          <w:sz w:val="24"/>
          <w:szCs w:val="28"/>
        </w:rPr>
        <w:t>点击新增</w:t>
      </w:r>
    </w:p>
    <w:p w14:paraId="29725BB0">
      <w:pPr>
        <w:snapToGrid w:val="0"/>
        <w:spacing w:line="312" w:lineRule="auto"/>
      </w:pPr>
      <w:r>
        <w:drawing>
          <wp:inline distT="0" distB="0" distL="0" distR="0">
            <wp:extent cx="5760085" cy="2853055"/>
            <wp:effectExtent l="0" t="0" r="5715" b="4445"/>
            <wp:docPr id="22" name="picture" descr="descript"/>
            <wp:cNvGraphicFramePr/>
            <a:graphic xmlns:a="http://schemas.openxmlformats.org/drawingml/2006/main">
              <a:graphicData uri="http://schemas.openxmlformats.org/drawingml/2006/picture">
                <pic:pic xmlns:pic="http://schemas.openxmlformats.org/drawingml/2006/picture">
                  <pic:nvPicPr>
                    <pic:cNvPr id="22" name="picture" descr="descript"/>
                    <pic:cNvPicPr/>
                  </pic:nvPicPr>
                  <pic:blipFill>
                    <a:blip r:embed="rId14"/>
                    <a:stretch>
                      <a:fillRect/>
                    </a:stretch>
                  </pic:blipFill>
                  <pic:spPr>
                    <a:xfrm>
                      <a:off x="0" y="0"/>
                      <a:ext cx="5760085" cy="2853375"/>
                    </a:xfrm>
                    <a:prstGeom prst="rect">
                      <a:avLst/>
                    </a:prstGeom>
                  </pic:spPr>
                </pic:pic>
              </a:graphicData>
            </a:graphic>
          </wp:inline>
        </w:drawing>
      </w:r>
    </w:p>
    <w:p w14:paraId="3F134B44">
      <w:pPr>
        <w:spacing w:line="360" w:lineRule="auto"/>
        <w:rPr>
          <w:rFonts w:ascii="宋体" w:hAnsi="宋体" w:cs="宋体"/>
          <w:sz w:val="24"/>
          <w:szCs w:val="28"/>
        </w:rPr>
      </w:pPr>
      <w:r>
        <w:rPr>
          <w:rFonts w:hint="eastAsia" w:ascii="宋体" w:hAnsi="宋体" w:cs="宋体"/>
          <w:sz w:val="24"/>
          <w:szCs w:val="28"/>
        </w:rPr>
        <w:t>5</w:t>
      </w:r>
      <w:r>
        <w:rPr>
          <w:rFonts w:hint="eastAsia" w:ascii="宋体" w:hAnsi="宋体" w:cs="宋体"/>
          <w:color w:val="000000"/>
          <w:sz w:val="24"/>
          <w:szCs w:val="28"/>
        </w:rPr>
        <w:t>.</w:t>
      </w:r>
      <w:r>
        <w:rPr>
          <w:rFonts w:ascii="宋体" w:hAnsi="宋体" w:cs="宋体"/>
          <w:color w:val="000000"/>
          <w:sz w:val="24"/>
          <w:szCs w:val="28"/>
        </w:rPr>
        <w:t>按要求填写所有信息，注意非生产类要填写合作单位，最后提交审批</w:t>
      </w:r>
    </w:p>
    <w:p w14:paraId="2F5034DE">
      <w:pPr>
        <w:pStyle w:val="14"/>
      </w:pPr>
    </w:p>
    <w:p w14:paraId="6C65D4C9">
      <w:r>
        <w:drawing>
          <wp:inline distT="0" distB="0" distL="0" distR="0">
            <wp:extent cx="5760085" cy="2809875"/>
            <wp:effectExtent l="0" t="0" r="5715" b="9525"/>
            <wp:docPr id="23" name="picture" descr="descript"/>
            <wp:cNvGraphicFramePr/>
            <a:graphic xmlns:a="http://schemas.openxmlformats.org/drawingml/2006/main">
              <a:graphicData uri="http://schemas.openxmlformats.org/drawingml/2006/picture">
                <pic:pic xmlns:pic="http://schemas.openxmlformats.org/drawingml/2006/picture">
                  <pic:nvPicPr>
                    <pic:cNvPr id="23" name="picture" descr="descript"/>
                    <pic:cNvPicPr/>
                  </pic:nvPicPr>
                  <pic:blipFill>
                    <a:blip r:embed="rId15"/>
                    <a:stretch>
                      <a:fillRect/>
                    </a:stretch>
                  </pic:blipFill>
                  <pic:spPr>
                    <a:xfrm>
                      <a:off x="0" y="0"/>
                      <a:ext cx="5760085" cy="2810122"/>
                    </a:xfrm>
                    <a:prstGeom prst="rect">
                      <a:avLst/>
                    </a:prstGeom>
                  </pic:spPr>
                </pic:pic>
              </a:graphicData>
            </a:graphic>
          </wp:inline>
        </w:drawing>
      </w:r>
    </w:p>
    <w:p w14:paraId="68C26661">
      <w:pPr>
        <w:pStyle w:val="14"/>
      </w:pPr>
      <w:r>
        <w:drawing>
          <wp:inline distT="0" distB="0" distL="0" distR="0">
            <wp:extent cx="5760085" cy="2820035"/>
            <wp:effectExtent l="0" t="0" r="5715" b="12065"/>
            <wp:docPr id="24" name="picture" descr="descript"/>
            <wp:cNvGraphicFramePr/>
            <a:graphic xmlns:a="http://schemas.openxmlformats.org/drawingml/2006/main">
              <a:graphicData uri="http://schemas.openxmlformats.org/drawingml/2006/picture">
                <pic:pic xmlns:pic="http://schemas.openxmlformats.org/drawingml/2006/picture">
                  <pic:nvPicPr>
                    <pic:cNvPr id="24" name="picture" descr="descript"/>
                    <pic:cNvPicPr/>
                  </pic:nvPicPr>
                  <pic:blipFill>
                    <a:blip r:embed="rId16"/>
                    <a:stretch>
                      <a:fillRect/>
                    </a:stretch>
                  </pic:blipFill>
                  <pic:spPr>
                    <a:xfrm>
                      <a:off x="0" y="0"/>
                      <a:ext cx="5760085" cy="2820042"/>
                    </a:xfrm>
                    <a:prstGeom prst="rect">
                      <a:avLst/>
                    </a:prstGeom>
                  </pic:spPr>
                </pic:pic>
              </a:graphicData>
            </a:graphic>
          </wp:inline>
        </w:drawing>
      </w:r>
    </w:p>
    <w:p w14:paraId="4BC81C19">
      <w:pPr>
        <w:pStyle w:val="14"/>
      </w:pPr>
    </w:p>
    <w:p w14:paraId="066E0F54">
      <w:pPr>
        <w:rPr>
          <w:rFonts w:ascii="宋体" w:hAnsi="宋体" w:cs="宋体"/>
          <w:b/>
          <w:bCs/>
          <w:color w:val="000000"/>
          <w:sz w:val="24"/>
          <w:szCs w:val="28"/>
          <w:highlight w:val="yellow"/>
        </w:rPr>
      </w:pPr>
      <w:r>
        <w:rPr>
          <w:rFonts w:hint="eastAsia" w:ascii="宋体" w:hAnsi="宋体" w:cs="宋体"/>
          <w:b/>
          <w:bCs/>
          <w:color w:val="000000"/>
          <w:sz w:val="24"/>
          <w:szCs w:val="28"/>
          <w:highlight w:val="yellow"/>
        </w:rPr>
        <w:t>注：</w:t>
      </w:r>
    </w:p>
    <w:p w14:paraId="27AAD5E0">
      <w:pPr>
        <w:rPr>
          <w:rFonts w:ascii="宋体" w:hAnsi="宋体" w:cs="宋体"/>
          <w:b/>
          <w:bCs/>
          <w:color w:val="000000"/>
          <w:sz w:val="24"/>
          <w:szCs w:val="28"/>
          <w:highlight w:val="yellow"/>
        </w:rPr>
      </w:pPr>
      <w:r>
        <w:rPr>
          <w:rFonts w:hint="eastAsia" w:ascii="宋体" w:hAnsi="宋体" w:cs="宋体"/>
          <w:b/>
          <w:bCs/>
          <w:color w:val="000000"/>
          <w:sz w:val="24"/>
          <w:szCs w:val="28"/>
          <w:highlight w:val="yellow"/>
        </w:rPr>
        <w:t>1.“项目名称”和“采购形式编号”见投标须知前附表1.1；</w:t>
      </w:r>
    </w:p>
    <w:p w14:paraId="40FAC5B1">
      <w:pPr>
        <w:rPr>
          <w:rFonts w:ascii="宋体" w:hAnsi="宋体" w:cs="宋体"/>
          <w:b/>
          <w:bCs/>
          <w:color w:val="000000"/>
          <w:sz w:val="24"/>
          <w:szCs w:val="24"/>
        </w:rPr>
      </w:pPr>
      <w:r>
        <w:rPr>
          <w:rFonts w:hint="eastAsia" w:ascii="宋体" w:hAnsi="宋体" w:cs="宋体"/>
          <w:b/>
          <w:bCs/>
          <w:color w:val="000000"/>
          <w:sz w:val="24"/>
          <w:szCs w:val="28"/>
          <w:highlight w:val="yellow"/>
        </w:rPr>
        <w:t>2.</w:t>
      </w:r>
      <w:r>
        <w:rPr>
          <w:rFonts w:hint="eastAsia" w:hAnsi="宋体" w:cs="宋体"/>
          <w:b/>
          <w:bCs/>
          <w:color w:val="000000"/>
          <w:sz w:val="24"/>
          <w:szCs w:val="28"/>
          <w:highlight w:val="yellow"/>
        </w:rPr>
        <w:t>配套能力“供货类别”选“直管单位非生产招标 / 服务 / 业务外包”，业务主管部门为“制造工程部”。</w:t>
      </w:r>
      <w:r>
        <w:rPr>
          <w:rFonts w:hint="eastAsia" w:ascii="宋体" w:hAnsi="宋体" w:cs="宋体"/>
          <w:b/>
          <w:bCs/>
          <w:color w:val="000000"/>
          <w:sz w:val="24"/>
          <w:szCs w:val="24"/>
        </w:rPr>
        <w:br w:type="page"/>
      </w:r>
    </w:p>
    <w:p w14:paraId="3EF56BD2">
      <w:pPr>
        <w:pStyle w:val="14"/>
        <w:outlineLvl w:val="2"/>
        <w:rPr>
          <w:rFonts w:hAnsi="宋体"/>
          <w:b/>
          <w:color w:val="000000"/>
          <w:sz w:val="24"/>
          <w:szCs w:val="24"/>
        </w:rPr>
      </w:pPr>
      <w:r>
        <w:rPr>
          <w:rFonts w:hint="eastAsia" w:hAnsi="宋体"/>
          <w:b/>
          <w:color w:val="000000"/>
          <w:sz w:val="24"/>
          <w:szCs w:val="24"/>
        </w:rPr>
        <w:t>SRM系统供应商用户手册</w:t>
      </w:r>
    </w:p>
    <w:p w14:paraId="56283A6E">
      <w:pPr>
        <w:spacing w:line="360" w:lineRule="auto"/>
        <w:rPr>
          <w:rFonts w:ascii="宋体" w:hAnsi="宋体" w:cs="宋体"/>
          <w:sz w:val="24"/>
          <w:szCs w:val="24"/>
        </w:rPr>
      </w:pPr>
      <w:r>
        <w:rPr>
          <w:rFonts w:hint="eastAsia" w:ascii="宋体" w:hAnsi="宋体" w:cs="宋体"/>
          <w:color w:val="000000"/>
          <w:sz w:val="24"/>
          <w:szCs w:val="24"/>
        </w:rPr>
        <w:t>系统网址：</w:t>
      </w:r>
      <w:r>
        <w:fldChar w:fldCharType="begin"/>
      </w:r>
      <w:r>
        <w:instrText xml:space="preserve"> HYPERLINK "http://ecaitong.sinotruk.com:8012/" \t "dlt" </w:instrText>
      </w:r>
      <w:r>
        <w:fldChar w:fldCharType="separate"/>
      </w:r>
      <w:r>
        <w:rPr>
          <w:rStyle w:val="37"/>
          <w:rFonts w:hint="eastAsia" w:ascii="宋体" w:hAnsi="宋体" w:cs="宋体"/>
          <w:sz w:val="24"/>
          <w:szCs w:val="24"/>
        </w:rPr>
        <w:t>https://ecaitong.sinotruk.com:8012/</w:t>
      </w:r>
      <w:r>
        <w:rPr>
          <w:rStyle w:val="37"/>
          <w:rFonts w:hint="eastAsia" w:ascii="宋体" w:hAnsi="宋体" w:cs="宋体"/>
          <w:sz w:val="24"/>
          <w:szCs w:val="24"/>
        </w:rPr>
        <w:fldChar w:fldCharType="end"/>
      </w:r>
    </w:p>
    <w:p w14:paraId="7E311810">
      <w:pPr>
        <w:spacing w:line="360" w:lineRule="auto"/>
        <w:rPr>
          <w:rFonts w:ascii="宋体" w:hAnsi="宋体" w:cs="宋体"/>
          <w:sz w:val="24"/>
          <w:szCs w:val="24"/>
        </w:rPr>
      </w:pPr>
      <w:r>
        <w:rPr>
          <w:rFonts w:hint="eastAsia" w:ascii="宋体" w:hAnsi="宋体" w:cs="宋体"/>
          <w:color w:val="000000"/>
          <w:sz w:val="24"/>
          <w:szCs w:val="24"/>
        </w:rPr>
        <w:t>用 户 名：gys+供应商代码（</w:t>
      </w:r>
      <w:r>
        <w:rPr>
          <w:rFonts w:hint="eastAsia" w:ascii="宋体" w:hAnsi="宋体" w:cs="宋体"/>
          <w:color w:val="FF0000"/>
          <w:sz w:val="24"/>
          <w:szCs w:val="24"/>
        </w:rPr>
        <w:t>注意：注册完毕后，用户名不要用手机号登录</w:t>
      </w:r>
      <w:r>
        <w:rPr>
          <w:rFonts w:hint="eastAsia" w:ascii="宋体" w:hAnsi="宋体" w:cs="宋体"/>
          <w:color w:val="000000"/>
          <w:sz w:val="24"/>
          <w:szCs w:val="24"/>
        </w:rPr>
        <w:t>）</w:t>
      </w:r>
    </w:p>
    <w:p w14:paraId="0571182E">
      <w:pPr>
        <w:spacing w:line="360" w:lineRule="auto"/>
        <w:rPr>
          <w:rFonts w:ascii="宋体" w:hAnsi="宋体" w:cs="宋体"/>
          <w:sz w:val="24"/>
          <w:szCs w:val="24"/>
        </w:rPr>
      </w:pPr>
      <w:r>
        <w:rPr>
          <w:rFonts w:hint="eastAsia" w:ascii="宋体" w:hAnsi="宋体" w:cs="宋体"/>
          <w:color w:val="000000"/>
          <w:sz w:val="24"/>
          <w:szCs w:val="24"/>
        </w:rPr>
        <w:t>初始密码：</w:t>
      </w:r>
      <w:r>
        <w:rPr>
          <w:rFonts w:hint="eastAsia" w:ascii="宋体" w:hAnsi="宋体" w:cs="宋体"/>
          <w:color w:val="000000"/>
          <w:sz w:val="24"/>
          <w:szCs w:val="24"/>
          <w:highlight w:val="yellow"/>
        </w:rPr>
        <w:t>scm@2022</w:t>
      </w:r>
    </w:p>
    <w:p w14:paraId="5EAA7313">
      <w:pPr>
        <w:spacing w:line="360" w:lineRule="auto"/>
        <w:rPr>
          <w:rFonts w:ascii="宋体" w:hAnsi="宋体" w:cs="宋体"/>
          <w:b/>
          <w:bCs/>
          <w:color w:val="000000"/>
          <w:sz w:val="24"/>
          <w:szCs w:val="24"/>
        </w:rPr>
      </w:pPr>
      <w:r>
        <w:rPr>
          <w:rFonts w:hint="eastAsia" w:ascii="宋体" w:hAnsi="宋体" w:cs="宋体"/>
          <w:b/>
          <w:bCs/>
          <w:color w:val="000000"/>
          <w:sz w:val="24"/>
          <w:szCs w:val="24"/>
        </w:rPr>
        <w:t>1.供应商应标</w:t>
      </w:r>
    </w:p>
    <w:p w14:paraId="4C3B5D11">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供应商应标</w:t>
      </w:r>
    </w:p>
    <w:p w14:paraId="2752A5A6">
      <w:pPr>
        <w:spacing w:line="360" w:lineRule="auto"/>
        <w:rPr>
          <w:rFonts w:ascii="宋体" w:hAnsi="宋体" w:cs="宋体"/>
          <w:color w:val="000000"/>
          <w:sz w:val="24"/>
          <w:szCs w:val="24"/>
        </w:rPr>
      </w:pPr>
      <w:r>
        <w:rPr>
          <w:rFonts w:ascii="宋体" w:hAnsi="宋体" w:cs="宋体"/>
          <w:color w:val="000000"/>
          <w:sz w:val="24"/>
          <w:szCs w:val="24"/>
        </w:rPr>
        <w:t>点击应标，上传文件之后点击提交。</w:t>
      </w:r>
    </w:p>
    <w:p w14:paraId="6AD4D2CB">
      <w:r>
        <w:drawing>
          <wp:inline distT="0" distB="0" distL="0" distR="0">
            <wp:extent cx="5760085" cy="2269490"/>
            <wp:effectExtent l="0" t="0" r="5715" b="3810"/>
            <wp:docPr id="3" name="picture" descr="descript"/>
            <wp:cNvGraphicFramePr/>
            <a:graphic xmlns:a="http://schemas.openxmlformats.org/drawingml/2006/main">
              <a:graphicData uri="http://schemas.openxmlformats.org/drawingml/2006/picture">
                <pic:pic xmlns:pic="http://schemas.openxmlformats.org/drawingml/2006/picture">
                  <pic:nvPicPr>
                    <pic:cNvPr id="3" name="picture" descr="descript"/>
                    <pic:cNvPicPr/>
                  </pic:nvPicPr>
                  <pic:blipFill>
                    <a:blip r:embed="rId17"/>
                    <a:stretch>
                      <a:fillRect/>
                    </a:stretch>
                  </pic:blipFill>
                  <pic:spPr>
                    <a:xfrm>
                      <a:off x="0" y="0"/>
                      <a:ext cx="5760085" cy="2269864"/>
                    </a:xfrm>
                    <a:prstGeom prst="rect">
                      <a:avLst/>
                    </a:prstGeom>
                  </pic:spPr>
                </pic:pic>
              </a:graphicData>
            </a:graphic>
          </wp:inline>
        </w:drawing>
      </w:r>
    </w:p>
    <w:p w14:paraId="340D32D7"/>
    <w:p w14:paraId="0A9846D6">
      <w:pPr>
        <w:spacing w:line="360" w:lineRule="auto"/>
        <w:rPr>
          <w:rFonts w:ascii="宋体" w:hAnsi="宋体" w:cs="宋体"/>
          <w:b/>
          <w:bCs/>
          <w:color w:val="000000"/>
          <w:sz w:val="24"/>
          <w:szCs w:val="24"/>
        </w:rPr>
      </w:pPr>
      <w:r>
        <w:rPr>
          <w:rFonts w:hint="eastAsia" w:ascii="宋体" w:hAnsi="宋体" w:cs="宋体"/>
          <w:b/>
          <w:bCs/>
          <w:color w:val="000000"/>
          <w:sz w:val="24"/>
          <w:szCs w:val="24"/>
        </w:rPr>
        <w:t>2.供应商投标</w:t>
      </w:r>
    </w:p>
    <w:p w14:paraId="37A95C91">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供应商投标</w:t>
      </w:r>
    </w:p>
    <w:p w14:paraId="19B6EE1C">
      <w:pPr>
        <w:rPr>
          <w:rFonts w:ascii="宋体" w:hAnsi="宋体" w:cs="宋体"/>
          <w:color w:val="000000"/>
        </w:rPr>
      </w:pPr>
      <w:r>
        <w:rPr>
          <w:rFonts w:ascii="宋体" w:hAnsi="宋体" w:cs="宋体"/>
          <w:color w:val="000000"/>
        </w:rPr>
        <w:drawing>
          <wp:inline distT="0" distB="0" distL="0" distR="0">
            <wp:extent cx="5760085" cy="2125345"/>
            <wp:effectExtent l="0" t="0" r="5715" b="8255"/>
            <wp:docPr id="26" name="picture" descr="descript"/>
            <wp:cNvGraphicFramePr/>
            <a:graphic xmlns:a="http://schemas.openxmlformats.org/drawingml/2006/main">
              <a:graphicData uri="http://schemas.openxmlformats.org/drawingml/2006/picture">
                <pic:pic xmlns:pic="http://schemas.openxmlformats.org/drawingml/2006/picture">
                  <pic:nvPicPr>
                    <pic:cNvPr id="26" name="picture" descr="descript"/>
                    <pic:cNvPicPr/>
                  </pic:nvPicPr>
                  <pic:blipFill>
                    <a:blip r:embed="rId18"/>
                    <a:stretch>
                      <a:fillRect/>
                    </a:stretch>
                  </pic:blipFill>
                  <pic:spPr>
                    <a:xfrm>
                      <a:off x="0" y="0"/>
                      <a:ext cx="5760085" cy="2125673"/>
                    </a:xfrm>
                    <a:prstGeom prst="rect">
                      <a:avLst/>
                    </a:prstGeom>
                  </pic:spPr>
                </pic:pic>
              </a:graphicData>
            </a:graphic>
          </wp:inline>
        </w:drawing>
      </w:r>
    </w:p>
    <w:p w14:paraId="5C2A60BF">
      <w:pPr>
        <w:spacing w:line="360" w:lineRule="auto"/>
        <w:rPr>
          <w:rFonts w:ascii="宋体" w:hAnsi="宋体" w:cs="宋体"/>
          <w:color w:val="000000"/>
          <w:sz w:val="24"/>
          <w:szCs w:val="28"/>
        </w:rPr>
      </w:pPr>
      <w:r>
        <w:rPr>
          <w:rFonts w:ascii="宋体" w:hAnsi="宋体" w:cs="宋体"/>
          <w:color w:val="000000"/>
          <w:sz w:val="24"/>
          <w:szCs w:val="28"/>
        </w:rPr>
        <w:t>点击投标按钮，进入详情页，输入投标报价并上传相应的附件。</w:t>
      </w:r>
    </w:p>
    <w:p w14:paraId="1C8F87D8">
      <w:pPr>
        <w:pStyle w:val="14"/>
      </w:pPr>
      <w:r>
        <w:rPr>
          <w:rFonts w:hint="eastAsia" w:hAnsi="宋体" w:cs="宋体"/>
          <w:color w:val="000000"/>
          <w:sz w:val="24"/>
          <w:szCs w:val="28"/>
          <w:highlight w:val="yellow"/>
        </w:rPr>
        <w:t>注意：系统内的投标报价单位为“万元”，如开标现场发现填错报价，即直接淘汰。</w:t>
      </w:r>
    </w:p>
    <w:p w14:paraId="5AF6C707">
      <w:pPr>
        <w:pStyle w:val="5"/>
        <w:ind w:left="425" w:hanging="425"/>
        <w:rPr>
          <w:rFonts w:eastAsia="Arial" w:cs="Arial"/>
          <w:color w:val="000000"/>
        </w:rPr>
      </w:pPr>
      <w:r>
        <w:rPr>
          <w:rFonts w:eastAsia="Arial" w:cs="Arial"/>
          <w:color w:val="000000"/>
        </w:rPr>
        <w:drawing>
          <wp:inline distT="0" distB="0" distL="0" distR="0">
            <wp:extent cx="5490210" cy="2668905"/>
            <wp:effectExtent l="0" t="0" r="8890" b="10795"/>
            <wp:docPr id="27" name="picture" descr="descript"/>
            <wp:cNvGraphicFramePr/>
            <a:graphic xmlns:a="http://schemas.openxmlformats.org/drawingml/2006/main">
              <a:graphicData uri="http://schemas.openxmlformats.org/drawingml/2006/picture">
                <pic:pic xmlns:pic="http://schemas.openxmlformats.org/drawingml/2006/picture">
                  <pic:nvPicPr>
                    <pic:cNvPr id="27" name="picture" descr="descript"/>
                    <pic:cNvPicPr/>
                  </pic:nvPicPr>
                  <pic:blipFill>
                    <a:blip r:embed="rId19"/>
                    <a:stretch>
                      <a:fillRect/>
                    </a:stretch>
                  </pic:blipFill>
                  <pic:spPr>
                    <a:xfrm>
                      <a:off x="0" y="0"/>
                      <a:ext cx="5490210" cy="2669498"/>
                    </a:xfrm>
                    <a:prstGeom prst="rect">
                      <a:avLst/>
                    </a:prstGeom>
                  </pic:spPr>
                </pic:pic>
              </a:graphicData>
            </a:graphic>
          </wp:inline>
        </w:drawing>
      </w:r>
    </w:p>
    <w:p w14:paraId="40B41E73">
      <w:pPr>
        <w:spacing w:line="360" w:lineRule="auto"/>
        <w:rPr>
          <w:rFonts w:ascii="宋体" w:hAnsi="宋体" w:cs="宋体"/>
          <w:b/>
          <w:bCs/>
          <w:color w:val="000000"/>
          <w:sz w:val="24"/>
          <w:szCs w:val="24"/>
        </w:rPr>
      </w:pPr>
      <w:r>
        <w:rPr>
          <w:rFonts w:hint="eastAsia" w:ascii="宋体" w:hAnsi="宋体" w:cs="宋体"/>
          <w:b/>
          <w:bCs/>
          <w:color w:val="000000"/>
          <w:sz w:val="24"/>
          <w:szCs w:val="24"/>
        </w:rPr>
        <w:t>3.供应商技术标澄清函</w:t>
      </w:r>
    </w:p>
    <w:p w14:paraId="45544645">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供应商技术标澄清函</w:t>
      </w:r>
    </w:p>
    <w:p w14:paraId="615DA943">
      <w:pPr>
        <w:spacing w:line="360" w:lineRule="auto"/>
        <w:rPr>
          <w:rFonts w:ascii="宋体" w:hAnsi="宋体" w:cs="宋体"/>
          <w:sz w:val="24"/>
          <w:szCs w:val="24"/>
        </w:rPr>
      </w:pPr>
      <w:r>
        <w:rPr>
          <w:rFonts w:ascii="宋体" w:hAnsi="宋体" w:cs="宋体"/>
          <w:color w:val="000000"/>
          <w:sz w:val="24"/>
          <w:szCs w:val="24"/>
        </w:rPr>
        <w:t>点击编辑按钮进入系统，上传技术标澄清函。</w:t>
      </w:r>
    </w:p>
    <w:p w14:paraId="174D650E">
      <w:pPr>
        <w:spacing w:line="360" w:lineRule="auto"/>
        <w:rPr>
          <w:rFonts w:ascii="Arial" w:hAnsi="Arial" w:eastAsia="Arial" w:cs="Arial"/>
          <w:color w:val="000000"/>
          <w:sz w:val="28"/>
        </w:rPr>
      </w:pPr>
      <w:r>
        <w:rPr>
          <w:rFonts w:ascii="宋体" w:hAnsi="宋体" w:cs="宋体"/>
          <w:color w:val="000000"/>
          <w:sz w:val="24"/>
          <w:szCs w:val="24"/>
        </w:rPr>
        <w:t>开标之后所有投标的供应商都可编辑提交，技术标入围之后</w:t>
      </w:r>
      <w:r>
        <w:rPr>
          <w:rFonts w:hint="eastAsia" w:ascii="宋体" w:hAnsi="宋体" w:cs="宋体"/>
          <w:color w:val="000000"/>
          <w:sz w:val="24"/>
          <w:szCs w:val="24"/>
        </w:rPr>
        <w:t xml:space="preserve"> </w:t>
      </w:r>
      <w:r>
        <w:rPr>
          <w:rFonts w:ascii="宋体" w:hAnsi="宋体" w:cs="宋体"/>
          <w:color w:val="000000"/>
          <w:sz w:val="24"/>
          <w:szCs w:val="24"/>
        </w:rPr>
        <w:t>都不可编辑</w:t>
      </w:r>
      <w:r>
        <w:rPr>
          <w:rFonts w:ascii="Arial" w:hAnsi="Arial" w:eastAsia="Arial" w:cs="Arial"/>
          <w:color w:val="000000"/>
          <w:sz w:val="28"/>
        </w:rPr>
        <w:drawing>
          <wp:inline distT="0" distB="0" distL="0" distR="0">
            <wp:extent cx="5490210" cy="1992630"/>
            <wp:effectExtent l="0" t="0" r="8890" b="1270"/>
            <wp:docPr id="28" name="picture" descr="descript"/>
            <wp:cNvGraphicFramePr/>
            <a:graphic xmlns:a="http://schemas.openxmlformats.org/drawingml/2006/main">
              <a:graphicData uri="http://schemas.openxmlformats.org/drawingml/2006/picture">
                <pic:pic xmlns:pic="http://schemas.openxmlformats.org/drawingml/2006/picture">
                  <pic:nvPicPr>
                    <pic:cNvPr id="28" name="picture" descr="descript"/>
                    <pic:cNvPicPr/>
                  </pic:nvPicPr>
                  <pic:blipFill>
                    <a:blip r:embed="rId20"/>
                    <a:stretch>
                      <a:fillRect/>
                    </a:stretch>
                  </pic:blipFill>
                  <pic:spPr>
                    <a:xfrm>
                      <a:off x="0" y="0"/>
                      <a:ext cx="5490210" cy="1992743"/>
                    </a:xfrm>
                    <a:prstGeom prst="rect">
                      <a:avLst/>
                    </a:prstGeom>
                  </pic:spPr>
                </pic:pic>
              </a:graphicData>
            </a:graphic>
          </wp:inline>
        </w:drawing>
      </w:r>
    </w:p>
    <w:p w14:paraId="1C0DE9DB">
      <w:pPr>
        <w:spacing w:line="360" w:lineRule="auto"/>
        <w:rPr>
          <w:rFonts w:ascii="宋体" w:hAnsi="宋体" w:cs="宋体"/>
          <w:b/>
          <w:bCs/>
          <w:color w:val="000000"/>
          <w:sz w:val="24"/>
          <w:szCs w:val="24"/>
        </w:rPr>
      </w:pPr>
      <w:r>
        <w:rPr>
          <w:rFonts w:hint="eastAsia" w:ascii="宋体" w:hAnsi="宋体" w:cs="宋体"/>
          <w:b/>
          <w:bCs/>
          <w:color w:val="000000"/>
          <w:sz w:val="24"/>
          <w:szCs w:val="24"/>
        </w:rPr>
        <w:t>4.供应商报价</w:t>
      </w:r>
    </w:p>
    <w:p w14:paraId="2605E501">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供应商报价</w:t>
      </w:r>
    </w:p>
    <w:p w14:paraId="6EA9BA94">
      <w:pPr>
        <w:spacing w:line="360" w:lineRule="auto"/>
        <w:rPr>
          <w:rFonts w:ascii="宋体" w:hAnsi="宋体" w:cs="宋体"/>
          <w:sz w:val="24"/>
          <w:szCs w:val="24"/>
        </w:rPr>
      </w:pPr>
      <w:r>
        <w:rPr>
          <w:rFonts w:ascii="宋体" w:hAnsi="宋体" w:cs="宋体"/>
          <w:color w:val="000000"/>
          <w:sz w:val="24"/>
          <w:szCs w:val="24"/>
        </w:rPr>
        <w:t>点击报价按钮进入报价详情界面，请在此轮报价起止时间内报价，否则无法报价。</w:t>
      </w:r>
    </w:p>
    <w:p w14:paraId="554CC952">
      <w:pPr>
        <w:spacing w:line="360" w:lineRule="auto"/>
        <w:rPr>
          <w:rFonts w:ascii="宋体" w:hAnsi="宋体" w:cs="宋体"/>
          <w:b/>
          <w:bCs/>
          <w:color w:val="000000"/>
          <w:sz w:val="24"/>
          <w:szCs w:val="24"/>
        </w:rPr>
      </w:pPr>
      <w:r>
        <w:rPr>
          <w:rFonts w:hint="eastAsia" w:ascii="宋体" w:hAnsi="宋体" w:cs="宋体"/>
          <w:b/>
          <w:bCs/>
          <w:color w:val="000000"/>
          <w:sz w:val="24"/>
          <w:szCs w:val="24"/>
        </w:rPr>
        <w:t>5.供应商澄清报价</w:t>
      </w:r>
    </w:p>
    <w:p w14:paraId="7EC6ED8D">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供应商澄清报价</w:t>
      </w:r>
    </w:p>
    <w:p w14:paraId="7C189B98">
      <w:pPr>
        <w:spacing w:line="360" w:lineRule="auto"/>
        <w:rPr>
          <w:rFonts w:ascii="宋体" w:hAnsi="宋体" w:cs="宋体"/>
          <w:sz w:val="24"/>
          <w:szCs w:val="24"/>
        </w:rPr>
      </w:pPr>
      <w:r>
        <w:rPr>
          <w:rFonts w:ascii="宋体" w:hAnsi="宋体" w:cs="宋体"/>
          <w:color w:val="000000"/>
          <w:sz w:val="24"/>
          <w:szCs w:val="24"/>
        </w:rPr>
        <w:t>招标发起人接收建议价的同时会给供应商发送澄清报价，供应商在此界面进行澄清报价，点击编辑按钮进入澄清报价详细界面，输入价格并上传澄清函，之后点击提交。</w:t>
      </w:r>
    </w:p>
    <w:p w14:paraId="07B3D6B7">
      <w:pPr>
        <w:pStyle w:val="5"/>
        <w:ind w:left="425" w:hanging="425"/>
        <w:rPr>
          <w:rFonts w:eastAsia="Arial" w:cs="Arial"/>
          <w:color w:val="000000"/>
        </w:rPr>
      </w:pPr>
      <w:r>
        <w:rPr>
          <w:rFonts w:eastAsia="Arial" w:cs="Arial"/>
          <w:color w:val="000000"/>
        </w:rPr>
        <w:drawing>
          <wp:inline distT="0" distB="0" distL="0" distR="0">
            <wp:extent cx="5490210" cy="2544445"/>
            <wp:effectExtent l="0" t="0" r="8890" b="8255"/>
            <wp:docPr id="29" name="picture" descr="descript"/>
            <wp:cNvGraphicFramePr/>
            <a:graphic xmlns:a="http://schemas.openxmlformats.org/drawingml/2006/main">
              <a:graphicData uri="http://schemas.openxmlformats.org/drawingml/2006/picture">
                <pic:pic xmlns:pic="http://schemas.openxmlformats.org/drawingml/2006/picture">
                  <pic:nvPicPr>
                    <pic:cNvPr id="29" name="picture" descr="descript"/>
                    <pic:cNvPicPr/>
                  </pic:nvPicPr>
                  <pic:blipFill>
                    <a:blip r:embed="rId21"/>
                    <a:stretch>
                      <a:fillRect/>
                    </a:stretch>
                  </pic:blipFill>
                  <pic:spPr>
                    <a:xfrm>
                      <a:off x="0" y="0"/>
                      <a:ext cx="5490210" cy="2544669"/>
                    </a:xfrm>
                    <a:prstGeom prst="rect">
                      <a:avLst/>
                    </a:prstGeom>
                  </pic:spPr>
                </pic:pic>
              </a:graphicData>
            </a:graphic>
          </wp:inline>
        </w:drawing>
      </w:r>
    </w:p>
    <w:p w14:paraId="2A290490">
      <w:pPr>
        <w:spacing w:line="360" w:lineRule="auto"/>
        <w:rPr>
          <w:rFonts w:ascii="宋体" w:hAnsi="宋体" w:cs="宋体"/>
          <w:b/>
          <w:bCs/>
          <w:color w:val="000000"/>
          <w:sz w:val="24"/>
          <w:szCs w:val="24"/>
        </w:rPr>
      </w:pPr>
      <w:r>
        <w:rPr>
          <w:rFonts w:hint="eastAsia" w:ascii="宋体" w:hAnsi="宋体" w:cs="宋体"/>
          <w:b/>
          <w:bCs/>
          <w:color w:val="000000"/>
          <w:sz w:val="24"/>
          <w:szCs w:val="24"/>
        </w:rPr>
        <w:t>6.供应商查看中标通知</w:t>
      </w:r>
    </w:p>
    <w:p w14:paraId="7B4AB8D7">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中标项目</w:t>
      </w:r>
    </w:p>
    <w:p w14:paraId="36FF5ECC">
      <w:pPr>
        <w:spacing w:line="360" w:lineRule="auto"/>
        <w:rPr>
          <w:rFonts w:ascii="宋体" w:hAnsi="宋体" w:cs="宋体"/>
          <w:sz w:val="24"/>
          <w:szCs w:val="24"/>
        </w:rPr>
      </w:pPr>
      <w:r>
        <w:rPr>
          <w:rFonts w:ascii="宋体" w:hAnsi="宋体" w:cs="宋体"/>
          <w:color w:val="000000"/>
          <w:sz w:val="24"/>
          <w:szCs w:val="24"/>
        </w:rPr>
        <w:t>点击查看进入查看中标项目详情</w:t>
      </w:r>
    </w:p>
    <w:p w14:paraId="4064784D">
      <w:r>
        <w:drawing>
          <wp:inline distT="0" distB="0" distL="0" distR="0">
            <wp:extent cx="5760085" cy="1956435"/>
            <wp:effectExtent l="0" t="0" r="5715" b="12065"/>
            <wp:docPr id="30" name="picture" descr="descript"/>
            <wp:cNvGraphicFramePr/>
            <a:graphic xmlns:a="http://schemas.openxmlformats.org/drawingml/2006/main">
              <a:graphicData uri="http://schemas.openxmlformats.org/drawingml/2006/picture">
                <pic:pic xmlns:pic="http://schemas.openxmlformats.org/drawingml/2006/picture">
                  <pic:nvPicPr>
                    <pic:cNvPr id="30" name="picture" descr="descript"/>
                    <pic:cNvPicPr/>
                  </pic:nvPicPr>
                  <pic:blipFill>
                    <a:blip r:embed="rId22"/>
                    <a:stretch>
                      <a:fillRect/>
                    </a:stretch>
                  </pic:blipFill>
                  <pic:spPr>
                    <a:xfrm>
                      <a:off x="0" y="0"/>
                      <a:ext cx="5760085" cy="1956600"/>
                    </a:xfrm>
                    <a:prstGeom prst="rect">
                      <a:avLst/>
                    </a:prstGeom>
                  </pic:spPr>
                </pic:pic>
              </a:graphicData>
            </a:graphic>
          </wp:inline>
        </w:drawing>
      </w:r>
    </w:p>
    <w:p w14:paraId="7EFCD97E">
      <w:pPr>
        <w:pStyle w:val="76"/>
        <w:rPr>
          <w:rFonts w:hint="default" w:ascii="宋体" w:hAnsi="宋体"/>
          <w:sz w:val="24"/>
          <w:highlight w:val="none"/>
          <w:lang w:val="en-US"/>
        </w:rPr>
      </w:pPr>
    </w:p>
    <w:sectPr>
      <w:headerReference r:id="rId7" w:type="first"/>
      <w:footerReference r:id="rId8" w:type="first"/>
      <w:pgSz w:w="11906" w:h="16838"/>
      <w:pgMar w:top="1701" w:right="1418" w:bottom="1134" w:left="1418" w:header="851" w:footer="992" w:gutter="0"/>
      <w:pgNumType w:fmt="numberInDash" w:start="1"/>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Light">
    <w:panose1 w:val="02010600030101010101"/>
    <w:charset w:val="86"/>
    <w:family w:val="auto"/>
    <w:pitch w:val="default"/>
    <w:sig w:usb0="A00002BF" w:usb1="38CF7CFA" w:usb2="00000016" w:usb3="00000000" w:csb0="0004000F" w:csb1="00000000"/>
  </w:font>
  <w:font w:name="仿宋_GB2312">
    <w:altName w:val="仿宋"/>
    <w:panose1 w:val="02010609030101010101"/>
    <w:charset w:val="86"/>
    <w:family w:val="modern"/>
    <w:pitch w:val="default"/>
    <w:sig w:usb0="00000000" w:usb1="00000000" w:usb2="00000000" w:usb3="00000000" w:csb0="00040000" w:csb1="00000000"/>
  </w:font>
  <w:font w:name="Cambria">
    <w:panose1 w:val="02040503050406030204"/>
    <w:charset w:val="00"/>
    <w:family w:val="roman"/>
    <w:pitch w:val="default"/>
    <w:sig w:usb0="E00006FF" w:usb1="420024FF" w:usb2="02000000" w:usb3="00000000" w:csb0="2000019F" w:csb1="00000000"/>
  </w:font>
  <w:font w:name="Verdana">
    <w:panose1 w:val="020B0604030504040204"/>
    <w:charset w:val="00"/>
    <w:family w:val="swiss"/>
    <w:pitch w:val="default"/>
    <w:sig w:usb0="A00006FF" w:usb1="4000205B" w:usb2="00000010" w:usb3="00000000" w:csb0="2000019F" w:csb1="00000000"/>
  </w:font>
  <w:font w:name="ˎ̥">
    <w:altName w:val="Times New Roman"/>
    <w:panose1 w:val="00000000000000000000"/>
    <w:charset w:val="00"/>
    <w:family w:val="roman"/>
    <w:pitch w:val="default"/>
    <w:sig w:usb0="00000000" w:usb1="00000000" w:usb2="00000000" w:usb3="00000000" w:csb0="00040001" w:csb1="00000000"/>
  </w:font>
  <w:font w:name="Tahoma">
    <w:panose1 w:val="020B0604030504040204"/>
    <w:charset w:val="00"/>
    <w:family w:val="swiss"/>
    <w:pitch w:val="default"/>
    <w:sig w:usb0="E1002EFF" w:usb1="C000605B" w:usb2="00000029" w:usb3="00000000" w:csb0="200101FF" w:csb1="20280000"/>
  </w:font>
  <w:font w:name="Microsoft YaHei UI">
    <w:panose1 w:val="020B0503020204020204"/>
    <w:charset w:val="86"/>
    <w:family w:val="swiss"/>
    <w:pitch w:val="default"/>
    <w:sig w:usb0="80000287" w:usb1="2ACF3C50" w:usb2="00000016" w:usb3="00000000" w:csb0="0004001F" w:csb1="00000000"/>
  </w:font>
  <w:font w:name="楷体_GB2312">
    <w:altName w:val="楷体"/>
    <w:panose1 w:val="00000000000000000000"/>
    <w:charset w:val="86"/>
    <w:family w:val="modern"/>
    <w:pitch w:val="default"/>
    <w:sig w:usb0="00000000" w:usb1="00000000" w:usb2="00000016" w:usb3="00000000" w:csb0="00040001" w:csb1="00000000"/>
  </w:font>
  <w:font w:name="楷体">
    <w:panose1 w:val="02010609060101010101"/>
    <w:charset w:val="86"/>
    <w:family w:val="auto"/>
    <w:pitch w:val="default"/>
    <w:sig w:usb0="800002BF" w:usb1="38CF7CFA" w:usb2="00000016" w:usb3="00000000" w:csb0="00040001" w:csb1="00000000"/>
  </w:font>
  <w:font w:name="等线">
    <w:panose1 w:val="02010600030101010101"/>
    <w:charset w:val="86"/>
    <w:family w:val="auto"/>
    <w:pitch w:val="default"/>
    <w:sig w:usb0="A00002BF" w:usb1="38CF7CFA" w:usb2="00000016" w:usb3="00000000" w:csb0="0004000F"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698291327"/>
    </w:sdtPr>
    <w:sdtContent>
      <w:p w14:paraId="10E4B243">
        <w:pPr>
          <w:pStyle w:val="18"/>
          <w:jc w:val="center"/>
          <w:rPr>
            <w:sz w:val="21"/>
            <w:szCs w:val="20"/>
          </w:rPr>
        </w:pPr>
        <w:r>
          <w:rPr>
            <w:rFonts w:hint="eastAsia"/>
            <w:lang w:val="zh-CN"/>
          </w:rPr>
          <w:t>第</w:t>
        </w:r>
        <w:r>
          <w:rPr>
            <w:lang w:val="zh-CN"/>
          </w:rPr>
          <w:fldChar w:fldCharType="begin"/>
        </w:r>
        <w:r>
          <w:rPr>
            <w:lang w:val="zh-CN"/>
          </w:rPr>
          <w:instrText xml:space="preserve">PAGE</w:instrText>
        </w:r>
        <w:r>
          <w:rPr>
            <w:lang w:val="zh-CN"/>
          </w:rPr>
          <w:fldChar w:fldCharType="separate"/>
        </w:r>
        <w:r>
          <w:rPr>
            <w:lang w:val="zh-CN"/>
          </w:rPr>
          <w:t>- 18 -</w:t>
        </w:r>
        <w:r>
          <w:rPr>
            <w:lang w:val="zh-CN"/>
          </w:rPr>
          <w:fldChar w:fldCharType="end"/>
        </w:r>
        <w:r>
          <w:rPr>
            <w:rFonts w:hint="eastAsia"/>
            <w:lang w:val="zh-CN"/>
          </w:rPr>
          <w:t>页，共</w:t>
        </w:r>
        <w:r>
          <w:rPr>
            <w:lang w:val="zh-CN"/>
          </w:rPr>
          <w:fldChar w:fldCharType="begin"/>
        </w:r>
        <w:r>
          <w:rPr>
            <w:lang w:val="zh-CN"/>
          </w:rPr>
          <w:instrText xml:space="preserve">NUMPAGES</w:instrText>
        </w:r>
        <w:r>
          <w:rPr>
            <w:lang w:val="zh-CN"/>
          </w:rPr>
          <w:fldChar w:fldCharType="separate"/>
        </w:r>
        <w:r>
          <w:rPr>
            <w:lang w:val="zh-CN"/>
          </w:rPr>
          <w:t>32</w:t>
        </w:r>
        <w:r>
          <w:rPr>
            <w:lang w:val="zh-CN"/>
          </w:rPr>
          <w:fldChar w:fldCharType="end"/>
        </w:r>
        <w:r>
          <w:rPr>
            <w:rFonts w:hint="eastAsia"/>
            <w:lang w:val="zh-CN"/>
          </w:rPr>
          <w:t>页</w:t>
        </w:r>
      </w:p>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1851DC9">
    <w:pPr>
      <w:pStyle w:val="18"/>
      <w:framePr w:wrap="around" w:vAnchor="text" w:hAnchor="margin" w:xAlign="center" w:y="1"/>
      <w:rPr>
        <w:rStyle w:val="34"/>
      </w:rPr>
    </w:pPr>
    <w:r>
      <w:fldChar w:fldCharType="begin"/>
    </w:r>
    <w:r>
      <w:rPr>
        <w:rStyle w:val="34"/>
      </w:rPr>
      <w:instrText xml:space="preserve">PAGE  </w:instrText>
    </w:r>
    <w:r>
      <w:fldChar w:fldCharType="end"/>
    </w:r>
  </w:p>
  <w:p w14:paraId="7AD47F75">
    <w:pPr>
      <w:pStyle w:val="18"/>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A03BF48">
    <w:pPr>
      <w:pStyle w:val="18"/>
      <w:jc w:val="cen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968472429"/>
    </w:sdtPr>
    <w:sdtContent>
      <w:sdt>
        <w:sdtPr>
          <w:id w:val="1728636285"/>
        </w:sdtPr>
        <w:sdtContent>
          <w:p w14:paraId="2F4AD690">
            <w:pPr>
              <w:pStyle w:val="18"/>
              <w:jc w:val="center"/>
            </w:pPr>
            <w:r>
              <w:rPr>
                <w:rFonts w:hint="eastAsia"/>
                <w:lang w:val="zh-CN"/>
              </w:rPr>
              <w:t>第</w:t>
            </w:r>
            <w:r>
              <w:rPr>
                <w:lang w:val="zh-CN"/>
              </w:rPr>
              <w:fldChar w:fldCharType="begin"/>
            </w:r>
            <w:r>
              <w:rPr>
                <w:lang w:val="zh-CN"/>
              </w:rPr>
              <w:instrText xml:space="preserve">PAGE</w:instrText>
            </w:r>
            <w:r>
              <w:rPr>
                <w:lang w:val="zh-CN"/>
              </w:rPr>
              <w:fldChar w:fldCharType="separate"/>
            </w:r>
            <w:r>
              <w:rPr>
                <w:lang w:val="zh-CN"/>
              </w:rPr>
              <w:t>- 1 -</w:t>
            </w:r>
            <w:r>
              <w:rPr>
                <w:lang w:val="zh-CN"/>
              </w:rPr>
              <w:fldChar w:fldCharType="end"/>
            </w:r>
            <w:r>
              <w:rPr>
                <w:rFonts w:hint="eastAsia"/>
                <w:lang w:val="zh-CN"/>
              </w:rPr>
              <w:t>页，共</w:t>
            </w:r>
            <w:r>
              <w:rPr>
                <w:lang w:val="zh-CN"/>
              </w:rPr>
              <w:fldChar w:fldCharType="begin"/>
            </w:r>
            <w:r>
              <w:rPr>
                <w:lang w:val="zh-CN"/>
              </w:rPr>
              <w:instrText xml:space="preserve">NUMPAGES</w:instrText>
            </w:r>
            <w:r>
              <w:rPr>
                <w:lang w:val="zh-CN"/>
              </w:rPr>
              <w:fldChar w:fldCharType="separate"/>
            </w:r>
            <w:r>
              <w:rPr>
                <w:lang w:val="zh-CN"/>
              </w:rPr>
              <w:t>32</w:t>
            </w:r>
            <w:r>
              <w:rPr>
                <w:lang w:val="zh-CN"/>
              </w:rPr>
              <w:fldChar w:fldCharType="end"/>
            </w:r>
            <w:r>
              <w:rPr>
                <w:rFonts w:hint="eastAsia"/>
                <w:lang w:val="zh-CN"/>
              </w:rPr>
              <w:t>页</w:t>
            </w:r>
          </w:p>
        </w:sdtContent>
      </w:sdt>
    </w:sdtContent>
  </w:sdt>
  <w:p w14:paraId="651627BB">
    <w:pPr>
      <w:pStyle w:val="18"/>
      <w:jc w:val="center"/>
    </w:pPr>
  </w:p>
  <w:p w14:paraId="1DFF0D79"/>
  <w:p w14:paraId="5CB49AF2"/>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8A41F0">
    <w:pPr>
      <w:pStyle w:val="19"/>
      <w:ind w:firstLine="360"/>
      <w:jc w:val="right"/>
    </w:pPr>
    <w:r>
      <w:rPr>
        <w:rFonts w:hint="eastAsia"/>
      </w:rPr>
      <w:t>中国重型汽车集团*</w:t>
    </w:r>
    <w:r>
      <w:t>*****</w:t>
    </w:r>
    <w:r>
      <w:rPr>
        <w:rFonts w:hint="eastAsia"/>
      </w:rPr>
      <w:t>采购项目招标书</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60C2086"/>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370076E"/>
    <w:multiLevelType w:val="singleLevel"/>
    <w:tmpl w:val="8370076E"/>
    <w:lvl w:ilvl="0" w:tentative="0">
      <w:start w:val="1"/>
      <w:numFmt w:val="chineseCounting"/>
      <w:suff w:val="nothing"/>
      <w:lvlText w:val="（%1）"/>
      <w:lvlJc w:val="left"/>
      <w:pPr>
        <w:ind w:left="0" w:firstLine="420"/>
      </w:pPr>
      <w:rPr>
        <w:rFonts w:hint="eastAsia"/>
      </w:rPr>
    </w:lvl>
  </w:abstractNum>
  <w:abstractNum w:abstractNumId="1">
    <w:nsid w:val="863E6579"/>
    <w:multiLevelType w:val="singleLevel"/>
    <w:tmpl w:val="863E6579"/>
    <w:lvl w:ilvl="0" w:tentative="0">
      <w:start w:val="1"/>
      <w:numFmt w:val="decimal"/>
      <w:lvlText w:val="(%1)"/>
      <w:lvlJc w:val="left"/>
      <w:pPr>
        <w:ind w:left="425" w:hanging="425"/>
      </w:pPr>
      <w:rPr>
        <w:rFonts w:hint="default"/>
        <w:b w:val="0"/>
        <w:bCs w:val="0"/>
        <w:color w:val="auto"/>
      </w:rPr>
    </w:lvl>
  </w:abstractNum>
  <w:abstractNum w:abstractNumId="2">
    <w:nsid w:val="86729C71"/>
    <w:multiLevelType w:val="singleLevel"/>
    <w:tmpl w:val="86729C71"/>
    <w:lvl w:ilvl="0" w:tentative="0">
      <w:start w:val="1"/>
      <w:numFmt w:val="decimal"/>
      <w:lvlText w:val="%1."/>
      <w:lvlJc w:val="left"/>
      <w:pPr>
        <w:tabs>
          <w:tab w:val="left" w:pos="312"/>
        </w:tabs>
      </w:pPr>
      <w:rPr>
        <w:rFonts w:hint="default"/>
        <w:b/>
        <w:bCs/>
        <w:highlight w:val="none"/>
      </w:rPr>
    </w:lvl>
  </w:abstractNum>
  <w:abstractNum w:abstractNumId="3">
    <w:nsid w:val="93852671"/>
    <w:multiLevelType w:val="singleLevel"/>
    <w:tmpl w:val="93852671"/>
    <w:lvl w:ilvl="0" w:tentative="0">
      <w:start w:val="1"/>
      <w:numFmt w:val="decimal"/>
      <w:lvlText w:val="%1."/>
      <w:lvlJc w:val="left"/>
      <w:pPr>
        <w:ind w:left="425" w:hanging="425"/>
      </w:pPr>
      <w:rPr>
        <w:rFonts w:hint="default"/>
      </w:rPr>
    </w:lvl>
  </w:abstractNum>
  <w:abstractNum w:abstractNumId="4">
    <w:nsid w:val="9E1BA4F3"/>
    <w:multiLevelType w:val="singleLevel"/>
    <w:tmpl w:val="9E1BA4F3"/>
    <w:lvl w:ilvl="0" w:tentative="0">
      <w:start w:val="1"/>
      <w:numFmt w:val="decimal"/>
      <w:lvlText w:val="%1."/>
      <w:lvlJc w:val="left"/>
      <w:pPr>
        <w:tabs>
          <w:tab w:val="left" w:pos="312"/>
        </w:tabs>
      </w:pPr>
      <w:rPr>
        <w:rFonts w:hint="default" w:ascii="宋体" w:hAnsi="宋体" w:eastAsia="宋体" w:cs="宋体"/>
        <w:sz w:val="21"/>
        <w:szCs w:val="21"/>
      </w:rPr>
    </w:lvl>
  </w:abstractNum>
  <w:abstractNum w:abstractNumId="5">
    <w:nsid w:val="A062A3A8"/>
    <w:multiLevelType w:val="singleLevel"/>
    <w:tmpl w:val="A062A3A8"/>
    <w:lvl w:ilvl="0" w:tentative="0">
      <w:start w:val="1"/>
      <w:numFmt w:val="lowerLetter"/>
      <w:suff w:val="nothing"/>
      <w:lvlText w:val="%1）"/>
      <w:lvlJc w:val="left"/>
    </w:lvl>
  </w:abstractNum>
  <w:abstractNum w:abstractNumId="6">
    <w:nsid w:val="B12C4597"/>
    <w:multiLevelType w:val="singleLevel"/>
    <w:tmpl w:val="B12C4597"/>
    <w:lvl w:ilvl="0" w:tentative="0">
      <w:start w:val="1"/>
      <w:numFmt w:val="decimal"/>
      <w:lvlText w:val="%1."/>
      <w:lvlJc w:val="left"/>
      <w:pPr>
        <w:ind w:left="425" w:hanging="425"/>
      </w:pPr>
      <w:rPr>
        <w:rFonts w:hint="default"/>
      </w:rPr>
    </w:lvl>
  </w:abstractNum>
  <w:abstractNum w:abstractNumId="7">
    <w:nsid w:val="B301A340"/>
    <w:multiLevelType w:val="singleLevel"/>
    <w:tmpl w:val="B301A340"/>
    <w:lvl w:ilvl="0" w:tentative="0">
      <w:start w:val="1"/>
      <w:numFmt w:val="chineseCounting"/>
      <w:suff w:val="nothing"/>
      <w:lvlText w:val="（%1）"/>
      <w:lvlJc w:val="left"/>
      <w:pPr>
        <w:ind w:left="0" w:firstLine="420"/>
      </w:pPr>
      <w:rPr>
        <w:rFonts w:hint="eastAsia"/>
      </w:rPr>
    </w:lvl>
  </w:abstractNum>
  <w:abstractNum w:abstractNumId="8">
    <w:nsid w:val="BD4C6742"/>
    <w:multiLevelType w:val="singleLevel"/>
    <w:tmpl w:val="BD4C6742"/>
    <w:lvl w:ilvl="0" w:tentative="0">
      <w:start w:val="1"/>
      <w:numFmt w:val="decimal"/>
      <w:lvlText w:val="%1."/>
      <w:lvlJc w:val="left"/>
      <w:pPr>
        <w:ind w:left="425" w:hanging="425"/>
      </w:pPr>
      <w:rPr>
        <w:rFonts w:hint="default"/>
      </w:rPr>
    </w:lvl>
  </w:abstractNum>
  <w:abstractNum w:abstractNumId="9">
    <w:nsid w:val="CA70C5AE"/>
    <w:multiLevelType w:val="singleLevel"/>
    <w:tmpl w:val="CA70C5AE"/>
    <w:lvl w:ilvl="0" w:tentative="0">
      <w:start w:val="1"/>
      <w:numFmt w:val="decimal"/>
      <w:lvlText w:val="%1."/>
      <w:lvlJc w:val="left"/>
      <w:pPr>
        <w:ind w:left="425" w:hanging="425"/>
      </w:pPr>
      <w:rPr>
        <w:rFonts w:hint="default"/>
      </w:rPr>
    </w:lvl>
  </w:abstractNum>
  <w:abstractNum w:abstractNumId="10">
    <w:nsid w:val="D9A4530E"/>
    <w:multiLevelType w:val="singleLevel"/>
    <w:tmpl w:val="D9A4530E"/>
    <w:lvl w:ilvl="0" w:tentative="0">
      <w:start w:val="1"/>
      <w:numFmt w:val="decimal"/>
      <w:lvlText w:val="(%1)"/>
      <w:lvlJc w:val="left"/>
      <w:pPr>
        <w:ind w:left="425" w:hanging="425"/>
      </w:pPr>
      <w:rPr>
        <w:rFonts w:hint="default"/>
      </w:rPr>
    </w:lvl>
  </w:abstractNum>
  <w:abstractNum w:abstractNumId="11">
    <w:nsid w:val="DC3F8C8B"/>
    <w:multiLevelType w:val="singleLevel"/>
    <w:tmpl w:val="DC3F8C8B"/>
    <w:lvl w:ilvl="0" w:tentative="0">
      <w:start w:val="1"/>
      <w:numFmt w:val="decimal"/>
      <w:lvlText w:val="%1."/>
      <w:lvlJc w:val="left"/>
      <w:pPr>
        <w:ind w:left="425" w:hanging="425"/>
      </w:pPr>
      <w:rPr>
        <w:rFonts w:hint="default"/>
      </w:rPr>
    </w:lvl>
  </w:abstractNum>
  <w:abstractNum w:abstractNumId="12">
    <w:nsid w:val="F9665F8D"/>
    <w:multiLevelType w:val="singleLevel"/>
    <w:tmpl w:val="F9665F8D"/>
    <w:lvl w:ilvl="0" w:tentative="0">
      <w:start w:val="2"/>
      <w:numFmt w:val="chineseCounting"/>
      <w:suff w:val="nothing"/>
      <w:lvlText w:val="第%1部分　"/>
      <w:lvlJc w:val="left"/>
      <w:rPr>
        <w:rFonts w:hint="eastAsia"/>
      </w:rPr>
    </w:lvl>
  </w:abstractNum>
  <w:abstractNum w:abstractNumId="13">
    <w:nsid w:val="FE574647"/>
    <w:multiLevelType w:val="multilevel"/>
    <w:tmpl w:val="FE574647"/>
    <w:lvl w:ilvl="0" w:tentative="0">
      <w:start w:val="1"/>
      <w:numFmt w:val="bullet"/>
      <w:lvlText w:val=""/>
      <w:lvlJc w:val="left"/>
      <w:pPr>
        <w:tabs>
          <w:tab w:val="left" w:pos="-840"/>
        </w:tabs>
        <w:ind w:left="430" w:hanging="420"/>
      </w:pPr>
      <w:rPr>
        <w:rFonts w:hint="default" w:ascii="Wingdings" w:hAnsi="Wingdings"/>
      </w:rPr>
    </w:lvl>
    <w:lvl w:ilvl="1" w:tentative="0">
      <w:start w:val="1"/>
      <w:numFmt w:val="bullet"/>
      <w:lvlText w:val=""/>
      <w:lvlJc w:val="left"/>
      <w:pPr>
        <w:tabs>
          <w:tab w:val="left" w:pos="-840"/>
        </w:tabs>
        <w:ind w:left="850" w:hanging="420"/>
      </w:pPr>
      <w:rPr>
        <w:rFonts w:hint="default" w:ascii="Wingdings" w:hAnsi="Wingdings"/>
      </w:rPr>
    </w:lvl>
    <w:lvl w:ilvl="2" w:tentative="0">
      <w:start w:val="1"/>
      <w:numFmt w:val="bullet"/>
      <w:lvlText w:val=""/>
      <w:lvlJc w:val="left"/>
      <w:pPr>
        <w:tabs>
          <w:tab w:val="left" w:pos="-840"/>
        </w:tabs>
        <w:ind w:left="1270" w:hanging="420"/>
      </w:pPr>
      <w:rPr>
        <w:rFonts w:hint="default" w:ascii="Wingdings" w:hAnsi="Wingdings"/>
      </w:rPr>
    </w:lvl>
    <w:lvl w:ilvl="3" w:tentative="0">
      <w:start w:val="1"/>
      <w:numFmt w:val="bullet"/>
      <w:lvlText w:val=""/>
      <w:lvlJc w:val="left"/>
      <w:pPr>
        <w:tabs>
          <w:tab w:val="left" w:pos="-840"/>
        </w:tabs>
        <w:ind w:left="1690" w:hanging="420"/>
      </w:pPr>
      <w:rPr>
        <w:rFonts w:hint="default" w:ascii="Wingdings" w:hAnsi="Wingdings"/>
      </w:rPr>
    </w:lvl>
    <w:lvl w:ilvl="4" w:tentative="0">
      <w:start w:val="1"/>
      <w:numFmt w:val="bullet"/>
      <w:lvlText w:val=""/>
      <w:lvlJc w:val="left"/>
      <w:pPr>
        <w:tabs>
          <w:tab w:val="left" w:pos="-840"/>
        </w:tabs>
        <w:ind w:left="2110" w:hanging="420"/>
      </w:pPr>
      <w:rPr>
        <w:rFonts w:hint="default" w:ascii="Wingdings" w:hAnsi="Wingdings"/>
      </w:rPr>
    </w:lvl>
    <w:lvl w:ilvl="5" w:tentative="0">
      <w:start w:val="1"/>
      <w:numFmt w:val="bullet"/>
      <w:lvlText w:val=""/>
      <w:lvlJc w:val="left"/>
      <w:pPr>
        <w:tabs>
          <w:tab w:val="left" w:pos="-840"/>
        </w:tabs>
        <w:ind w:left="2530" w:hanging="420"/>
      </w:pPr>
      <w:rPr>
        <w:rFonts w:hint="default" w:ascii="Wingdings" w:hAnsi="Wingdings"/>
      </w:rPr>
    </w:lvl>
    <w:lvl w:ilvl="6" w:tentative="0">
      <w:start w:val="1"/>
      <w:numFmt w:val="bullet"/>
      <w:lvlText w:val=""/>
      <w:lvlJc w:val="left"/>
      <w:pPr>
        <w:tabs>
          <w:tab w:val="left" w:pos="-840"/>
        </w:tabs>
        <w:ind w:left="2950" w:hanging="420"/>
      </w:pPr>
      <w:rPr>
        <w:rFonts w:hint="default" w:ascii="Wingdings" w:hAnsi="Wingdings"/>
      </w:rPr>
    </w:lvl>
    <w:lvl w:ilvl="7" w:tentative="0">
      <w:start w:val="1"/>
      <w:numFmt w:val="bullet"/>
      <w:lvlText w:val=""/>
      <w:lvlJc w:val="left"/>
      <w:pPr>
        <w:tabs>
          <w:tab w:val="left" w:pos="-840"/>
        </w:tabs>
        <w:ind w:left="3370" w:hanging="420"/>
      </w:pPr>
      <w:rPr>
        <w:rFonts w:hint="default" w:ascii="Wingdings" w:hAnsi="Wingdings"/>
      </w:rPr>
    </w:lvl>
    <w:lvl w:ilvl="8" w:tentative="0">
      <w:start w:val="1"/>
      <w:numFmt w:val="bullet"/>
      <w:lvlText w:val=""/>
      <w:lvlJc w:val="left"/>
      <w:pPr>
        <w:tabs>
          <w:tab w:val="left" w:pos="-840"/>
        </w:tabs>
        <w:ind w:left="3790" w:hanging="420"/>
      </w:pPr>
      <w:rPr>
        <w:rFonts w:hint="default" w:ascii="Wingdings" w:hAnsi="Wingdings"/>
      </w:rPr>
    </w:lvl>
  </w:abstractNum>
  <w:abstractNum w:abstractNumId="14">
    <w:nsid w:val="04BF98CE"/>
    <w:multiLevelType w:val="singleLevel"/>
    <w:tmpl w:val="04BF98CE"/>
    <w:lvl w:ilvl="0" w:tentative="0">
      <w:start w:val="1"/>
      <w:numFmt w:val="decimal"/>
      <w:suff w:val="nothing"/>
      <w:lvlText w:val="%1、"/>
      <w:lvlJc w:val="left"/>
    </w:lvl>
  </w:abstractNum>
  <w:abstractNum w:abstractNumId="15">
    <w:nsid w:val="06882CE3"/>
    <w:multiLevelType w:val="multilevel"/>
    <w:tmpl w:val="06882CE3"/>
    <w:lvl w:ilvl="0" w:tentative="0">
      <w:start w:val="1"/>
      <w:numFmt w:val="decimal"/>
      <w:pStyle w:val="75"/>
      <w:suff w:val="nothing"/>
      <w:lvlText w:val="（%1）"/>
      <w:lvlJc w:val="left"/>
      <w:pPr>
        <w:ind w:left="1270" w:hanging="420"/>
      </w:pPr>
      <w:rPr>
        <w:b w:val="0"/>
        <w:bCs w:val="0"/>
        <w:i w:val="0"/>
        <w:iCs w:val="0"/>
        <w:caps w:val="0"/>
        <w:smallCaps w:val="0"/>
        <w:strike w:val="0"/>
        <w:dstrike w:val="0"/>
        <w:outline w:val="0"/>
        <w:shadow w:val="0"/>
        <w:emboss w:val="0"/>
        <w:imprint w:val="0"/>
        <w:vanish w:val="0"/>
        <w:spacing w:val="0"/>
        <w:position w:val="0"/>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1" w:tentative="0">
      <w:start w:val="1"/>
      <w:numFmt w:val="lowerLetter"/>
      <w:lvlText w:val="%2)"/>
      <w:lvlJc w:val="left"/>
      <w:pPr>
        <w:ind w:left="1254" w:hanging="420"/>
      </w:pPr>
    </w:lvl>
    <w:lvl w:ilvl="2" w:tentative="0">
      <w:start w:val="1"/>
      <w:numFmt w:val="lowerRoman"/>
      <w:lvlText w:val="%3."/>
      <w:lvlJc w:val="right"/>
      <w:pPr>
        <w:ind w:left="1674" w:hanging="420"/>
      </w:pPr>
    </w:lvl>
    <w:lvl w:ilvl="3" w:tentative="0">
      <w:start w:val="1"/>
      <w:numFmt w:val="decimal"/>
      <w:lvlText w:val="%4."/>
      <w:lvlJc w:val="left"/>
      <w:pPr>
        <w:ind w:left="2094" w:hanging="420"/>
      </w:pPr>
    </w:lvl>
    <w:lvl w:ilvl="4" w:tentative="0">
      <w:start w:val="1"/>
      <w:numFmt w:val="lowerLetter"/>
      <w:lvlText w:val="%5)"/>
      <w:lvlJc w:val="left"/>
      <w:pPr>
        <w:ind w:left="2514" w:hanging="420"/>
      </w:pPr>
    </w:lvl>
    <w:lvl w:ilvl="5" w:tentative="0">
      <w:start w:val="1"/>
      <w:numFmt w:val="lowerRoman"/>
      <w:lvlText w:val="%6."/>
      <w:lvlJc w:val="right"/>
      <w:pPr>
        <w:ind w:left="2934" w:hanging="420"/>
      </w:pPr>
    </w:lvl>
    <w:lvl w:ilvl="6" w:tentative="0">
      <w:start w:val="1"/>
      <w:numFmt w:val="decimal"/>
      <w:lvlText w:val="%7."/>
      <w:lvlJc w:val="left"/>
      <w:pPr>
        <w:ind w:left="3354" w:hanging="420"/>
      </w:pPr>
    </w:lvl>
    <w:lvl w:ilvl="7" w:tentative="0">
      <w:start w:val="1"/>
      <w:numFmt w:val="lowerLetter"/>
      <w:lvlText w:val="%8)"/>
      <w:lvlJc w:val="left"/>
      <w:pPr>
        <w:ind w:left="3774" w:hanging="420"/>
      </w:pPr>
    </w:lvl>
    <w:lvl w:ilvl="8" w:tentative="0">
      <w:start w:val="1"/>
      <w:numFmt w:val="lowerRoman"/>
      <w:lvlText w:val="%9."/>
      <w:lvlJc w:val="right"/>
      <w:pPr>
        <w:ind w:left="4194" w:hanging="420"/>
      </w:pPr>
    </w:lvl>
  </w:abstractNum>
  <w:abstractNum w:abstractNumId="16">
    <w:nsid w:val="07FA6ED8"/>
    <w:multiLevelType w:val="singleLevel"/>
    <w:tmpl w:val="07FA6ED8"/>
    <w:lvl w:ilvl="0" w:tentative="0">
      <w:start w:val="1"/>
      <w:numFmt w:val="decimal"/>
      <w:lvlText w:val="%1."/>
      <w:lvlJc w:val="left"/>
      <w:pPr>
        <w:tabs>
          <w:tab w:val="left" w:pos="732"/>
        </w:tabs>
        <w:ind w:left="420"/>
      </w:pPr>
      <w:rPr>
        <w:rFonts w:hint="default" w:ascii="宋体" w:hAnsi="宋体" w:eastAsia="宋体" w:cs="宋体"/>
        <w:sz w:val="21"/>
        <w:szCs w:val="21"/>
      </w:rPr>
    </w:lvl>
  </w:abstractNum>
  <w:abstractNum w:abstractNumId="17">
    <w:nsid w:val="178D3D0E"/>
    <w:multiLevelType w:val="multilevel"/>
    <w:tmpl w:val="178D3D0E"/>
    <w:lvl w:ilvl="0" w:tentative="0">
      <w:start w:val="1"/>
      <w:numFmt w:val="bullet"/>
      <w:pStyle w:val="91"/>
      <w:lvlText w:val=""/>
      <w:lvlJc w:val="left"/>
      <w:pPr>
        <w:tabs>
          <w:tab w:val="left" w:pos="367"/>
        </w:tabs>
        <w:ind w:left="367" w:hanging="360"/>
      </w:pPr>
      <w:rPr>
        <w:rFonts w:hint="default" w:ascii="Symbol" w:hAnsi="Symbol"/>
      </w:rPr>
    </w:lvl>
    <w:lvl w:ilvl="1" w:tentative="0">
      <w:start w:val="1"/>
      <w:numFmt w:val="bullet"/>
      <w:lvlText w:val="o"/>
      <w:lvlJc w:val="left"/>
      <w:pPr>
        <w:tabs>
          <w:tab w:val="left" w:pos="1087"/>
        </w:tabs>
        <w:ind w:left="1087" w:hanging="360"/>
      </w:pPr>
      <w:rPr>
        <w:rFonts w:hint="default" w:ascii="Courier New" w:hAnsi="Courier New" w:cs="Courier New"/>
      </w:rPr>
    </w:lvl>
    <w:lvl w:ilvl="2" w:tentative="0">
      <w:start w:val="1"/>
      <w:numFmt w:val="bullet"/>
      <w:lvlText w:val=""/>
      <w:lvlJc w:val="left"/>
      <w:pPr>
        <w:tabs>
          <w:tab w:val="left" w:pos="1807"/>
        </w:tabs>
        <w:ind w:left="1807" w:hanging="360"/>
      </w:pPr>
      <w:rPr>
        <w:rFonts w:hint="default" w:ascii="Wingdings" w:hAnsi="Wingdings"/>
      </w:rPr>
    </w:lvl>
    <w:lvl w:ilvl="3" w:tentative="0">
      <w:start w:val="1"/>
      <w:numFmt w:val="bullet"/>
      <w:lvlText w:val=""/>
      <w:lvlJc w:val="left"/>
      <w:pPr>
        <w:tabs>
          <w:tab w:val="left" w:pos="2527"/>
        </w:tabs>
        <w:ind w:left="2527" w:hanging="360"/>
      </w:pPr>
      <w:rPr>
        <w:rFonts w:hint="default" w:ascii="Symbol" w:hAnsi="Symbol"/>
      </w:rPr>
    </w:lvl>
    <w:lvl w:ilvl="4" w:tentative="0">
      <w:start w:val="1"/>
      <w:numFmt w:val="bullet"/>
      <w:lvlText w:val="o"/>
      <w:lvlJc w:val="left"/>
      <w:pPr>
        <w:tabs>
          <w:tab w:val="left" w:pos="3247"/>
        </w:tabs>
        <w:ind w:left="3247" w:hanging="360"/>
      </w:pPr>
      <w:rPr>
        <w:rFonts w:hint="default" w:ascii="Courier New" w:hAnsi="Courier New" w:cs="Courier New"/>
      </w:rPr>
    </w:lvl>
    <w:lvl w:ilvl="5" w:tentative="0">
      <w:start w:val="1"/>
      <w:numFmt w:val="bullet"/>
      <w:lvlText w:val=""/>
      <w:lvlJc w:val="left"/>
      <w:pPr>
        <w:tabs>
          <w:tab w:val="left" w:pos="3967"/>
        </w:tabs>
        <w:ind w:left="3967" w:hanging="360"/>
      </w:pPr>
      <w:rPr>
        <w:rFonts w:hint="default" w:ascii="Wingdings" w:hAnsi="Wingdings"/>
      </w:rPr>
    </w:lvl>
    <w:lvl w:ilvl="6" w:tentative="0">
      <w:start w:val="1"/>
      <w:numFmt w:val="bullet"/>
      <w:lvlText w:val=""/>
      <w:lvlJc w:val="left"/>
      <w:pPr>
        <w:tabs>
          <w:tab w:val="left" w:pos="4687"/>
        </w:tabs>
        <w:ind w:left="4687" w:hanging="360"/>
      </w:pPr>
      <w:rPr>
        <w:rFonts w:hint="default" w:ascii="Symbol" w:hAnsi="Symbol"/>
      </w:rPr>
    </w:lvl>
    <w:lvl w:ilvl="7" w:tentative="0">
      <w:start w:val="1"/>
      <w:numFmt w:val="bullet"/>
      <w:lvlText w:val="o"/>
      <w:lvlJc w:val="left"/>
      <w:pPr>
        <w:tabs>
          <w:tab w:val="left" w:pos="5407"/>
        </w:tabs>
        <w:ind w:left="5407" w:hanging="360"/>
      </w:pPr>
      <w:rPr>
        <w:rFonts w:hint="default" w:ascii="Courier New" w:hAnsi="Courier New" w:cs="Courier New"/>
      </w:rPr>
    </w:lvl>
    <w:lvl w:ilvl="8" w:tentative="0">
      <w:start w:val="1"/>
      <w:numFmt w:val="bullet"/>
      <w:lvlText w:val=""/>
      <w:lvlJc w:val="left"/>
      <w:pPr>
        <w:tabs>
          <w:tab w:val="left" w:pos="6127"/>
        </w:tabs>
        <w:ind w:left="6127" w:hanging="360"/>
      </w:pPr>
      <w:rPr>
        <w:rFonts w:hint="default" w:ascii="Wingdings" w:hAnsi="Wingdings"/>
      </w:rPr>
    </w:lvl>
  </w:abstractNum>
  <w:abstractNum w:abstractNumId="18">
    <w:nsid w:val="1E7B065C"/>
    <w:multiLevelType w:val="multilevel"/>
    <w:tmpl w:val="1E7B065C"/>
    <w:lvl w:ilvl="0" w:tentative="0">
      <w:start w:val="1"/>
      <w:numFmt w:val="decimal"/>
      <w:pStyle w:val="96"/>
      <w:lvlText w:val="%1)"/>
      <w:lvlJc w:val="left"/>
      <w:pPr>
        <w:ind w:left="1695" w:hanging="420"/>
      </w:pPr>
    </w:lvl>
    <w:lvl w:ilvl="1" w:tentative="0">
      <w:start w:val="1"/>
      <w:numFmt w:val="lowerLetter"/>
      <w:lvlText w:val="%2)"/>
      <w:lvlJc w:val="left"/>
      <w:pPr>
        <w:ind w:left="2115" w:hanging="420"/>
      </w:pPr>
    </w:lvl>
    <w:lvl w:ilvl="2" w:tentative="0">
      <w:start w:val="1"/>
      <w:numFmt w:val="lowerRoman"/>
      <w:lvlText w:val="%3."/>
      <w:lvlJc w:val="right"/>
      <w:pPr>
        <w:ind w:left="2535" w:hanging="420"/>
      </w:pPr>
    </w:lvl>
    <w:lvl w:ilvl="3" w:tentative="0">
      <w:start w:val="1"/>
      <w:numFmt w:val="decimal"/>
      <w:lvlText w:val="%4."/>
      <w:lvlJc w:val="left"/>
      <w:pPr>
        <w:ind w:left="2955" w:hanging="420"/>
      </w:pPr>
    </w:lvl>
    <w:lvl w:ilvl="4" w:tentative="0">
      <w:start w:val="1"/>
      <w:numFmt w:val="lowerLetter"/>
      <w:lvlText w:val="%5)"/>
      <w:lvlJc w:val="left"/>
      <w:pPr>
        <w:ind w:left="3375" w:hanging="420"/>
      </w:pPr>
    </w:lvl>
    <w:lvl w:ilvl="5" w:tentative="0">
      <w:start w:val="1"/>
      <w:numFmt w:val="lowerRoman"/>
      <w:lvlText w:val="%6."/>
      <w:lvlJc w:val="right"/>
      <w:pPr>
        <w:ind w:left="3795" w:hanging="420"/>
      </w:pPr>
    </w:lvl>
    <w:lvl w:ilvl="6" w:tentative="0">
      <w:start w:val="1"/>
      <w:numFmt w:val="decimal"/>
      <w:lvlText w:val="%7."/>
      <w:lvlJc w:val="left"/>
      <w:pPr>
        <w:ind w:left="4215" w:hanging="420"/>
      </w:pPr>
    </w:lvl>
    <w:lvl w:ilvl="7" w:tentative="0">
      <w:start w:val="1"/>
      <w:numFmt w:val="lowerLetter"/>
      <w:lvlText w:val="%8)"/>
      <w:lvlJc w:val="left"/>
      <w:pPr>
        <w:ind w:left="4635" w:hanging="420"/>
      </w:pPr>
    </w:lvl>
    <w:lvl w:ilvl="8" w:tentative="0">
      <w:start w:val="1"/>
      <w:numFmt w:val="lowerRoman"/>
      <w:lvlText w:val="%9."/>
      <w:lvlJc w:val="right"/>
      <w:pPr>
        <w:ind w:left="5055" w:hanging="420"/>
      </w:pPr>
    </w:lvl>
  </w:abstractNum>
  <w:abstractNum w:abstractNumId="19">
    <w:nsid w:val="2463DD8B"/>
    <w:multiLevelType w:val="singleLevel"/>
    <w:tmpl w:val="2463DD8B"/>
    <w:lvl w:ilvl="0" w:tentative="0">
      <w:start w:val="1"/>
      <w:numFmt w:val="decimal"/>
      <w:suff w:val="nothing"/>
      <w:lvlText w:val="（%1）"/>
      <w:lvlJc w:val="left"/>
    </w:lvl>
  </w:abstractNum>
  <w:abstractNum w:abstractNumId="20">
    <w:nsid w:val="3265E1EC"/>
    <w:multiLevelType w:val="singleLevel"/>
    <w:tmpl w:val="3265E1EC"/>
    <w:lvl w:ilvl="0" w:tentative="0">
      <w:start w:val="1"/>
      <w:numFmt w:val="decimal"/>
      <w:lvlText w:val="(%1)"/>
      <w:lvlJc w:val="left"/>
      <w:pPr>
        <w:ind w:left="425" w:hanging="425"/>
      </w:pPr>
      <w:rPr>
        <w:rFonts w:hint="default"/>
      </w:rPr>
    </w:lvl>
  </w:abstractNum>
  <w:abstractNum w:abstractNumId="21">
    <w:nsid w:val="3CF6EF77"/>
    <w:multiLevelType w:val="singleLevel"/>
    <w:tmpl w:val="3CF6EF77"/>
    <w:lvl w:ilvl="0" w:tentative="0">
      <w:start w:val="1"/>
      <w:numFmt w:val="decimal"/>
      <w:lvlText w:val="%1."/>
      <w:lvlJc w:val="left"/>
      <w:pPr>
        <w:ind w:left="425" w:hanging="425"/>
      </w:pPr>
      <w:rPr>
        <w:rFonts w:hint="default"/>
      </w:rPr>
    </w:lvl>
  </w:abstractNum>
  <w:abstractNum w:abstractNumId="22">
    <w:nsid w:val="4A8DA4C5"/>
    <w:multiLevelType w:val="singleLevel"/>
    <w:tmpl w:val="4A8DA4C5"/>
    <w:lvl w:ilvl="0" w:tentative="0">
      <w:start w:val="1"/>
      <w:numFmt w:val="bullet"/>
      <w:lvlText w:val=""/>
      <w:lvlJc w:val="left"/>
      <w:pPr>
        <w:ind w:left="0" w:leftChars="0" w:firstLine="0" w:firstLineChars="0"/>
      </w:pPr>
      <w:rPr>
        <w:rFonts w:hint="default" w:ascii="Wingdings" w:hAnsi="Wingdings"/>
      </w:rPr>
    </w:lvl>
  </w:abstractNum>
  <w:abstractNum w:abstractNumId="23">
    <w:nsid w:val="4CB32FC8"/>
    <w:multiLevelType w:val="multilevel"/>
    <w:tmpl w:val="4CB32FC8"/>
    <w:lvl w:ilvl="0" w:tentative="0">
      <w:start w:val="1"/>
      <w:numFmt w:val="upperLetter"/>
      <w:pStyle w:val="6"/>
      <w:lvlText w:val="%1)"/>
      <w:lvlJc w:val="left"/>
      <w:pPr>
        <w:tabs>
          <w:tab w:val="left" w:pos="420"/>
        </w:tabs>
        <w:ind w:left="420"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4">
    <w:nsid w:val="520018B0"/>
    <w:multiLevelType w:val="multilevel"/>
    <w:tmpl w:val="520018B0"/>
    <w:lvl w:ilvl="0" w:tentative="0">
      <w:start w:val="1"/>
      <w:numFmt w:val="decimal"/>
      <w:pStyle w:val="74"/>
      <w:lvlText w:val="%1."/>
      <w:lvlJc w:val="left"/>
      <w:pPr>
        <w:ind w:left="1260" w:hanging="420"/>
      </w:pPr>
      <w:rPr>
        <w:b w:val="0"/>
      </w:r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25">
    <w:nsid w:val="560F40FB"/>
    <w:multiLevelType w:val="multilevel"/>
    <w:tmpl w:val="560F40FB"/>
    <w:lvl w:ilvl="0" w:tentative="0">
      <w:start w:val="1"/>
      <w:numFmt w:val="lowerLetter"/>
      <w:pStyle w:val="101"/>
      <w:lvlText w:val="%1)"/>
      <w:lvlJc w:val="left"/>
      <w:pPr>
        <w:ind w:left="1260" w:hanging="420"/>
      </w:p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26">
    <w:nsid w:val="56D20133"/>
    <w:multiLevelType w:val="multilevel"/>
    <w:tmpl w:val="56D20133"/>
    <w:lvl w:ilvl="0" w:tentative="0">
      <w:start w:val="1"/>
      <w:numFmt w:val="chineseCountingThousand"/>
      <w:pStyle w:val="73"/>
      <w:lvlText w:val="(%1)"/>
      <w:lvlJc w:val="left"/>
      <w:pPr>
        <w:ind w:left="1130" w:hanging="420"/>
      </w:pPr>
      <w:rPr>
        <w:rFonts w:hint="eastAsia"/>
        <w:b/>
      </w:rPr>
    </w:lvl>
    <w:lvl w:ilvl="1" w:tentative="0">
      <w:start w:val="1"/>
      <w:numFmt w:val="decimal"/>
      <w:lvlText w:val="%2."/>
      <w:lvlJc w:val="left"/>
      <w:pPr>
        <w:ind w:left="1200" w:hanging="360"/>
      </w:pPr>
      <w:rPr>
        <w:rFonts w:hint="default"/>
        <w:b w:val="0"/>
      </w:rPr>
    </w:lvl>
    <w:lvl w:ilvl="2" w:tentative="0">
      <w:start w:val="1"/>
      <w:numFmt w:val="lowerRoman"/>
      <w:lvlText w:val="%3."/>
      <w:lvlJc w:val="right"/>
      <w:pPr>
        <w:ind w:left="1680" w:hanging="420"/>
      </w:pPr>
      <w:rPr>
        <w:rFonts w:hint="eastAsia"/>
      </w:rPr>
    </w:lvl>
    <w:lvl w:ilvl="3" w:tentative="0">
      <w:start w:val="1"/>
      <w:numFmt w:val="decimal"/>
      <w:lvlText w:val="（%4）"/>
      <w:lvlJc w:val="left"/>
      <w:pPr>
        <w:ind w:left="2400" w:hanging="720"/>
      </w:pPr>
      <w:rPr>
        <w:rFonts w:hint="default"/>
      </w:rPr>
    </w:lvl>
    <w:lvl w:ilvl="4" w:tentative="0">
      <w:start w:val="1"/>
      <w:numFmt w:val="lowerLetter"/>
      <w:lvlText w:val="%5)"/>
      <w:lvlJc w:val="left"/>
      <w:pPr>
        <w:ind w:left="2520" w:hanging="420"/>
      </w:pPr>
      <w:rPr>
        <w:rFonts w:hint="eastAsia"/>
      </w:rPr>
    </w:lvl>
    <w:lvl w:ilvl="5" w:tentative="0">
      <w:start w:val="1"/>
      <w:numFmt w:val="lowerRoman"/>
      <w:lvlText w:val="%6."/>
      <w:lvlJc w:val="right"/>
      <w:pPr>
        <w:ind w:left="2940" w:hanging="420"/>
      </w:pPr>
      <w:rPr>
        <w:rFonts w:hint="eastAsia"/>
      </w:rPr>
    </w:lvl>
    <w:lvl w:ilvl="6" w:tentative="0">
      <w:start w:val="1"/>
      <w:numFmt w:val="decimal"/>
      <w:lvlText w:val="%7."/>
      <w:lvlJc w:val="left"/>
      <w:pPr>
        <w:ind w:left="3360" w:hanging="420"/>
      </w:pPr>
      <w:rPr>
        <w:rFonts w:hint="eastAsia"/>
      </w:rPr>
    </w:lvl>
    <w:lvl w:ilvl="7" w:tentative="0">
      <w:start w:val="1"/>
      <w:numFmt w:val="lowerLetter"/>
      <w:lvlText w:val="%8)"/>
      <w:lvlJc w:val="left"/>
      <w:pPr>
        <w:ind w:left="3780" w:hanging="420"/>
      </w:pPr>
      <w:rPr>
        <w:rFonts w:hint="eastAsia"/>
      </w:rPr>
    </w:lvl>
    <w:lvl w:ilvl="8" w:tentative="0">
      <w:start w:val="1"/>
      <w:numFmt w:val="lowerRoman"/>
      <w:lvlText w:val="%9."/>
      <w:lvlJc w:val="right"/>
      <w:pPr>
        <w:ind w:left="4200" w:hanging="420"/>
      </w:pPr>
      <w:rPr>
        <w:rFonts w:hint="eastAsia"/>
      </w:rPr>
    </w:lvl>
  </w:abstractNum>
  <w:abstractNum w:abstractNumId="27">
    <w:nsid w:val="5983D379"/>
    <w:multiLevelType w:val="singleLevel"/>
    <w:tmpl w:val="5983D379"/>
    <w:lvl w:ilvl="0" w:tentative="0">
      <w:start w:val="1"/>
      <w:numFmt w:val="decimal"/>
      <w:lvlText w:val="(%1)"/>
      <w:lvlJc w:val="left"/>
      <w:pPr>
        <w:ind w:left="425" w:hanging="425"/>
      </w:pPr>
      <w:rPr>
        <w:rFonts w:hint="default"/>
      </w:rPr>
    </w:lvl>
  </w:abstractNum>
  <w:abstractNum w:abstractNumId="28">
    <w:nsid w:val="656A6EAE"/>
    <w:multiLevelType w:val="multilevel"/>
    <w:tmpl w:val="656A6EAE"/>
    <w:lvl w:ilvl="0" w:tentative="0">
      <w:start w:val="1"/>
      <w:numFmt w:val="chineseCountingThousand"/>
      <w:pStyle w:val="72"/>
      <w:suff w:val="nothing"/>
      <w:lvlText w:val="%1、"/>
      <w:lvlJc w:val="left"/>
      <w:pPr>
        <w:ind w:left="2972" w:hanging="420"/>
      </w:pPr>
      <w:rPr>
        <w:rFonts w:hint="eastAsia" w:ascii="黑体" w:hAnsi="黑体" w:eastAsia="黑体"/>
        <w:sz w:val="28"/>
        <w:szCs w:val="28"/>
        <w:highlight w:val="none"/>
        <w:lang w:val="en-US"/>
      </w:rPr>
    </w:lvl>
    <w:lvl w:ilvl="1" w:tentative="0">
      <w:start w:val="1"/>
      <w:numFmt w:val="lowerLetter"/>
      <w:lvlText w:val="%2)"/>
      <w:lvlJc w:val="left"/>
      <w:pPr>
        <w:ind w:left="840" w:hanging="42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29">
    <w:nsid w:val="738DCB07"/>
    <w:multiLevelType w:val="singleLevel"/>
    <w:tmpl w:val="738DCB07"/>
    <w:lvl w:ilvl="0" w:tentative="0">
      <w:start w:val="2"/>
      <w:numFmt w:val="decimal"/>
      <w:suff w:val="nothing"/>
      <w:lvlText w:val="%1、"/>
      <w:lvlJc w:val="left"/>
    </w:lvl>
  </w:abstractNum>
  <w:abstractNum w:abstractNumId="30">
    <w:nsid w:val="7AE44757"/>
    <w:multiLevelType w:val="multilevel"/>
    <w:tmpl w:val="7AE44757"/>
    <w:lvl w:ilvl="0" w:tentative="0">
      <w:start w:val="1"/>
      <w:numFmt w:val="bullet"/>
      <w:lvlText w:val=""/>
      <w:lvlJc w:val="left"/>
      <w:pPr>
        <w:tabs>
          <w:tab w:val="left" w:pos="-840"/>
        </w:tabs>
        <w:ind w:left="430" w:hanging="420"/>
      </w:pPr>
      <w:rPr>
        <w:rFonts w:hint="default" w:ascii="Wingdings" w:hAnsi="Wingdings"/>
      </w:rPr>
    </w:lvl>
    <w:lvl w:ilvl="1" w:tentative="0">
      <w:start w:val="1"/>
      <w:numFmt w:val="bullet"/>
      <w:lvlText w:val=""/>
      <w:lvlJc w:val="left"/>
      <w:pPr>
        <w:tabs>
          <w:tab w:val="left" w:pos="-840"/>
        </w:tabs>
        <w:ind w:left="850" w:hanging="420"/>
      </w:pPr>
      <w:rPr>
        <w:rFonts w:hint="default" w:ascii="Wingdings" w:hAnsi="Wingdings"/>
      </w:rPr>
    </w:lvl>
    <w:lvl w:ilvl="2" w:tentative="0">
      <w:start w:val="1"/>
      <w:numFmt w:val="bullet"/>
      <w:lvlText w:val=""/>
      <w:lvlJc w:val="left"/>
      <w:pPr>
        <w:tabs>
          <w:tab w:val="left" w:pos="-840"/>
        </w:tabs>
        <w:ind w:left="1270" w:hanging="420"/>
      </w:pPr>
      <w:rPr>
        <w:rFonts w:hint="default" w:ascii="Wingdings" w:hAnsi="Wingdings"/>
      </w:rPr>
    </w:lvl>
    <w:lvl w:ilvl="3" w:tentative="0">
      <w:start w:val="1"/>
      <w:numFmt w:val="bullet"/>
      <w:lvlText w:val=""/>
      <w:lvlJc w:val="left"/>
      <w:pPr>
        <w:tabs>
          <w:tab w:val="left" w:pos="-840"/>
        </w:tabs>
        <w:ind w:left="1690" w:hanging="420"/>
      </w:pPr>
      <w:rPr>
        <w:rFonts w:hint="default" w:ascii="Wingdings" w:hAnsi="Wingdings"/>
      </w:rPr>
    </w:lvl>
    <w:lvl w:ilvl="4" w:tentative="0">
      <w:start w:val="1"/>
      <w:numFmt w:val="bullet"/>
      <w:lvlText w:val=""/>
      <w:lvlJc w:val="left"/>
      <w:pPr>
        <w:tabs>
          <w:tab w:val="left" w:pos="-840"/>
        </w:tabs>
        <w:ind w:left="2110" w:hanging="420"/>
      </w:pPr>
      <w:rPr>
        <w:rFonts w:hint="default" w:ascii="Wingdings" w:hAnsi="Wingdings"/>
      </w:rPr>
    </w:lvl>
    <w:lvl w:ilvl="5" w:tentative="0">
      <w:start w:val="1"/>
      <w:numFmt w:val="bullet"/>
      <w:lvlText w:val=""/>
      <w:lvlJc w:val="left"/>
      <w:pPr>
        <w:tabs>
          <w:tab w:val="left" w:pos="-840"/>
        </w:tabs>
        <w:ind w:left="2530" w:hanging="420"/>
      </w:pPr>
      <w:rPr>
        <w:rFonts w:hint="default" w:ascii="Wingdings" w:hAnsi="Wingdings"/>
      </w:rPr>
    </w:lvl>
    <w:lvl w:ilvl="6" w:tentative="0">
      <w:start w:val="1"/>
      <w:numFmt w:val="bullet"/>
      <w:lvlText w:val=""/>
      <w:lvlJc w:val="left"/>
      <w:pPr>
        <w:tabs>
          <w:tab w:val="left" w:pos="-840"/>
        </w:tabs>
        <w:ind w:left="2950" w:hanging="420"/>
      </w:pPr>
      <w:rPr>
        <w:rFonts w:hint="default" w:ascii="Wingdings" w:hAnsi="Wingdings"/>
      </w:rPr>
    </w:lvl>
    <w:lvl w:ilvl="7" w:tentative="0">
      <w:start w:val="1"/>
      <w:numFmt w:val="bullet"/>
      <w:lvlText w:val=""/>
      <w:lvlJc w:val="left"/>
      <w:pPr>
        <w:tabs>
          <w:tab w:val="left" w:pos="-840"/>
        </w:tabs>
        <w:ind w:left="3370" w:hanging="420"/>
      </w:pPr>
      <w:rPr>
        <w:rFonts w:hint="default" w:ascii="Wingdings" w:hAnsi="Wingdings"/>
      </w:rPr>
    </w:lvl>
    <w:lvl w:ilvl="8" w:tentative="0">
      <w:start w:val="1"/>
      <w:numFmt w:val="bullet"/>
      <w:lvlText w:val=""/>
      <w:lvlJc w:val="left"/>
      <w:pPr>
        <w:tabs>
          <w:tab w:val="left" w:pos="-840"/>
        </w:tabs>
        <w:ind w:left="3790" w:hanging="420"/>
      </w:pPr>
      <w:rPr>
        <w:rFonts w:hint="default" w:ascii="Wingdings" w:hAnsi="Wingdings"/>
      </w:rPr>
    </w:lvl>
  </w:abstractNum>
  <w:num w:numId="1">
    <w:abstractNumId w:val="23"/>
  </w:num>
  <w:num w:numId="2">
    <w:abstractNumId w:val="28"/>
  </w:num>
  <w:num w:numId="3">
    <w:abstractNumId w:val="26"/>
  </w:num>
  <w:num w:numId="4">
    <w:abstractNumId w:val="24"/>
  </w:num>
  <w:num w:numId="5">
    <w:abstractNumId w:val="15"/>
  </w:num>
  <w:num w:numId="6">
    <w:abstractNumId w:val="17"/>
  </w:num>
  <w:num w:numId="7">
    <w:abstractNumId w:val="18"/>
  </w:num>
  <w:num w:numId="8">
    <w:abstractNumId w:val="25"/>
  </w:num>
  <w:num w:numId="9">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
  </w:num>
  <w:num w:numId="11">
    <w:abstractNumId w:val="16"/>
  </w:num>
  <w:num w:numId="12">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8"/>
  </w:num>
  <w:num w:numId="14">
    <w:abstractNumId w:val="6"/>
  </w:num>
  <w:num w:numId="15">
    <w:abstractNumId w:val="0"/>
  </w:num>
  <w:num w:numId="16">
    <w:abstractNumId w:val="3"/>
  </w:num>
  <w:num w:numId="17">
    <w:abstractNumId w:val="27"/>
  </w:num>
  <w:num w:numId="18">
    <w:abstractNumId w:val="30"/>
  </w:num>
  <w:num w:numId="19">
    <w:abstractNumId w:val="20"/>
  </w:num>
  <w:num w:numId="20">
    <w:abstractNumId w:val="10"/>
  </w:num>
  <w:num w:numId="21">
    <w:abstractNumId w:val="9"/>
  </w:num>
  <w:num w:numId="22">
    <w:abstractNumId w:val="4"/>
  </w:num>
  <w:num w:numId="23">
    <w:abstractNumId w:val="1"/>
  </w:num>
  <w:num w:numId="24">
    <w:abstractNumId w:val="7"/>
  </w:num>
  <w:num w:numId="25">
    <w:abstractNumId w:val="13"/>
  </w:num>
  <w:num w:numId="26">
    <w:abstractNumId w:val="11"/>
  </w:num>
  <w:num w:numId="27">
    <w:abstractNumId w:val="22"/>
  </w:num>
  <w:num w:numId="28">
    <w:abstractNumId w:val="14"/>
  </w:num>
  <w:num w:numId="29">
    <w:abstractNumId w:val="21"/>
  </w:num>
  <w:num w:numId="30">
    <w:abstractNumId w:val="12"/>
  </w:num>
  <w:num w:numId="31">
    <w:abstractNumId w:val="19"/>
  </w:num>
  <w:num w:numId="32">
    <w:abstractNumId w:val="29"/>
  </w:num>
  <w:num w:numId="33">
    <w:abstractNumId w:val="5"/>
  </w:num>
  <w:num w:numId="34">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jhlYzA2M2U3YjFkYWEwOWE3MmFiNGEzODVjMGM5M2YifQ=="/>
  </w:docVars>
  <w:rsids>
    <w:rsidRoot w:val="003447BF"/>
    <w:rsid w:val="0000027A"/>
    <w:rsid w:val="00000F16"/>
    <w:rsid w:val="00001A3D"/>
    <w:rsid w:val="00002019"/>
    <w:rsid w:val="00002207"/>
    <w:rsid w:val="0000340B"/>
    <w:rsid w:val="000035F7"/>
    <w:rsid w:val="00003F46"/>
    <w:rsid w:val="000048DB"/>
    <w:rsid w:val="00005610"/>
    <w:rsid w:val="000056AD"/>
    <w:rsid w:val="00006391"/>
    <w:rsid w:val="000066B1"/>
    <w:rsid w:val="00007938"/>
    <w:rsid w:val="000109D5"/>
    <w:rsid w:val="000126A7"/>
    <w:rsid w:val="00013B94"/>
    <w:rsid w:val="00013CCE"/>
    <w:rsid w:val="00013EAD"/>
    <w:rsid w:val="000140D2"/>
    <w:rsid w:val="00015473"/>
    <w:rsid w:val="00015598"/>
    <w:rsid w:val="00016598"/>
    <w:rsid w:val="00016CB2"/>
    <w:rsid w:val="000176E1"/>
    <w:rsid w:val="00017D18"/>
    <w:rsid w:val="0002035A"/>
    <w:rsid w:val="000203CA"/>
    <w:rsid w:val="00022189"/>
    <w:rsid w:val="000226D8"/>
    <w:rsid w:val="00022BFC"/>
    <w:rsid w:val="000235F1"/>
    <w:rsid w:val="00027A64"/>
    <w:rsid w:val="000305C9"/>
    <w:rsid w:val="000307EF"/>
    <w:rsid w:val="00030FFD"/>
    <w:rsid w:val="0003105F"/>
    <w:rsid w:val="00031718"/>
    <w:rsid w:val="0003264D"/>
    <w:rsid w:val="0003278E"/>
    <w:rsid w:val="00033243"/>
    <w:rsid w:val="00033657"/>
    <w:rsid w:val="00033970"/>
    <w:rsid w:val="00034F4C"/>
    <w:rsid w:val="00035188"/>
    <w:rsid w:val="00035689"/>
    <w:rsid w:val="00035E1B"/>
    <w:rsid w:val="0003685E"/>
    <w:rsid w:val="000368DB"/>
    <w:rsid w:val="000370BC"/>
    <w:rsid w:val="00037DE7"/>
    <w:rsid w:val="00041058"/>
    <w:rsid w:val="0004181F"/>
    <w:rsid w:val="000418B4"/>
    <w:rsid w:val="000423FB"/>
    <w:rsid w:val="00042463"/>
    <w:rsid w:val="00042AB2"/>
    <w:rsid w:val="000433A7"/>
    <w:rsid w:val="00043A88"/>
    <w:rsid w:val="00043CE0"/>
    <w:rsid w:val="00043FE0"/>
    <w:rsid w:val="00045598"/>
    <w:rsid w:val="00045889"/>
    <w:rsid w:val="00046197"/>
    <w:rsid w:val="00046326"/>
    <w:rsid w:val="0004713F"/>
    <w:rsid w:val="0005010C"/>
    <w:rsid w:val="00050BF7"/>
    <w:rsid w:val="00050FAE"/>
    <w:rsid w:val="0005230D"/>
    <w:rsid w:val="00052373"/>
    <w:rsid w:val="0005298D"/>
    <w:rsid w:val="00052C94"/>
    <w:rsid w:val="00053A3B"/>
    <w:rsid w:val="00054226"/>
    <w:rsid w:val="000547D0"/>
    <w:rsid w:val="000551E5"/>
    <w:rsid w:val="00055490"/>
    <w:rsid w:val="00057C2D"/>
    <w:rsid w:val="000602B2"/>
    <w:rsid w:val="0006147C"/>
    <w:rsid w:val="0006230D"/>
    <w:rsid w:val="000629E2"/>
    <w:rsid w:val="00062D25"/>
    <w:rsid w:val="00064E83"/>
    <w:rsid w:val="000656D0"/>
    <w:rsid w:val="00066685"/>
    <w:rsid w:val="00066946"/>
    <w:rsid w:val="000702C7"/>
    <w:rsid w:val="0007042D"/>
    <w:rsid w:val="00070E1E"/>
    <w:rsid w:val="000711E0"/>
    <w:rsid w:val="000711E8"/>
    <w:rsid w:val="00071B86"/>
    <w:rsid w:val="00072BC3"/>
    <w:rsid w:val="00073F28"/>
    <w:rsid w:val="00074924"/>
    <w:rsid w:val="000752C4"/>
    <w:rsid w:val="00075794"/>
    <w:rsid w:val="00075EE4"/>
    <w:rsid w:val="00076460"/>
    <w:rsid w:val="000769C0"/>
    <w:rsid w:val="0008030B"/>
    <w:rsid w:val="00080724"/>
    <w:rsid w:val="0008074A"/>
    <w:rsid w:val="00080AC1"/>
    <w:rsid w:val="00080FDE"/>
    <w:rsid w:val="00080FEA"/>
    <w:rsid w:val="0008127C"/>
    <w:rsid w:val="00081392"/>
    <w:rsid w:val="00081757"/>
    <w:rsid w:val="000825CD"/>
    <w:rsid w:val="00082C65"/>
    <w:rsid w:val="00082E41"/>
    <w:rsid w:val="00083710"/>
    <w:rsid w:val="00083B90"/>
    <w:rsid w:val="00083C90"/>
    <w:rsid w:val="00083F30"/>
    <w:rsid w:val="00084463"/>
    <w:rsid w:val="00084746"/>
    <w:rsid w:val="000850E9"/>
    <w:rsid w:val="000859E7"/>
    <w:rsid w:val="00085F92"/>
    <w:rsid w:val="00086313"/>
    <w:rsid w:val="00086CF7"/>
    <w:rsid w:val="00086DF0"/>
    <w:rsid w:val="000903E0"/>
    <w:rsid w:val="00090426"/>
    <w:rsid w:val="0009085D"/>
    <w:rsid w:val="000915B5"/>
    <w:rsid w:val="0009177F"/>
    <w:rsid w:val="000924E1"/>
    <w:rsid w:val="00092ABD"/>
    <w:rsid w:val="00093597"/>
    <w:rsid w:val="00093F23"/>
    <w:rsid w:val="000940E3"/>
    <w:rsid w:val="0009563B"/>
    <w:rsid w:val="00095825"/>
    <w:rsid w:val="000977D2"/>
    <w:rsid w:val="00097E39"/>
    <w:rsid w:val="000A23F5"/>
    <w:rsid w:val="000A2765"/>
    <w:rsid w:val="000A424B"/>
    <w:rsid w:val="000A477E"/>
    <w:rsid w:val="000A5072"/>
    <w:rsid w:val="000A5F66"/>
    <w:rsid w:val="000A6D9E"/>
    <w:rsid w:val="000A6ED8"/>
    <w:rsid w:val="000A70C0"/>
    <w:rsid w:val="000A76FF"/>
    <w:rsid w:val="000B005C"/>
    <w:rsid w:val="000B08E0"/>
    <w:rsid w:val="000B0F49"/>
    <w:rsid w:val="000B1025"/>
    <w:rsid w:val="000B1727"/>
    <w:rsid w:val="000B1922"/>
    <w:rsid w:val="000B2779"/>
    <w:rsid w:val="000B47AD"/>
    <w:rsid w:val="000B6146"/>
    <w:rsid w:val="000B663B"/>
    <w:rsid w:val="000B6DD8"/>
    <w:rsid w:val="000C0825"/>
    <w:rsid w:val="000C17A9"/>
    <w:rsid w:val="000C3ED3"/>
    <w:rsid w:val="000C530E"/>
    <w:rsid w:val="000C542C"/>
    <w:rsid w:val="000C6390"/>
    <w:rsid w:val="000C6793"/>
    <w:rsid w:val="000C6B8A"/>
    <w:rsid w:val="000C7700"/>
    <w:rsid w:val="000C775D"/>
    <w:rsid w:val="000C79E7"/>
    <w:rsid w:val="000C7F80"/>
    <w:rsid w:val="000D0155"/>
    <w:rsid w:val="000D01FA"/>
    <w:rsid w:val="000D07ED"/>
    <w:rsid w:val="000D14A9"/>
    <w:rsid w:val="000D191B"/>
    <w:rsid w:val="000D1930"/>
    <w:rsid w:val="000D2866"/>
    <w:rsid w:val="000D2F21"/>
    <w:rsid w:val="000D3FBC"/>
    <w:rsid w:val="000D402B"/>
    <w:rsid w:val="000D486A"/>
    <w:rsid w:val="000D486E"/>
    <w:rsid w:val="000D4B05"/>
    <w:rsid w:val="000D4D7C"/>
    <w:rsid w:val="000D4D91"/>
    <w:rsid w:val="000D4EA2"/>
    <w:rsid w:val="000D55C4"/>
    <w:rsid w:val="000D696D"/>
    <w:rsid w:val="000D6EF1"/>
    <w:rsid w:val="000D6F72"/>
    <w:rsid w:val="000D7392"/>
    <w:rsid w:val="000D789A"/>
    <w:rsid w:val="000D7A5B"/>
    <w:rsid w:val="000E0577"/>
    <w:rsid w:val="000E0D71"/>
    <w:rsid w:val="000E2607"/>
    <w:rsid w:val="000E353F"/>
    <w:rsid w:val="000E3A8A"/>
    <w:rsid w:val="000E406C"/>
    <w:rsid w:val="000E444B"/>
    <w:rsid w:val="000E5428"/>
    <w:rsid w:val="000E5A9F"/>
    <w:rsid w:val="000F02A3"/>
    <w:rsid w:val="000F0526"/>
    <w:rsid w:val="000F1557"/>
    <w:rsid w:val="000F16A9"/>
    <w:rsid w:val="000F1864"/>
    <w:rsid w:val="000F259B"/>
    <w:rsid w:val="000F42DF"/>
    <w:rsid w:val="000F4402"/>
    <w:rsid w:val="000F4554"/>
    <w:rsid w:val="000F456F"/>
    <w:rsid w:val="000F47D9"/>
    <w:rsid w:val="000F513A"/>
    <w:rsid w:val="000F53D5"/>
    <w:rsid w:val="000F59FE"/>
    <w:rsid w:val="000F653C"/>
    <w:rsid w:val="000F7555"/>
    <w:rsid w:val="001005DF"/>
    <w:rsid w:val="00100B27"/>
    <w:rsid w:val="00102526"/>
    <w:rsid w:val="0010264B"/>
    <w:rsid w:val="00102A52"/>
    <w:rsid w:val="001043B1"/>
    <w:rsid w:val="00104A1E"/>
    <w:rsid w:val="00104B25"/>
    <w:rsid w:val="001057C3"/>
    <w:rsid w:val="00105D37"/>
    <w:rsid w:val="00106C22"/>
    <w:rsid w:val="00107537"/>
    <w:rsid w:val="001112B1"/>
    <w:rsid w:val="0011183F"/>
    <w:rsid w:val="00112A18"/>
    <w:rsid w:val="00112B20"/>
    <w:rsid w:val="00112C44"/>
    <w:rsid w:val="0011354F"/>
    <w:rsid w:val="00113C11"/>
    <w:rsid w:val="00114457"/>
    <w:rsid w:val="00114A6A"/>
    <w:rsid w:val="00114E84"/>
    <w:rsid w:val="00115384"/>
    <w:rsid w:val="0011558A"/>
    <w:rsid w:val="001158C7"/>
    <w:rsid w:val="001160D8"/>
    <w:rsid w:val="00117FBD"/>
    <w:rsid w:val="00120F1C"/>
    <w:rsid w:val="001222AB"/>
    <w:rsid w:val="001228DF"/>
    <w:rsid w:val="00123312"/>
    <w:rsid w:val="00123E58"/>
    <w:rsid w:val="00125049"/>
    <w:rsid w:val="001258FA"/>
    <w:rsid w:val="001263DC"/>
    <w:rsid w:val="0012656C"/>
    <w:rsid w:val="001277F0"/>
    <w:rsid w:val="001302A7"/>
    <w:rsid w:val="001302DE"/>
    <w:rsid w:val="001306E4"/>
    <w:rsid w:val="00131E0F"/>
    <w:rsid w:val="001328C8"/>
    <w:rsid w:val="0013423B"/>
    <w:rsid w:val="00134F74"/>
    <w:rsid w:val="00136356"/>
    <w:rsid w:val="0013681A"/>
    <w:rsid w:val="001369FF"/>
    <w:rsid w:val="00136D53"/>
    <w:rsid w:val="00140089"/>
    <w:rsid w:val="0014056C"/>
    <w:rsid w:val="001408DD"/>
    <w:rsid w:val="00140987"/>
    <w:rsid w:val="001410DE"/>
    <w:rsid w:val="00142434"/>
    <w:rsid w:val="00144EE4"/>
    <w:rsid w:val="001450B9"/>
    <w:rsid w:val="00146A76"/>
    <w:rsid w:val="00146B9A"/>
    <w:rsid w:val="001471B2"/>
    <w:rsid w:val="001471D4"/>
    <w:rsid w:val="00147997"/>
    <w:rsid w:val="0015024C"/>
    <w:rsid w:val="00152E22"/>
    <w:rsid w:val="0015365C"/>
    <w:rsid w:val="00154D0D"/>
    <w:rsid w:val="0015566D"/>
    <w:rsid w:val="001560B9"/>
    <w:rsid w:val="00156A1E"/>
    <w:rsid w:val="00156FFD"/>
    <w:rsid w:val="00157933"/>
    <w:rsid w:val="001608A1"/>
    <w:rsid w:val="00160CA8"/>
    <w:rsid w:val="00160CB4"/>
    <w:rsid w:val="00161267"/>
    <w:rsid w:val="00161531"/>
    <w:rsid w:val="001616BC"/>
    <w:rsid w:val="00161CFF"/>
    <w:rsid w:val="00161D40"/>
    <w:rsid w:val="00161DA3"/>
    <w:rsid w:val="00162435"/>
    <w:rsid w:val="00162D8B"/>
    <w:rsid w:val="001637D7"/>
    <w:rsid w:val="00163D64"/>
    <w:rsid w:val="0016432A"/>
    <w:rsid w:val="0016482D"/>
    <w:rsid w:val="00164ED6"/>
    <w:rsid w:val="001652C8"/>
    <w:rsid w:val="00165631"/>
    <w:rsid w:val="001656BB"/>
    <w:rsid w:val="001670D7"/>
    <w:rsid w:val="001708B6"/>
    <w:rsid w:val="00171392"/>
    <w:rsid w:val="00171559"/>
    <w:rsid w:val="00172ADC"/>
    <w:rsid w:val="001730A9"/>
    <w:rsid w:val="00175B6B"/>
    <w:rsid w:val="00176026"/>
    <w:rsid w:val="001764BB"/>
    <w:rsid w:val="00177487"/>
    <w:rsid w:val="001778BA"/>
    <w:rsid w:val="00177CEC"/>
    <w:rsid w:val="001801B1"/>
    <w:rsid w:val="00180DE7"/>
    <w:rsid w:val="001813B3"/>
    <w:rsid w:val="00181668"/>
    <w:rsid w:val="00181780"/>
    <w:rsid w:val="0018208D"/>
    <w:rsid w:val="001825E7"/>
    <w:rsid w:val="0018438A"/>
    <w:rsid w:val="0018443E"/>
    <w:rsid w:val="00184A4E"/>
    <w:rsid w:val="001851E0"/>
    <w:rsid w:val="001853C2"/>
    <w:rsid w:val="00185A05"/>
    <w:rsid w:val="00185FEE"/>
    <w:rsid w:val="001864A2"/>
    <w:rsid w:val="001866B6"/>
    <w:rsid w:val="00187848"/>
    <w:rsid w:val="00187F43"/>
    <w:rsid w:val="00190182"/>
    <w:rsid w:val="0019057F"/>
    <w:rsid w:val="00191F3F"/>
    <w:rsid w:val="0019365A"/>
    <w:rsid w:val="001953D9"/>
    <w:rsid w:val="00196915"/>
    <w:rsid w:val="001A0476"/>
    <w:rsid w:val="001A0538"/>
    <w:rsid w:val="001A0FCA"/>
    <w:rsid w:val="001A15A7"/>
    <w:rsid w:val="001A3DE7"/>
    <w:rsid w:val="001A65C4"/>
    <w:rsid w:val="001A703C"/>
    <w:rsid w:val="001A70BD"/>
    <w:rsid w:val="001A7DCC"/>
    <w:rsid w:val="001A7F57"/>
    <w:rsid w:val="001B00E7"/>
    <w:rsid w:val="001B1B87"/>
    <w:rsid w:val="001B26F2"/>
    <w:rsid w:val="001B6A93"/>
    <w:rsid w:val="001B7533"/>
    <w:rsid w:val="001C109C"/>
    <w:rsid w:val="001C31F0"/>
    <w:rsid w:val="001C3E8E"/>
    <w:rsid w:val="001C67D3"/>
    <w:rsid w:val="001C70F9"/>
    <w:rsid w:val="001C7893"/>
    <w:rsid w:val="001C7D91"/>
    <w:rsid w:val="001D06C5"/>
    <w:rsid w:val="001D0776"/>
    <w:rsid w:val="001D09BD"/>
    <w:rsid w:val="001D1CE6"/>
    <w:rsid w:val="001D1DF0"/>
    <w:rsid w:val="001D2121"/>
    <w:rsid w:val="001D3404"/>
    <w:rsid w:val="001D5539"/>
    <w:rsid w:val="001D59EF"/>
    <w:rsid w:val="001D6A5D"/>
    <w:rsid w:val="001D71CD"/>
    <w:rsid w:val="001D7B27"/>
    <w:rsid w:val="001E0B5C"/>
    <w:rsid w:val="001E174C"/>
    <w:rsid w:val="001E1FE5"/>
    <w:rsid w:val="001E2AFF"/>
    <w:rsid w:val="001E345D"/>
    <w:rsid w:val="001E39F6"/>
    <w:rsid w:val="001E3C1B"/>
    <w:rsid w:val="001E4164"/>
    <w:rsid w:val="001E4691"/>
    <w:rsid w:val="001E516F"/>
    <w:rsid w:val="001E5607"/>
    <w:rsid w:val="001E5675"/>
    <w:rsid w:val="001E5BFD"/>
    <w:rsid w:val="001E70F0"/>
    <w:rsid w:val="001E79B9"/>
    <w:rsid w:val="001F0C45"/>
    <w:rsid w:val="001F0E74"/>
    <w:rsid w:val="001F139E"/>
    <w:rsid w:val="001F245F"/>
    <w:rsid w:val="001F2532"/>
    <w:rsid w:val="001F25F8"/>
    <w:rsid w:val="001F2BB0"/>
    <w:rsid w:val="001F2BB6"/>
    <w:rsid w:val="001F337F"/>
    <w:rsid w:val="001F3A41"/>
    <w:rsid w:val="001F421A"/>
    <w:rsid w:val="001F46E7"/>
    <w:rsid w:val="001F6864"/>
    <w:rsid w:val="001F7DFE"/>
    <w:rsid w:val="002008FE"/>
    <w:rsid w:val="00201AF3"/>
    <w:rsid w:val="00203CF7"/>
    <w:rsid w:val="00203E0E"/>
    <w:rsid w:val="002047D2"/>
    <w:rsid w:val="002049D9"/>
    <w:rsid w:val="00205850"/>
    <w:rsid w:val="00206BBC"/>
    <w:rsid w:val="002071C3"/>
    <w:rsid w:val="002106C9"/>
    <w:rsid w:val="00210E98"/>
    <w:rsid w:val="00211EEF"/>
    <w:rsid w:val="00212730"/>
    <w:rsid w:val="00213214"/>
    <w:rsid w:val="002140B9"/>
    <w:rsid w:val="00214855"/>
    <w:rsid w:val="00215B5E"/>
    <w:rsid w:val="0021691A"/>
    <w:rsid w:val="00216AA3"/>
    <w:rsid w:val="00221870"/>
    <w:rsid w:val="002230A3"/>
    <w:rsid w:val="00223BB6"/>
    <w:rsid w:val="00223BD3"/>
    <w:rsid w:val="00223D75"/>
    <w:rsid w:val="00225886"/>
    <w:rsid w:val="00225B3C"/>
    <w:rsid w:val="002272FC"/>
    <w:rsid w:val="00227783"/>
    <w:rsid w:val="00227E8F"/>
    <w:rsid w:val="0023041A"/>
    <w:rsid w:val="002332EF"/>
    <w:rsid w:val="00233517"/>
    <w:rsid w:val="00233CAC"/>
    <w:rsid w:val="00234927"/>
    <w:rsid w:val="00234ABD"/>
    <w:rsid w:val="00234FBE"/>
    <w:rsid w:val="00234FC1"/>
    <w:rsid w:val="00235792"/>
    <w:rsid w:val="00236056"/>
    <w:rsid w:val="002363AE"/>
    <w:rsid w:val="0023657F"/>
    <w:rsid w:val="00236F49"/>
    <w:rsid w:val="00237B23"/>
    <w:rsid w:val="00237E16"/>
    <w:rsid w:val="002401A4"/>
    <w:rsid w:val="002404EF"/>
    <w:rsid w:val="00240742"/>
    <w:rsid w:val="00240890"/>
    <w:rsid w:val="0024103C"/>
    <w:rsid w:val="002418C4"/>
    <w:rsid w:val="00241F46"/>
    <w:rsid w:val="0024334D"/>
    <w:rsid w:val="002437BF"/>
    <w:rsid w:val="00243ABB"/>
    <w:rsid w:val="00243AF4"/>
    <w:rsid w:val="002444B8"/>
    <w:rsid w:val="00244CAA"/>
    <w:rsid w:val="00245A2F"/>
    <w:rsid w:val="00245CCD"/>
    <w:rsid w:val="00245E2D"/>
    <w:rsid w:val="00245F4A"/>
    <w:rsid w:val="00246113"/>
    <w:rsid w:val="00247266"/>
    <w:rsid w:val="00247518"/>
    <w:rsid w:val="002479FB"/>
    <w:rsid w:val="002504AA"/>
    <w:rsid w:val="002504C0"/>
    <w:rsid w:val="002515E1"/>
    <w:rsid w:val="002516D9"/>
    <w:rsid w:val="0025278D"/>
    <w:rsid w:val="002536E2"/>
    <w:rsid w:val="00253B8D"/>
    <w:rsid w:val="0025474D"/>
    <w:rsid w:val="0025548A"/>
    <w:rsid w:val="00256532"/>
    <w:rsid w:val="00256680"/>
    <w:rsid w:val="00256758"/>
    <w:rsid w:val="002575B7"/>
    <w:rsid w:val="00257BC9"/>
    <w:rsid w:val="0026150E"/>
    <w:rsid w:val="00261D7B"/>
    <w:rsid w:val="00261FDD"/>
    <w:rsid w:val="0026276C"/>
    <w:rsid w:val="00262D2F"/>
    <w:rsid w:val="00263675"/>
    <w:rsid w:val="002638BB"/>
    <w:rsid w:val="0026442A"/>
    <w:rsid w:val="0026483C"/>
    <w:rsid w:val="002650E7"/>
    <w:rsid w:val="002664F7"/>
    <w:rsid w:val="0026753F"/>
    <w:rsid w:val="002678C2"/>
    <w:rsid w:val="00270292"/>
    <w:rsid w:val="00270705"/>
    <w:rsid w:val="00271240"/>
    <w:rsid w:val="002718A9"/>
    <w:rsid w:val="00271A2C"/>
    <w:rsid w:val="002726E6"/>
    <w:rsid w:val="00273123"/>
    <w:rsid w:val="0027316E"/>
    <w:rsid w:val="002740CA"/>
    <w:rsid w:val="00274153"/>
    <w:rsid w:val="00274683"/>
    <w:rsid w:val="0027477C"/>
    <w:rsid w:val="00274F6E"/>
    <w:rsid w:val="002758D8"/>
    <w:rsid w:val="00275B67"/>
    <w:rsid w:val="00276A6F"/>
    <w:rsid w:val="00277AAF"/>
    <w:rsid w:val="00277FD4"/>
    <w:rsid w:val="002806B7"/>
    <w:rsid w:val="00281775"/>
    <w:rsid w:val="0028179E"/>
    <w:rsid w:val="00281AA6"/>
    <w:rsid w:val="002833D0"/>
    <w:rsid w:val="00285C1C"/>
    <w:rsid w:val="00285CB2"/>
    <w:rsid w:val="00285D9D"/>
    <w:rsid w:val="002860C6"/>
    <w:rsid w:val="00286D70"/>
    <w:rsid w:val="00287E26"/>
    <w:rsid w:val="002908CC"/>
    <w:rsid w:val="00290995"/>
    <w:rsid w:val="002922B8"/>
    <w:rsid w:val="00292AAB"/>
    <w:rsid w:val="00292AEF"/>
    <w:rsid w:val="00292CAA"/>
    <w:rsid w:val="00293545"/>
    <w:rsid w:val="00293E14"/>
    <w:rsid w:val="00295456"/>
    <w:rsid w:val="00296619"/>
    <w:rsid w:val="00296699"/>
    <w:rsid w:val="00297CE2"/>
    <w:rsid w:val="002A00A4"/>
    <w:rsid w:val="002A00F9"/>
    <w:rsid w:val="002A2078"/>
    <w:rsid w:val="002A2153"/>
    <w:rsid w:val="002A2208"/>
    <w:rsid w:val="002A2AAF"/>
    <w:rsid w:val="002A310F"/>
    <w:rsid w:val="002A3BF8"/>
    <w:rsid w:val="002A3F0B"/>
    <w:rsid w:val="002A3FFA"/>
    <w:rsid w:val="002A421A"/>
    <w:rsid w:val="002A564E"/>
    <w:rsid w:val="002A5D95"/>
    <w:rsid w:val="002A5DB0"/>
    <w:rsid w:val="002A63F2"/>
    <w:rsid w:val="002A7007"/>
    <w:rsid w:val="002B01E2"/>
    <w:rsid w:val="002B09DE"/>
    <w:rsid w:val="002B12F1"/>
    <w:rsid w:val="002B18B8"/>
    <w:rsid w:val="002B1CE6"/>
    <w:rsid w:val="002B2899"/>
    <w:rsid w:val="002B4D3C"/>
    <w:rsid w:val="002B5016"/>
    <w:rsid w:val="002B5135"/>
    <w:rsid w:val="002B5881"/>
    <w:rsid w:val="002B5BE4"/>
    <w:rsid w:val="002B6529"/>
    <w:rsid w:val="002B6E49"/>
    <w:rsid w:val="002C05CA"/>
    <w:rsid w:val="002C0B22"/>
    <w:rsid w:val="002C1DA8"/>
    <w:rsid w:val="002C243C"/>
    <w:rsid w:val="002C296F"/>
    <w:rsid w:val="002C2972"/>
    <w:rsid w:val="002C364F"/>
    <w:rsid w:val="002C4010"/>
    <w:rsid w:val="002C44D2"/>
    <w:rsid w:val="002C4507"/>
    <w:rsid w:val="002C48E5"/>
    <w:rsid w:val="002C4A24"/>
    <w:rsid w:val="002C662D"/>
    <w:rsid w:val="002C6DD5"/>
    <w:rsid w:val="002C7038"/>
    <w:rsid w:val="002C7783"/>
    <w:rsid w:val="002D037B"/>
    <w:rsid w:val="002D046C"/>
    <w:rsid w:val="002D15B4"/>
    <w:rsid w:val="002D185A"/>
    <w:rsid w:val="002D1D78"/>
    <w:rsid w:val="002D1F57"/>
    <w:rsid w:val="002D2A91"/>
    <w:rsid w:val="002D32FC"/>
    <w:rsid w:val="002D34FF"/>
    <w:rsid w:val="002D3628"/>
    <w:rsid w:val="002D3F28"/>
    <w:rsid w:val="002D4284"/>
    <w:rsid w:val="002D478F"/>
    <w:rsid w:val="002D50D1"/>
    <w:rsid w:val="002D5583"/>
    <w:rsid w:val="002D5723"/>
    <w:rsid w:val="002D59E9"/>
    <w:rsid w:val="002D5AF4"/>
    <w:rsid w:val="002D700F"/>
    <w:rsid w:val="002D79E9"/>
    <w:rsid w:val="002D7D93"/>
    <w:rsid w:val="002E123C"/>
    <w:rsid w:val="002E1A3C"/>
    <w:rsid w:val="002E206E"/>
    <w:rsid w:val="002E24B9"/>
    <w:rsid w:val="002E2A22"/>
    <w:rsid w:val="002E3F33"/>
    <w:rsid w:val="002E4AB6"/>
    <w:rsid w:val="002E50E3"/>
    <w:rsid w:val="002E556A"/>
    <w:rsid w:val="002E7155"/>
    <w:rsid w:val="002F0C2A"/>
    <w:rsid w:val="002F1CFC"/>
    <w:rsid w:val="002F36BB"/>
    <w:rsid w:val="002F48AA"/>
    <w:rsid w:val="002F48AC"/>
    <w:rsid w:val="002F4AC5"/>
    <w:rsid w:val="002F4DAA"/>
    <w:rsid w:val="002F4F1E"/>
    <w:rsid w:val="002F5213"/>
    <w:rsid w:val="002F7B85"/>
    <w:rsid w:val="002F7BA7"/>
    <w:rsid w:val="002F7CFF"/>
    <w:rsid w:val="0030183C"/>
    <w:rsid w:val="00301F28"/>
    <w:rsid w:val="00302ADA"/>
    <w:rsid w:val="00303AD0"/>
    <w:rsid w:val="0030419C"/>
    <w:rsid w:val="00304399"/>
    <w:rsid w:val="0030440D"/>
    <w:rsid w:val="00304740"/>
    <w:rsid w:val="00304D04"/>
    <w:rsid w:val="0030503D"/>
    <w:rsid w:val="003058C6"/>
    <w:rsid w:val="003058F1"/>
    <w:rsid w:val="003059FD"/>
    <w:rsid w:val="0030792A"/>
    <w:rsid w:val="00311F53"/>
    <w:rsid w:val="00312AD3"/>
    <w:rsid w:val="00312C29"/>
    <w:rsid w:val="00313E78"/>
    <w:rsid w:val="00313F9C"/>
    <w:rsid w:val="00314F83"/>
    <w:rsid w:val="003154DE"/>
    <w:rsid w:val="0031577A"/>
    <w:rsid w:val="00316501"/>
    <w:rsid w:val="0031711A"/>
    <w:rsid w:val="0031770E"/>
    <w:rsid w:val="003210EA"/>
    <w:rsid w:val="0032300C"/>
    <w:rsid w:val="00323607"/>
    <w:rsid w:val="00323CEF"/>
    <w:rsid w:val="00323D93"/>
    <w:rsid w:val="00324522"/>
    <w:rsid w:val="00324AF8"/>
    <w:rsid w:val="00324E43"/>
    <w:rsid w:val="003250CA"/>
    <w:rsid w:val="003257B8"/>
    <w:rsid w:val="003275B3"/>
    <w:rsid w:val="003275C9"/>
    <w:rsid w:val="003276D0"/>
    <w:rsid w:val="00327747"/>
    <w:rsid w:val="00327831"/>
    <w:rsid w:val="00327895"/>
    <w:rsid w:val="00327E98"/>
    <w:rsid w:val="00330680"/>
    <w:rsid w:val="00330689"/>
    <w:rsid w:val="00331F81"/>
    <w:rsid w:val="00332BD5"/>
    <w:rsid w:val="00332D92"/>
    <w:rsid w:val="003331CD"/>
    <w:rsid w:val="00333EF5"/>
    <w:rsid w:val="00334FCD"/>
    <w:rsid w:val="00335731"/>
    <w:rsid w:val="00335BD2"/>
    <w:rsid w:val="00335CFC"/>
    <w:rsid w:val="00335FDD"/>
    <w:rsid w:val="00336698"/>
    <w:rsid w:val="0033708F"/>
    <w:rsid w:val="003372AA"/>
    <w:rsid w:val="00337328"/>
    <w:rsid w:val="003379B7"/>
    <w:rsid w:val="00337C82"/>
    <w:rsid w:val="00337D1A"/>
    <w:rsid w:val="00340410"/>
    <w:rsid w:val="00341DDB"/>
    <w:rsid w:val="003439EC"/>
    <w:rsid w:val="003447BF"/>
    <w:rsid w:val="00344B0C"/>
    <w:rsid w:val="003453AC"/>
    <w:rsid w:val="003453B7"/>
    <w:rsid w:val="003456EA"/>
    <w:rsid w:val="00347301"/>
    <w:rsid w:val="003509D8"/>
    <w:rsid w:val="003513DF"/>
    <w:rsid w:val="003517BF"/>
    <w:rsid w:val="003517E2"/>
    <w:rsid w:val="00353563"/>
    <w:rsid w:val="003539CF"/>
    <w:rsid w:val="003539D5"/>
    <w:rsid w:val="00354518"/>
    <w:rsid w:val="003548F6"/>
    <w:rsid w:val="00354936"/>
    <w:rsid w:val="00355F34"/>
    <w:rsid w:val="00360B4A"/>
    <w:rsid w:val="0036161B"/>
    <w:rsid w:val="003620EE"/>
    <w:rsid w:val="00362A01"/>
    <w:rsid w:val="00362AA0"/>
    <w:rsid w:val="00363894"/>
    <w:rsid w:val="0036441D"/>
    <w:rsid w:val="003670E6"/>
    <w:rsid w:val="003673B8"/>
    <w:rsid w:val="00367488"/>
    <w:rsid w:val="003704BC"/>
    <w:rsid w:val="003705D4"/>
    <w:rsid w:val="003712A8"/>
    <w:rsid w:val="00371C55"/>
    <w:rsid w:val="0037221C"/>
    <w:rsid w:val="00372CDD"/>
    <w:rsid w:val="00372F98"/>
    <w:rsid w:val="003730E5"/>
    <w:rsid w:val="0037345E"/>
    <w:rsid w:val="0037431E"/>
    <w:rsid w:val="0037444F"/>
    <w:rsid w:val="0037492B"/>
    <w:rsid w:val="00376454"/>
    <w:rsid w:val="00376E6B"/>
    <w:rsid w:val="00377C5E"/>
    <w:rsid w:val="00380AC9"/>
    <w:rsid w:val="00380F99"/>
    <w:rsid w:val="0038148A"/>
    <w:rsid w:val="003814D2"/>
    <w:rsid w:val="0038248B"/>
    <w:rsid w:val="00382E34"/>
    <w:rsid w:val="00385AF6"/>
    <w:rsid w:val="00385B5E"/>
    <w:rsid w:val="00385DB1"/>
    <w:rsid w:val="003865BF"/>
    <w:rsid w:val="00387BFB"/>
    <w:rsid w:val="003903BA"/>
    <w:rsid w:val="0039049F"/>
    <w:rsid w:val="00391251"/>
    <w:rsid w:val="00391CBF"/>
    <w:rsid w:val="00391FA7"/>
    <w:rsid w:val="00392271"/>
    <w:rsid w:val="0039243F"/>
    <w:rsid w:val="00393515"/>
    <w:rsid w:val="003936E5"/>
    <w:rsid w:val="00394FDC"/>
    <w:rsid w:val="00395111"/>
    <w:rsid w:val="00396005"/>
    <w:rsid w:val="003962B6"/>
    <w:rsid w:val="00396471"/>
    <w:rsid w:val="00397485"/>
    <w:rsid w:val="003A0D2D"/>
    <w:rsid w:val="003A157A"/>
    <w:rsid w:val="003A1CA9"/>
    <w:rsid w:val="003A22A0"/>
    <w:rsid w:val="003A238B"/>
    <w:rsid w:val="003A31B0"/>
    <w:rsid w:val="003A4916"/>
    <w:rsid w:val="003A4B24"/>
    <w:rsid w:val="003A5AB3"/>
    <w:rsid w:val="003A616E"/>
    <w:rsid w:val="003A6EA0"/>
    <w:rsid w:val="003A7020"/>
    <w:rsid w:val="003B0112"/>
    <w:rsid w:val="003B030C"/>
    <w:rsid w:val="003B0768"/>
    <w:rsid w:val="003B12E1"/>
    <w:rsid w:val="003B12F5"/>
    <w:rsid w:val="003B155E"/>
    <w:rsid w:val="003B2025"/>
    <w:rsid w:val="003B403D"/>
    <w:rsid w:val="003B4186"/>
    <w:rsid w:val="003B43AE"/>
    <w:rsid w:val="003B4A6D"/>
    <w:rsid w:val="003B554A"/>
    <w:rsid w:val="003B5EAE"/>
    <w:rsid w:val="003B6086"/>
    <w:rsid w:val="003B6F25"/>
    <w:rsid w:val="003B707F"/>
    <w:rsid w:val="003B7877"/>
    <w:rsid w:val="003C0548"/>
    <w:rsid w:val="003C0D3E"/>
    <w:rsid w:val="003C1101"/>
    <w:rsid w:val="003C1A89"/>
    <w:rsid w:val="003C1FDE"/>
    <w:rsid w:val="003C2ADE"/>
    <w:rsid w:val="003C2FD4"/>
    <w:rsid w:val="003C43BB"/>
    <w:rsid w:val="003C4BB9"/>
    <w:rsid w:val="003C51CE"/>
    <w:rsid w:val="003C5891"/>
    <w:rsid w:val="003C5CB8"/>
    <w:rsid w:val="003C5EE4"/>
    <w:rsid w:val="003C7426"/>
    <w:rsid w:val="003C78AD"/>
    <w:rsid w:val="003C7AC5"/>
    <w:rsid w:val="003D06B5"/>
    <w:rsid w:val="003D0FAC"/>
    <w:rsid w:val="003D24E4"/>
    <w:rsid w:val="003D3562"/>
    <w:rsid w:val="003D35E4"/>
    <w:rsid w:val="003D3921"/>
    <w:rsid w:val="003D427E"/>
    <w:rsid w:val="003D5694"/>
    <w:rsid w:val="003D5D8B"/>
    <w:rsid w:val="003D5F94"/>
    <w:rsid w:val="003D627C"/>
    <w:rsid w:val="003D692F"/>
    <w:rsid w:val="003D6C0E"/>
    <w:rsid w:val="003D77DF"/>
    <w:rsid w:val="003D7BF1"/>
    <w:rsid w:val="003D7CB5"/>
    <w:rsid w:val="003D7FC8"/>
    <w:rsid w:val="003E079B"/>
    <w:rsid w:val="003E104B"/>
    <w:rsid w:val="003E1132"/>
    <w:rsid w:val="003E13BA"/>
    <w:rsid w:val="003E23C3"/>
    <w:rsid w:val="003E2B07"/>
    <w:rsid w:val="003E2CD9"/>
    <w:rsid w:val="003E2F40"/>
    <w:rsid w:val="003E499F"/>
    <w:rsid w:val="003E4CFF"/>
    <w:rsid w:val="003E5280"/>
    <w:rsid w:val="003E61F1"/>
    <w:rsid w:val="003E7138"/>
    <w:rsid w:val="003E7A55"/>
    <w:rsid w:val="003F01B1"/>
    <w:rsid w:val="003F1410"/>
    <w:rsid w:val="003F1823"/>
    <w:rsid w:val="003F18EF"/>
    <w:rsid w:val="003F2A8C"/>
    <w:rsid w:val="003F3000"/>
    <w:rsid w:val="003F336E"/>
    <w:rsid w:val="003F698E"/>
    <w:rsid w:val="003F6A26"/>
    <w:rsid w:val="003F7389"/>
    <w:rsid w:val="00400481"/>
    <w:rsid w:val="00400E6A"/>
    <w:rsid w:val="00402622"/>
    <w:rsid w:val="00402B19"/>
    <w:rsid w:val="00404624"/>
    <w:rsid w:val="00404B70"/>
    <w:rsid w:val="00405CED"/>
    <w:rsid w:val="00405DA3"/>
    <w:rsid w:val="00405ED8"/>
    <w:rsid w:val="004060A3"/>
    <w:rsid w:val="00406610"/>
    <w:rsid w:val="004066C6"/>
    <w:rsid w:val="00406D84"/>
    <w:rsid w:val="00407ECD"/>
    <w:rsid w:val="004103AB"/>
    <w:rsid w:val="00410A29"/>
    <w:rsid w:val="00410BB9"/>
    <w:rsid w:val="00411996"/>
    <w:rsid w:val="00411CDC"/>
    <w:rsid w:val="00412DC6"/>
    <w:rsid w:val="00413830"/>
    <w:rsid w:val="00413CB8"/>
    <w:rsid w:val="00413DB2"/>
    <w:rsid w:val="00413FEB"/>
    <w:rsid w:val="00414A75"/>
    <w:rsid w:val="0041517A"/>
    <w:rsid w:val="00417894"/>
    <w:rsid w:val="00417AE1"/>
    <w:rsid w:val="0042005F"/>
    <w:rsid w:val="004202F8"/>
    <w:rsid w:val="00420A69"/>
    <w:rsid w:val="004210D1"/>
    <w:rsid w:val="00421609"/>
    <w:rsid w:val="00421618"/>
    <w:rsid w:val="00422C17"/>
    <w:rsid w:val="00422E18"/>
    <w:rsid w:val="00425505"/>
    <w:rsid w:val="00425890"/>
    <w:rsid w:val="00425B13"/>
    <w:rsid w:val="0042623C"/>
    <w:rsid w:val="004267EC"/>
    <w:rsid w:val="00426915"/>
    <w:rsid w:val="00426AFE"/>
    <w:rsid w:val="004275E9"/>
    <w:rsid w:val="00427859"/>
    <w:rsid w:val="0042794B"/>
    <w:rsid w:val="00427FCD"/>
    <w:rsid w:val="0043102F"/>
    <w:rsid w:val="00431625"/>
    <w:rsid w:val="004318F8"/>
    <w:rsid w:val="00431BD5"/>
    <w:rsid w:val="00432D73"/>
    <w:rsid w:val="00432D9A"/>
    <w:rsid w:val="00432F85"/>
    <w:rsid w:val="004331B4"/>
    <w:rsid w:val="004338F3"/>
    <w:rsid w:val="004339F6"/>
    <w:rsid w:val="00433B7C"/>
    <w:rsid w:val="00434598"/>
    <w:rsid w:val="0043469A"/>
    <w:rsid w:val="00434883"/>
    <w:rsid w:val="00434B58"/>
    <w:rsid w:val="0043550A"/>
    <w:rsid w:val="00435A74"/>
    <w:rsid w:val="00435C8F"/>
    <w:rsid w:val="00436CD2"/>
    <w:rsid w:val="004374EB"/>
    <w:rsid w:val="00437FAC"/>
    <w:rsid w:val="00440142"/>
    <w:rsid w:val="004408FF"/>
    <w:rsid w:val="00440B29"/>
    <w:rsid w:val="00441522"/>
    <w:rsid w:val="004419A1"/>
    <w:rsid w:val="00441A97"/>
    <w:rsid w:val="00441CBC"/>
    <w:rsid w:val="00441EA6"/>
    <w:rsid w:val="004438E7"/>
    <w:rsid w:val="004439A5"/>
    <w:rsid w:val="00443C70"/>
    <w:rsid w:val="00443ED8"/>
    <w:rsid w:val="004442B5"/>
    <w:rsid w:val="004443B1"/>
    <w:rsid w:val="00444776"/>
    <w:rsid w:val="00445021"/>
    <w:rsid w:val="00445613"/>
    <w:rsid w:val="004465C6"/>
    <w:rsid w:val="00447DCD"/>
    <w:rsid w:val="004502D4"/>
    <w:rsid w:val="00450742"/>
    <w:rsid w:val="0045099D"/>
    <w:rsid w:val="0045181F"/>
    <w:rsid w:val="004525CF"/>
    <w:rsid w:val="00452AF5"/>
    <w:rsid w:val="00453A33"/>
    <w:rsid w:val="0045478F"/>
    <w:rsid w:val="00454AB3"/>
    <w:rsid w:val="00454E8E"/>
    <w:rsid w:val="00454EE0"/>
    <w:rsid w:val="00455615"/>
    <w:rsid w:val="004558A9"/>
    <w:rsid w:val="0045620D"/>
    <w:rsid w:val="004563BF"/>
    <w:rsid w:val="00456A3C"/>
    <w:rsid w:val="004577FB"/>
    <w:rsid w:val="0046137C"/>
    <w:rsid w:val="00461CDA"/>
    <w:rsid w:val="00461D9C"/>
    <w:rsid w:val="00461E1E"/>
    <w:rsid w:val="00462BD9"/>
    <w:rsid w:val="00463340"/>
    <w:rsid w:val="00463F84"/>
    <w:rsid w:val="00464298"/>
    <w:rsid w:val="00464654"/>
    <w:rsid w:val="004650B1"/>
    <w:rsid w:val="00465860"/>
    <w:rsid w:val="004661C7"/>
    <w:rsid w:val="004661E3"/>
    <w:rsid w:val="00466E68"/>
    <w:rsid w:val="00467023"/>
    <w:rsid w:val="004673B9"/>
    <w:rsid w:val="0046758A"/>
    <w:rsid w:val="00471B0F"/>
    <w:rsid w:val="0047223E"/>
    <w:rsid w:val="00472462"/>
    <w:rsid w:val="0047256B"/>
    <w:rsid w:val="00472EA5"/>
    <w:rsid w:val="00473468"/>
    <w:rsid w:val="00474213"/>
    <w:rsid w:val="004742E3"/>
    <w:rsid w:val="004748B0"/>
    <w:rsid w:val="00474F95"/>
    <w:rsid w:val="004752F0"/>
    <w:rsid w:val="00475809"/>
    <w:rsid w:val="00480D01"/>
    <w:rsid w:val="00482D97"/>
    <w:rsid w:val="004841A4"/>
    <w:rsid w:val="004843CF"/>
    <w:rsid w:val="00484890"/>
    <w:rsid w:val="00484D5F"/>
    <w:rsid w:val="004859B1"/>
    <w:rsid w:val="00485C5C"/>
    <w:rsid w:val="00486281"/>
    <w:rsid w:val="00486766"/>
    <w:rsid w:val="00487AA4"/>
    <w:rsid w:val="00487DEE"/>
    <w:rsid w:val="00490A89"/>
    <w:rsid w:val="00492103"/>
    <w:rsid w:val="00492A36"/>
    <w:rsid w:val="00492C5C"/>
    <w:rsid w:val="00493A11"/>
    <w:rsid w:val="004940D8"/>
    <w:rsid w:val="00494697"/>
    <w:rsid w:val="00494E61"/>
    <w:rsid w:val="00495B7E"/>
    <w:rsid w:val="00495CBA"/>
    <w:rsid w:val="00495DBB"/>
    <w:rsid w:val="00496126"/>
    <w:rsid w:val="00496877"/>
    <w:rsid w:val="004A023A"/>
    <w:rsid w:val="004A0562"/>
    <w:rsid w:val="004A142B"/>
    <w:rsid w:val="004A2863"/>
    <w:rsid w:val="004A2FE3"/>
    <w:rsid w:val="004A362C"/>
    <w:rsid w:val="004A67D7"/>
    <w:rsid w:val="004A6A34"/>
    <w:rsid w:val="004A78E9"/>
    <w:rsid w:val="004A7E98"/>
    <w:rsid w:val="004B0197"/>
    <w:rsid w:val="004B07C3"/>
    <w:rsid w:val="004B09C6"/>
    <w:rsid w:val="004B2233"/>
    <w:rsid w:val="004B2F5D"/>
    <w:rsid w:val="004B31F9"/>
    <w:rsid w:val="004B3759"/>
    <w:rsid w:val="004B4033"/>
    <w:rsid w:val="004B486A"/>
    <w:rsid w:val="004B58F5"/>
    <w:rsid w:val="004B64AF"/>
    <w:rsid w:val="004B691A"/>
    <w:rsid w:val="004B787F"/>
    <w:rsid w:val="004B7898"/>
    <w:rsid w:val="004B7CFB"/>
    <w:rsid w:val="004C0025"/>
    <w:rsid w:val="004C096A"/>
    <w:rsid w:val="004C0D82"/>
    <w:rsid w:val="004C15BD"/>
    <w:rsid w:val="004C1798"/>
    <w:rsid w:val="004C36C6"/>
    <w:rsid w:val="004C3EB7"/>
    <w:rsid w:val="004C41CE"/>
    <w:rsid w:val="004C443E"/>
    <w:rsid w:val="004C485E"/>
    <w:rsid w:val="004C5A4B"/>
    <w:rsid w:val="004C5B41"/>
    <w:rsid w:val="004C5B91"/>
    <w:rsid w:val="004C654B"/>
    <w:rsid w:val="004C6AA1"/>
    <w:rsid w:val="004C6D3B"/>
    <w:rsid w:val="004C7285"/>
    <w:rsid w:val="004D12A5"/>
    <w:rsid w:val="004D1C44"/>
    <w:rsid w:val="004D22A8"/>
    <w:rsid w:val="004D26A6"/>
    <w:rsid w:val="004D278C"/>
    <w:rsid w:val="004D286B"/>
    <w:rsid w:val="004D38CE"/>
    <w:rsid w:val="004D3E8B"/>
    <w:rsid w:val="004D52BE"/>
    <w:rsid w:val="004D5F57"/>
    <w:rsid w:val="004D6094"/>
    <w:rsid w:val="004D753B"/>
    <w:rsid w:val="004D7EB9"/>
    <w:rsid w:val="004E130F"/>
    <w:rsid w:val="004E237E"/>
    <w:rsid w:val="004E277C"/>
    <w:rsid w:val="004E2F31"/>
    <w:rsid w:val="004E3AEB"/>
    <w:rsid w:val="004E3BE8"/>
    <w:rsid w:val="004E4538"/>
    <w:rsid w:val="004E5730"/>
    <w:rsid w:val="004E66C9"/>
    <w:rsid w:val="004E7146"/>
    <w:rsid w:val="004E7463"/>
    <w:rsid w:val="004E77B6"/>
    <w:rsid w:val="004E7C0A"/>
    <w:rsid w:val="004F087B"/>
    <w:rsid w:val="004F08D6"/>
    <w:rsid w:val="004F1E74"/>
    <w:rsid w:val="004F2FD2"/>
    <w:rsid w:val="004F3524"/>
    <w:rsid w:val="004F36AB"/>
    <w:rsid w:val="004F47A8"/>
    <w:rsid w:val="004F50BC"/>
    <w:rsid w:val="004F521E"/>
    <w:rsid w:val="004F5278"/>
    <w:rsid w:val="004F5630"/>
    <w:rsid w:val="004F6792"/>
    <w:rsid w:val="004F726A"/>
    <w:rsid w:val="004F78CE"/>
    <w:rsid w:val="004F7A1A"/>
    <w:rsid w:val="00500066"/>
    <w:rsid w:val="00502165"/>
    <w:rsid w:val="0050287F"/>
    <w:rsid w:val="005038C5"/>
    <w:rsid w:val="00503E88"/>
    <w:rsid w:val="00505669"/>
    <w:rsid w:val="00505C66"/>
    <w:rsid w:val="005076C6"/>
    <w:rsid w:val="00507DB0"/>
    <w:rsid w:val="00510353"/>
    <w:rsid w:val="005104ED"/>
    <w:rsid w:val="005108DF"/>
    <w:rsid w:val="00510ABF"/>
    <w:rsid w:val="0051210D"/>
    <w:rsid w:val="005129D7"/>
    <w:rsid w:val="00512A10"/>
    <w:rsid w:val="00513345"/>
    <w:rsid w:val="0051428E"/>
    <w:rsid w:val="00514AE0"/>
    <w:rsid w:val="00514C00"/>
    <w:rsid w:val="0051575E"/>
    <w:rsid w:val="00516023"/>
    <w:rsid w:val="0051656A"/>
    <w:rsid w:val="005207CB"/>
    <w:rsid w:val="00520A52"/>
    <w:rsid w:val="005212AA"/>
    <w:rsid w:val="005215CB"/>
    <w:rsid w:val="005225BE"/>
    <w:rsid w:val="00522791"/>
    <w:rsid w:val="005233CF"/>
    <w:rsid w:val="00523559"/>
    <w:rsid w:val="005235C5"/>
    <w:rsid w:val="00523C97"/>
    <w:rsid w:val="00524D3B"/>
    <w:rsid w:val="005258B1"/>
    <w:rsid w:val="00527CA1"/>
    <w:rsid w:val="005303F9"/>
    <w:rsid w:val="00530470"/>
    <w:rsid w:val="0053060F"/>
    <w:rsid w:val="00530F7A"/>
    <w:rsid w:val="00531335"/>
    <w:rsid w:val="005317B8"/>
    <w:rsid w:val="00531E60"/>
    <w:rsid w:val="00532530"/>
    <w:rsid w:val="00532678"/>
    <w:rsid w:val="00532796"/>
    <w:rsid w:val="00534FD6"/>
    <w:rsid w:val="00535A9E"/>
    <w:rsid w:val="00536068"/>
    <w:rsid w:val="00537577"/>
    <w:rsid w:val="005377B7"/>
    <w:rsid w:val="0053797B"/>
    <w:rsid w:val="00537F86"/>
    <w:rsid w:val="00540261"/>
    <w:rsid w:val="005404C5"/>
    <w:rsid w:val="00540D46"/>
    <w:rsid w:val="00541DDC"/>
    <w:rsid w:val="005429E3"/>
    <w:rsid w:val="005435FD"/>
    <w:rsid w:val="00543615"/>
    <w:rsid w:val="00544E08"/>
    <w:rsid w:val="0054574F"/>
    <w:rsid w:val="00545999"/>
    <w:rsid w:val="00545A8F"/>
    <w:rsid w:val="00545F07"/>
    <w:rsid w:val="0054704E"/>
    <w:rsid w:val="0055043D"/>
    <w:rsid w:val="00550692"/>
    <w:rsid w:val="005508DB"/>
    <w:rsid w:val="00550970"/>
    <w:rsid w:val="00550B76"/>
    <w:rsid w:val="00550E03"/>
    <w:rsid w:val="00551123"/>
    <w:rsid w:val="00551492"/>
    <w:rsid w:val="005515D7"/>
    <w:rsid w:val="00551C4B"/>
    <w:rsid w:val="00551D52"/>
    <w:rsid w:val="005525F3"/>
    <w:rsid w:val="00552812"/>
    <w:rsid w:val="00552A81"/>
    <w:rsid w:val="00552C0C"/>
    <w:rsid w:val="005536C6"/>
    <w:rsid w:val="0055399F"/>
    <w:rsid w:val="00553E3D"/>
    <w:rsid w:val="005540F3"/>
    <w:rsid w:val="00554926"/>
    <w:rsid w:val="00555A6F"/>
    <w:rsid w:val="0055661F"/>
    <w:rsid w:val="00556897"/>
    <w:rsid w:val="0055796F"/>
    <w:rsid w:val="005606F1"/>
    <w:rsid w:val="00560818"/>
    <w:rsid w:val="00560ED1"/>
    <w:rsid w:val="00561B00"/>
    <w:rsid w:val="0056246A"/>
    <w:rsid w:val="00562D9E"/>
    <w:rsid w:val="00562F3F"/>
    <w:rsid w:val="00563A17"/>
    <w:rsid w:val="00563BAB"/>
    <w:rsid w:val="005642BB"/>
    <w:rsid w:val="0056430D"/>
    <w:rsid w:val="00564CDE"/>
    <w:rsid w:val="00565140"/>
    <w:rsid w:val="00565D70"/>
    <w:rsid w:val="00566160"/>
    <w:rsid w:val="00566328"/>
    <w:rsid w:val="005666BC"/>
    <w:rsid w:val="005676C4"/>
    <w:rsid w:val="00567A36"/>
    <w:rsid w:val="00567B6C"/>
    <w:rsid w:val="00567EE7"/>
    <w:rsid w:val="00570A08"/>
    <w:rsid w:val="00570BBF"/>
    <w:rsid w:val="00571094"/>
    <w:rsid w:val="00571437"/>
    <w:rsid w:val="0057183A"/>
    <w:rsid w:val="00571945"/>
    <w:rsid w:val="00572B4B"/>
    <w:rsid w:val="005737B4"/>
    <w:rsid w:val="00573965"/>
    <w:rsid w:val="00573BFD"/>
    <w:rsid w:val="00573C89"/>
    <w:rsid w:val="0057441F"/>
    <w:rsid w:val="00574F36"/>
    <w:rsid w:val="0057534A"/>
    <w:rsid w:val="00575765"/>
    <w:rsid w:val="0058006A"/>
    <w:rsid w:val="005802C4"/>
    <w:rsid w:val="00580BF4"/>
    <w:rsid w:val="00580F44"/>
    <w:rsid w:val="005819DF"/>
    <w:rsid w:val="00581E43"/>
    <w:rsid w:val="00582FC4"/>
    <w:rsid w:val="0058351A"/>
    <w:rsid w:val="00584F84"/>
    <w:rsid w:val="0058593C"/>
    <w:rsid w:val="005859B5"/>
    <w:rsid w:val="00585AB5"/>
    <w:rsid w:val="005868BF"/>
    <w:rsid w:val="00586EF8"/>
    <w:rsid w:val="0058737F"/>
    <w:rsid w:val="005877F8"/>
    <w:rsid w:val="005901DD"/>
    <w:rsid w:val="00591322"/>
    <w:rsid w:val="005917D3"/>
    <w:rsid w:val="005918E8"/>
    <w:rsid w:val="00591B98"/>
    <w:rsid w:val="00591E24"/>
    <w:rsid w:val="00591FD1"/>
    <w:rsid w:val="005922A3"/>
    <w:rsid w:val="00593200"/>
    <w:rsid w:val="005933B6"/>
    <w:rsid w:val="0059434F"/>
    <w:rsid w:val="00594B8F"/>
    <w:rsid w:val="005955F4"/>
    <w:rsid w:val="0059710B"/>
    <w:rsid w:val="005971A5"/>
    <w:rsid w:val="00597424"/>
    <w:rsid w:val="005A04F4"/>
    <w:rsid w:val="005A08C5"/>
    <w:rsid w:val="005A0B88"/>
    <w:rsid w:val="005A0FC3"/>
    <w:rsid w:val="005A2A58"/>
    <w:rsid w:val="005A2B90"/>
    <w:rsid w:val="005A2FF5"/>
    <w:rsid w:val="005A3047"/>
    <w:rsid w:val="005A30F1"/>
    <w:rsid w:val="005A3131"/>
    <w:rsid w:val="005A31D6"/>
    <w:rsid w:val="005A3A67"/>
    <w:rsid w:val="005A3C1F"/>
    <w:rsid w:val="005A473D"/>
    <w:rsid w:val="005A54E1"/>
    <w:rsid w:val="005A58E1"/>
    <w:rsid w:val="005A5BE6"/>
    <w:rsid w:val="005A686F"/>
    <w:rsid w:val="005A78A8"/>
    <w:rsid w:val="005A7B11"/>
    <w:rsid w:val="005B02C8"/>
    <w:rsid w:val="005B141F"/>
    <w:rsid w:val="005B1743"/>
    <w:rsid w:val="005B186A"/>
    <w:rsid w:val="005B2A43"/>
    <w:rsid w:val="005B3F35"/>
    <w:rsid w:val="005B46F9"/>
    <w:rsid w:val="005B4853"/>
    <w:rsid w:val="005B4FD5"/>
    <w:rsid w:val="005B5057"/>
    <w:rsid w:val="005B51F9"/>
    <w:rsid w:val="005B5FC6"/>
    <w:rsid w:val="005B7D81"/>
    <w:rsid w:val="005C0453"/>
    <w:rsid w:val="005C1667"/>
    <w:rsid w:val="005C223C"/>
    <w:rsid w:val="005C2A65"/>
    <w:rsid w:val="005C3B53"/>
    <w:rsid w:val="005C3EBF"/>
    <w:rsid w:val="005C4288"/>
    <w:rsid w:val="005C43D6"/>
    <w:rsid w:val="005C4A27"/>
    <w:rsid w:val="005C4AA7"/>
    <w:rsid w:val="005C4BDB"/>
    <w:rsid w:val="005C54EC"/>
    <w:rsid w:val="005C5A7A"/>
    <w:rsid w:val="005C65A5"/>
    <w:rsid w:val="005C79E0"/>
    <w:rsid w:val="005D0AFD"/>
    <w:rsid w:val="005D27F2"/>
    <w:rsid w:val="005D2F1F"/>
    <w:rsid w:val="005D304D"/>
    <w:rsid w:val="005D31AB"/>
    <w:rsid w:val="005D3783"/>
    <w:rsid w:val="005D3809"/>
    <w:rsid w:val="005D41F5"/>
    <w:rsid w:val="005D4C08"/>
    <w:rsid w:val="005D59EF"/>
    <w:rsid w:val="005D5A14"/>
    <w:rsid w:val="005D7040"/>
    <w:rsid w:val="005D7CEF"/>
    <w:rsid w:val="005D7E2E"/>
    <w:rsid w:val="005E0319"/>
    <w:rsid w:val="005E0C36"/>
    <w:rsid w:val="005E1353"/>
    <w:rsid w:val="005E1ABD"/>
    <w:rsid w:val="005E1C06"/>
    <w:rsid w:val="005E32F1"/>
    <w:rsid w:val="005E37E2"/>
    <w:rsid w:val="005E3B99"/>
    <w:rsid w:val="005E4D0A"/>
    <w:rsid w:val="005E5036"/>
    <w:rsid w:val="005E50FA"/>
    <w:rsid w:val="005E57C8"/>
    <w:rsid w:val="005E5937"/>
    <w:rsid w:val="005E61B5"/>
    <w:rsid w:val="005E636C"/>
    <w:rsid w:val="005E77EC"/>
    <w:rsid w:val="005F05B6"/>
    <w:rsid w:val="005F1885"/>
    <w:rsid w:val="005F2F25"/>
    <w:rsid w:val="005F3361"/>
    <w:rsid w:val="005F397E"/>
    <w:rsid w:val="005F42ED"/>
    <w:rsid w:val="005F4439"/>
    <w:rsid w:val="005F4C33"/>
    <w:rsid w:val="005F6EEB"/>
    <w:rsid w:val="005F707C"/>
    <w:rsid w:val="005F76A1"/>
    <w:rsid w:val="005F77FD"/>
    <w:rsid w:val="005F79B1"/>
    <w:rsid w:val="005F7C8D"/>
    <w:rsid w:val="0060404B"/>
    <w:rsid w:val="00604DCF"/>
    <w:rsid w:val="00606725"/>
    <w:rsid w:val="0060689B"/>
    <w:rsid w:val="00607354"/>
    <w:rsid w:val="006073AC"/>
    <w:rsid w:val="00607BA1"/>
    <w:rsid w:val="00607CCE"/>
    <w:rsid w:val="0061010C"/>
    <w:rsid w:val="00610EC5"/>
    <w:rsid w:val="00611095"/>
    <w:rsid w:val="00611561"/>
    <w:rsid w:val="006115ED"/>
    <w:rsid w:val="00611D3E"/>
    <w:rsid w:val="00612974"/>
    <w:rsid w:val="0061511E"/>
    <w:rsid w:val="00615FE1"/>
    <w:rsid w:val="00616005"/>
    <w:rsid w:val="00616BE1"/>
    <w:rsid w:val="006171F2"/>
    <w:rsid w:val="0061769B"/>
    <w:rsid w:val="00617B4C"/>
    <w:rsid w:val="0062044E"/>
    <w:rsid w:val="006204A3"/>
    <w:rsid w:val="006208FC"/>
    <w:rsid w:val="006225D9"/>
    <w:rsid w:val="00623088"/>
    <w:rsid w:val="00623524"/>
    <w:rsid w:val="00623739"/>
    <w:rsid w:val="00623FFA"/>
    <w:rsid w:val="00624CCB"/>
    <w:rsid w:val="00624DA3"/>
    <w:rsid w:val="0062511A"/>
    <w:rsid w:val="006256B2"/>
    <w:rsid w:val="00625D86"/>
    <w:rsid w:val="0062612A"/>
    <w:rsid w:val="00626988"/>
    <w:rsid w:val="0062699C"/>
    <w:rsid w:val="00627615"/>
    <w:rsid w:val="006278E0"/>
    <w:rsid w:val="00627B82"/>
    <w:rsid w:val="00630A88"/>
    <w:rsid w:val="00630EA1"/>
    <w:rsid w:val="00631290"/>
    <w:rsid w:val="00631628"/>
    <w:rsid w:val="006320CB"/>
    <w:rsid w:val="006322A6"/>
    <w:rsid w:val="00632470"/>
    <w:rsid w:val="006329B9"/>
    <w:rsid w:val="00632AFC"/>
    <w:rsid w:val="00632CE5"/>
    <w:rsid w:val="006335AA"/>
    <w:rsid w:val="00633942"/>
    <w:rsid w:val="006348DA"/>
    <w:rsid w:val="00634CD6"/>
    <w:rsid w:val="00634E9E"/>
    <w:rsid w:val="00635B90"/>
    <w:rsid w:val="006377D1"/>
    <w:rsid w:val="00637C80"/>
    <w:rsid w:val="00640339"/>
    <w:rsid w:val="006411A5"/>
    <w:rsid w:val="006422D1"/>
    <w:rsid w:val="0064270E"/>
    <w:rsid w:val="00642AEC"/>
    <w:rsid w:val="00645A30"/>
    <w:rsid w:val="00645FB2"/>
    <w:rsid w:val="0064671A"/>
    <w:rsid w:val="00646B13"/>
    <w:rsid w:val="00647A96"/>
    <w:rsid w:val="0065024D"/>
    <w:rsid w:val="0065035C"/>
    <w:rsid w:val="0065073C"/>
    <w:rsid w:val="00652F0A"/>
    <w:rsid w:val="0065326C"/>
    <w:rsid w:val="00653556"/>
    <w:rsid w:val="00654495"/>
    <w:rsid w:val="00654BCD"/>
    <w:rsid w:val="00654FBC"/>
    <w:rsid w:val="00654FCF"/>
    <w:rsid w:val="006551F0"/>
    <w:rsid w:val="006561E0"/>
    <w:rsid w:val="00656294"/>
    <w:rsid w:val="006563CD"/>
    <w:rsid w:val="006568EC"/>
    <w:rsid w:val="006570AD"/>
    <w:rsid w:val="00657E11"/>
    <w:rsid w:val="00660640"/>
    <w:rsid w:val="006606B7"/>
    <w:rsid w:val="00660D47"/>
    <w:rsid w:val="0066104F"/>
    <w:rsid w:val="00661A49"/>
    <w:rsid w:val="00661EC3"/>
    <w:rsid w:val="00661FD9"/>
    <w:rsid w:val="00662FC8"/>
    <w:rsid w:val="006639D2"/>
    <w:rsid w:val="00664009"/>
    <w:rsid w:val="006643FA"/>
    <w:rsid w:val="00664D09"/>
    <w:rsid w:val="006657CE"/>
    <w:rsid w:val="00670650"/>
    <w:rsid w:val="00670AB2"/>
    <w:rsid w:val="00670BFF"/>
    <w:rsid w:val="00670CC8"/>
    <w:rsid w:val="0067145D"/>
    <w:rsid w:val="00671B76"/>
    <w:rsid w:val="00671BAD"/>
    <w:rsid w:val="00672FCF"/>
    <w:rsid w:val="00673303"/>
    <w:rsid w:val="0067471C"/>
    <w:rsid w:val="00674A33"/>
    <w:rsid w:val="00674DF7"/>
    <w:rsid w:val="006754D0"/>
    <w:rsid w:val="00675C96"/>
    <w:rsid w:val="006764A1"/>
    <w:rsid w:val="006777B0"/>
    <w:rsid w:val="006778F7"/>
    <w:rsid w:val="00677917"/>
    <w:rsid w:val="0067795A"/>
    <w:rsid w:val="0068028B"/>
    <w:rsid w:val="006802D8"/>
    <w:rsid w:val="00680874"/>
    <w:rsid w:val="006812D6"/>
    <w:rsid w:val="00682257"/>
    <w:rsid w:val="00682704"/>
    <w:rsid w:val="00682F96"/>
    <w:rsid w:val="006843E4"/>
    <w:rsid w:val="006844FF"/>
    <w:rsid w:val="00684EAF"/>
    <w:rsid w:val="006867B2"/>
    <w:rsid w:val="00687348"/>
    <w:rsid w:val="00687798"/>
    <w:rsid w:val="00687AA3"/>
    <w:rsid w:val="00687ED7"/>
    <w:rsid w:val="00692355"/>
    <w:rsid w:val="006928A7"/>
    <w:rsid w:val="00692FF4"/>
    <w:rsid w:val="006933AB"/>
    <w:rsid w:val="00693B5D"/>
    <w:rsid w:val="00693E1F"/>
    <w:rsid w:val="00694336"/>
    <w:rsid w:val="00694A98"/>
    <w:rsid w:val="00695182"/>
    <w:rsid w:val="006956DB"/>
    <w:rsid w:val="00695B26"/>
    <w:rsid w:val="00695E62"/>
    <w:rsid w:val="00696044"/>
    <w:rsid w:val="006A098A"/>
    <w:rsid w:val="006A0A46"/>
    <w:rsid w:val="006A0FAC"/>
    <w:rsid w:val="006A2304"/>
    <w:rsid w:val="006A2CF2"/>
    <w:rsid w:val="006A449C"/>
    <w:rsid w:val="006A4BA4"/>
    <w:rsid w:val="006A4EC8"/>
    <w:rsid w:val="006A4EE1"/>
    <w:rsid w:val="006A599B"/>
    <w:rsid w:val="006A650D"/>
    <w:rsid w:val="006A6D40"/>
    <w:rsid w:val="006A75D9"/>
    <w:rsid w:val="006A7DC9"/>
    <w:rsid w:val="006B0EAF"/>
    <w:rsid w:val="006B1377"/>
    <w:rsid w:val="006B1B44"/>
    <w:rsid w:val="006B1B64"/>
    <w:rsid w:val="006B1E24"/>
    <w:rsid w:val="006B1F50"/>
    <w:rsid w:val="006B2BA2"/>
    <w:rsid w:val="006B5949"/>
    <w:rsid w:val="006B5DCE"/>
    <w:rsid w:val="006B61CC"/>
    <w:rsid w:val="006B633A"/>
    <w:rsid w:val="006B6C1C"/>
    <w:rsid w:val="006B6FA0"/>
    <w:rsid w:val="006B705D"/>
    <w:rsid w:val="006B79DF"/>
    <w:rsid w:val="006C0AEC"/>
    <w:rsid w:val="006C0D33"/>
    <w:rsid w:val="006C0FA6"/>
    <w:rsid w:val="006C14A8"/>
    <w:rsid w:val="006C1FAC"/>
    <w:rsid w:val="006C348B"/>
    <w:rsid w:val="006C4C60"/>
    <w:rsid w:val="006C5839"/>
    <w:rsid w:val="006C5C0F"/>
    <w:rsid w:val="006C5FAA"/>
    <w:rsid w:val="006C63BD"/>
    <w:rsid w:val="006C72FE"/>
    <w:rsid w:val="006C770D"/>
    <w:rsid w:val="006D267D"/>
    <w:rsid w:val="006D2BDC"/>
    <w:rsid w:val="006D2F9F"/>
    <w:rsid w:val="006D3D16"/>
    <w:rsid w:val="006D4A2F"/>
    <w:rsid w:val="006D4C8C"/>
    <w:rsid w:val="006D4D08"/>
    <w:rsid w:val="006D57CF"/>
    <w:rsid w:val="006D585E"/>
    <w:rsid w:val="006D6545"/>
    <w:rsid w:val="006D6805"/>
    <w:rsid w:val="006D68B9"/>
    <w:rsid w:val="006D6F56"/>
    <w:rsid w:val="006D7E84"/>
    <w:rsid w:val="006E09A9"/>
    <w:rsid w:val="006E1A8E"/>
    <w:rsid w:val="006E31B2"/>
    <w:rsid w:val="006E335D"/>
    <w:rsid w:val="006E3733"/>
    <w:rsid w:val="006E4C5B"/>
    <w:rsid w:val="006E5AF1"/>
    <w:rsid w:val="006E5FAC"/>
    <w:rsid w:val="006E5FB1"/>
    <w:rsid w:val="006E672C"/>
    <w:rsid w:val="006E71B4"/>
    <w:rsid w:val="006F0180"/>
    <w:rsid w:val="006F19B5"/>
    <w:rsid w:val="006F1AD4"/>
    <w:rsid w:val="006F1DCB"/>
    <w:rsid w:val="006F2514"/>
    <w:rsid w:val="006F29BA"/>
    <w:rsid w:val="006F2AC1"/>
    <w:rsid w:val="006F2AEB"/>
    <w:rsid w:val="006F2B22"/>
    <w:rsid w:val="006F2DCB"/>
    <w:rsid w:val="006F440A"/>
    <w:rsid w:val="006F4BA1"/>
    <w:rsid w:val="006F6435"/>
    <w:rsid w:val="006F71DC"/>
    <w:rsid w:val="00700AED"/>
    <w:rsid w:val="00700FAB"/>
    <w:rsid w:val="00700FBD"/>
    <w:rsid w:val="00701357"/>
    <w:rsid w:val="007014C1"/>
    <w:rsid w:val="007014D0"/>
    <w:rsid w:val="007015F7"/>
    <w:rsid w:val="00701A83"/>
    <w:rsid w:val="007028F0"/>
    <w:rsid w:val="00702A54"/>
    <w:rsid w:val="007033C6"/>
    <w:rsid w:val="00703D2C"/>
    <w:rsid w:val="007046E9"/>
    <w:rsid w:val="007047A8"/>
    <w:rsid w:val="007049FC"/>
    <w:rsid w:val="00705252"/>
    <w:rsid w:val="00705463"/>
    <w:rsid w:val="00705D6E"/>
    <w:rsid w:val="00706257"/>
    <w:rsid w:val="00706391"/>
    <w:rsid w:val="007066D7"/>
    <w:rsid w:val="00707A02"/>
    <w:rsid w:val="00710395"/>
    <w:rsid w:val="00710D1D"/>
    <w:rsid w:val="00710EF6"/>
    <w:rsid w:val="00711B2C"/>
    <w:rsid w:val="007139F3"/>
    <w:rsid w:val="00715110"/>
    <w:rsid w:val="00715291"/>
    <w:rsid w:val="007159A1"/>
    <w:rsid w:val="00715A95"/>
    <w:rsid w:val="0071715C"/>
    <w:rsid w:val="007172A3"/>
    <w:rsid w:val="007202E6"/>
    <w:rsid w:val="00721369"/>
    <w:rsid w:val="007213C6"/>
    <w:rsid w:val="0072186C"/>
    <w:rsid w:val="00721C57"/>
    <w:rsid w:val="0072229A"/>
    <w:rsid w:val="00722583"/>
    <w:rsid w:val="00722943"/>
    <w:rsid w:val="00722F42"/>
    <w:rsid w:val="007234BC"/>
    <w:rsid w:val="0072361D"/>
    <w:rsid w:val="00723CE5"/>
    <w:rsid w:val="00724048"/>
    <w:rsid w:val="007243B3"/>
    <w:rsid w:val="00724BDF"/>
    <w:rsid w:val="00725C8B"/>
    <w:rsid w:val="00725FFD"/>
    <w:rsid w:val="00726A37"/>
    <w:rsid w:val="00727219"/>
    <w:rsid w:val="00727292"/>
    <w:rsid w:val="00731C91"/>
    <w:rsid w:val="00731CD9"/>
    <w:rsid w:val="0073305A"/>
    <w:rsid w:val="0073383C"/>
    <w:rsid w:val="00733E32"/>
    <w:rsid w:val="0073400C"/>
    <w:rsid w:val="00734420"/>
    <w:rsid w:val="00734438"/>
    <w:rsid w:val="007344E4"/>
    <w:rsid w:val="00735288"/>
    <w:rsid w:val="00736683"/>
    <w:rsid w:val="00736948"/>
    <w:rsid w:val="00736DC6"/>
    <w:rsid w:val="00737DCF"/>
    <w:rsid w:val="00741323"/>
    <w:rsid w:val="007419A1"/>
    <w:rsid w:val="007420B8"/>
    <w:rsid w:val="00742441"/>
    <w:rsid w:val="0074303D"/>
    <w:rsid w:val="00743989"/>
    <w:rsid w:val="00743A46"/>
    <w:rsid w:val="0074486C"/>
    <w:rsid w:val="00745C2B"/>
    <w:rsid w:val="00746D34"/>
    <w:rsid w:val="00746EB4"/>
    <w:rsid w:val="00747503"/>
    <w:rsid w:val="00747509"/>
    <w:rsid w:val="007478E4"/>
    <w:rsid w:val="00750C90"/>
    <w:rsid w:val="00750F9D"/>
    <w:rsid w:val="007514B1"/>
    <w:rsid w:val="007521DE"/>
    <w:rsid w:val="00752343"/>
    <w:rsid w:val="007529ED"/>
    <w:rsid w:val="00752A6F"/>
    <w:rsid w:val="0075441B"/>
    <w:rsid w:val="00755D8C"/>
    <w:rsid w:val="0075663D"/>
    <w:rsid w:val="0075664F"/>
    <w:rsid w:val="0075702C"/>
    <w:rsid w:val="00757361"/>
    <w:rsid w:val="00760129"/>
    <w:rsid w:val="007613C3"/>
    <w:rsid w:val="00761627"/>
    <w:rsid w:val="00761C59"/>
    <w:rsid w:val="00762F64"/>
    <w:rsid w:val="00763967"/>
    <w:rsid w:val="007645E6"/>
    <w:rsid w:val="00764DE0"/>
    <w:rsid w:val="00765AEA"/>
    <w:rsid w:val="00766186"/>
    <w:rsid w:val="00767AE4"/>
    <w:rsid w:val="00767DA2"/>
    <w:rsid w:val="00770BCA"/>
    <w:rsid w:val="007721EB"/>
    <w:rsid w:val="0077270C"/>
    <w:rsid w:val="00772940"/>
    <w:rsid w:val="00772C38"/>
    <w:rsid w:val="00772D31"/>
    <w:rsid w:val="007731F9"/>
    <w:rsid w:val="00773342"/>
    <w:rsid w:val="007734B2"/>
    <w:rsid w:val="0077359E"/>
    <w:rsid w:val="0077395B"/>
    <w:rsid w:val="00773C81"/>
    <w:rsid w:val="00774D7C"/>
    <w:rsid w:val="00775CAE"/>
    <w:rsid w:val="00780F75"/>
    <w:rsid w:val="00782EC5"/>
    <w:rsid w:val="007832E9"/>
    <w:rsid w:val="0078345D"/>
    <w:rsid w:val="00785332"/>
    <w:rsid w:val="00785913"/>
    <w:rsid w:val="00786520"/>
    <w:rsid w:val="00791A1F"/>
    <w:rsid w:val="00791C48"/>
    <w:rsid w:val="00792011"/>
    <w:rsid w:val="007928D1"/>
    <w:rsid w:val="00793075"/>
    <w:rsid w:val="00794093"/>
    <w:rsid w:val="007945B4"/>
    <w:rsid w:val="007953CF"/>
    <w:rsid w:val="00795CA8"/>
    <w:rsid w:val="00795FC3"/>
    <w:rsid w:val="00796D24"/>
    <w:rsid w:val="007A1AFC"/>
    <w:rsid w:val="007A1B56"/>
    <w:rsid w:val="007A1C10"/>
    <w:rsid w:val="007A2423"/>
    <w:rsid w:val="007A2B32"/>
    <w:rsid w:val="007A34DF"/>
    <w:rsid w:val="007A4315"/>
    <w:rsid w:val="007A588A"/>
    <w:rsid w:val="007A59E0"/>
    <w:rsid w:val="007A5DEE"/>
    <w:rsid w:val="007A6B23"/>
    <w:rsid w:val="007A6E22"/>
    <w:rsid w:val="007A6E58"/>
    <w:rsid w:val="007A6EB4"/>
    <w:rsid w:val="007A7E14"/>
    <w:rsid w:val="007B0DB0"/>
    <w:rsid w:val="007B14F3"/>
    <w:rsid w:val="007B15CB"/>
    <w:rsid w:val="007B17F7"/>
    <w:rsid w:val="007B2ABF"/>
    <w:rsid w:val="007B30C9"/>
    <w:rsid w:val="007B4695"/>
    <w:rsid w:val="007B4862"/>
    <w:rsid w:val="007B4BE4"/>
    <w:rsid w:val="007B54FD"/>
    <w:rsid w:val="007B719E"/>
    <w:rsid w:val="007B7A90"/>
    <w:rsid w:val="007C32E0"/>
    <w:rsid w:val="007C54A3"/>
    <w:rsid w:val="007C60C1"/>
    <w:rsid w:val="007C76C4"/>
    <w:rsid w:val="007C7FA8"/>
    <w:rsid w:val="007D0B58"/>
    <w:rsid w:val="007D1F80"/>
    <w:rsid w:val="007D1FB0"/>
    <w:rsid w:val="007D2B27"/>
    <w:rsid w:val="007D3717"/>
    <w:rsid w:val="007D3DD0"/>
    <w:rsid w:val="007D4261"/>
    <w:rsid w:val="007D46BA"/>
    <w:rsid w:val="007D5010"/>
    <w:rsid w:val="007D537C"/>
    <w:rsid w:val="007D5D03"/>
    <w:rsid w:val="007D6102"/>
    <w:rsid w:val="007D6BE3"/>
    <w:rsid w:val="007D7AD5"/>
    <w:rsid w:val="007D7CD0"/>
    <w:rsid w:val="007E0ABF"/>
    <w:rsid w:val="007E0DED"/>
    <w:rsid w:val="007E13EB"/>
    <w:rsid w:val="007E195E"/>
    <w:rsid w:val="007E2B7E"/>
    <w:rsid w:val="007E3074"/>
    <w:rsid w:val="007E4A70"/>
    <w:rsid w:val="007E5894"/>
    <w:rsid w:val="007E5A42"/>
    <w:rsid w:val="007E645B"/>
    <w:rsid w:val="007E727A"/>
    <w:rsid w:val="007E7672"/>
    <w:rsid w:val="007F0378"/>
    <w:rsid w:val="007F039D"/>
    <w:rsid w:val="007F1875"/>
    <w:rsid w:val="007F18C4"/>
    <w:rsid w:val="007F3D7D"/>
    <w:rsid w:val="007F5CF7"/>
    <w:rsid w:val="007F6C54"/>
    <w:rsid w:val="007F7017"/>
    <w:rsid w:val="007F712D"/>
    <w:rsid w:val="007F7E0E"/>
    <w:rsid w:val="00800195"/>
    <w:rsid w:val="00801A37"/>
    <w:rsid w:val="008043A3"/>
    <w:rsid w:val="00804F5F"/>
    <w:rsid w:val="00804FAA"/>
    <w:rsid w:val="008058C3"/>
    <w:rsid w:val="00805D62"/>
    <w:rsid w:val="00806A08"/>
    <w:rsid w:val="00806BE7"/>
    <w:rsid w:val="00810754"/>
    <w:rsid w:val="00810E5C"/>
    <w:rsid w:val="00811EBD"/>
    <w:rsid w:val="00812745"/>
    <w:rsid w:val="008135EC"/>
    <w:rsid w:val="008135F1"/>
    <w:rsid w:val="00814026"/>
    <w:rsid w:val="0081428A"/>
    <w:rsid w:val="0081437F"/>
    <w:rsid w:val="008144C4"/>
    <w:rsid w:val="00815640"/>
    <w:rsid w:val="008161F5"/>
    <w:rsid w:val="008173A7"/>
    <w:rsid w:val="00817B12"/>
    <w:rsid w:val="00817C2C"/>
    <w:rsid w:val="00817D81"/>
    <w:rsid w:val="00820578"/>
    <w:rsid w:val="00820930"/>
    <w:rsid w:val="00820B1F"/>
    <w:rsid w:val="00821169"/>
    <w:rsid w:val="00821A87"/>
    <w:rsid w:val="00821E1C"/>
    <w:rsid w:val="00821EC4"/>
    <w:rsid w:val="008226B6"/>
    <w:rsid w:val="00823398"/>
    <w:rsid w:val="0082380D"/>
    <w:rsid w:val="00823992"/>
    <w:rsid w:val="00823C50"/>
    <w:rsid w:val="00825C78"/>
    <w:rsid w:val="00826F1F"/>
    <w:rsid w:val="00827065"/>
    <w:rsid w:val="00827EAD"/>
    <w:rsid w:val="0083074A"/>
    <w:rsid w:val="008313DA"/>
    <w:rsid w:val="00831A8B"/>
    <w:rsid w:val="00832E7E"/>
    <w:rsid w:val="00833EB9"/>
    <w:rsid w:val="00834014"/>
    <w:rsid w:val="0083468B"/>
    <w:rsid w:val="008349E6"/>
    <w:rsid w:val="008355E0"/>
    <w:rsid w:val="00836411"/>
    <w:rsid w:val="00836D9B"/>
    <w:rsid w:val="00836DC4"/>
    <w:rsid w:val="00836ED6"/>
    <w:rsid w:val="00837705"/>
    <w:rsid w:val="00840B0A"/>
    <w:rsid w:val="00840B93"/>
    <w:rsid w:val="00840E23"/>
    <w:rsid w:val="00841845"/>
    <w:rsid w:val="008418F3"/>
    <w:rsid w:val="008418F6"/>
    <w:rsid w:val="00841A0A"/>
    <w:rsid w:val="00841F85"/>
    <w:rsid w:val="00842C3C"/>
    <w:rsid w:val="0084302A"/>
    <w:rsid w:val="0084385B"/>
    <w:rsid w:val="00843D9C"/>
    <w:rsid w:val="00845605"/>
    <w:rsid w:val="008466E3"/>
    <w:rsid w:val="008475DC"/>
    <w:rsid w:val="00847752"/>
    <w:rsid w:val="00847ECD"/>
    <w:rsid w:val="00850544"/>
    <w:rsid w:val="00850734"/>
    <w:rsid w:val="00851CDF"/>
    <w:rsid w:val="00851F33"/>
    <w:rsid w:val="00851F89"/>
    <w:rsid w:val="00853A37"/>
    <w:rsid w:val="00853D14"/>
    <w:rsid w:val="00853EB3"/>
    <w:rsid w:val="00854656"/>
    <w:rsid w:val="008546D7"/>
    <w:rsid w:val="00854AAB"/>
    <w:rsid w:val="00854CA5"/>
    <w:rsid w:val="00856017"/>
    <w:rsid w:val="00856280"/>
    <w:rsid w:val="00856574"/>
    <w:rsid w:val="00857551"/>
    <w:rsid w:val="00857BB1"/>
    <w:rsid w:val="00862591"/>
    <w:rsid w:val="00863647"/>
    <w:rsid w:val="00863C8E"/>
    <w:rsid w:val="00863D5B"/>
    <w:rsid w:val="0086411E"/>
    <w:rsid w:val="00864252"/>
    <w:rsid w:val="00864314"/>
    <w:rsid w:val="008649D1"/>
    <w:rsid w:val="00864DDF"/>
    <w:rsid w:val="008660B9"/>
    <w:rsid w:val="00866DA7"/>
    <w:rsid w:val="00866DCB"/>
    <w:rsid w:val="0086754D"/>
    <w:rsid w:val="00867D6E"/>
    <w:rsid w:val="00870FB7"/>
    <w:rsid w:val="008710E9"/>
    <w:rsid w:val="00871774"/>
    <w:rsid w:val="00871CA0"/>
    <w:rsid w:val="008720E5"/>
    <w:rsid w:val="00872E67"/>
    <w:rsid w:val="00874949"/>
    <w:rsid w:val="00881569"/>
    <w:rsid w:val="008819D4"/>
    <w:rsid w:val="00882A65"/>
    <w:rsid w:val="00883BE6"/>
    <w:rsid w:val="008846ED"/>
    <w:rsid w:val="0088470B"/>
    <w:rsid w:val="00884B0B"/>
    <w:rsid w:val="00886123"/>
    <w:rsid w:val="008869C4"/>
    <w:rsid w:val="00886B8B"/>
    <w:rsid w:val="008871CF"/>
    <w:rsid w:val="008878FC"/>
    <w:rsid w:val="00890573"/>
    <w:rsid w:val="00890E92"/>
    <w:rsid w:val="00892132"/>
    <w:rsid w:val="00892470"/>
    <w:rsid w:val="0089388E"/>
    <w:rsid w:val="00893DA9"/>
    <w:rsid w:val="00894478"/>
    <w:rsid w:val="008945F8"/>
    <w:rsid w:val="00896120"/>
    <w:rsid w:val="0089676C"/>
    <w:rsid w:val="00897863"/>
    <w:rsid w:val="00897D64"/>
    <w:rsid w:val="008A2477"/>
    <w:rsid w:val="008A262F"/>
    <w:rsid w:val="008A28A2"/>
    <w:rsid w:val="008A5AB9"/>
    <w:rsid w:val="008A7463"/>
    <w:rsid w:val="008A748C"/>
    <w:rsid w:val="008A760C"/>
    <w:rsid w:val="008A763D"/>
    <w:rsid w:val="008A7E4D"/>
    <w:rsid w:val="008B0219"/>
    <w:rsid w:val="008B1291"/>
    <w:rsid w:val="008B181D"/>
    <w:rsid w:val="008B19A9"/>
    <w:rsid w:val="008B2A73"/>
    <w:rsid w:val="008B32C3"/>
    <w:rsid w:val="008B4B06"/>
    <w:rsid w:val="008B5338"/>
    <w:rsid w:val="008B5537"/>
    <w:rsid w:val="008B5BEF"/>
    <w:rsid w:val="008B6640"/>
    <w:rsid w:val="008B6803"/>
    <w:rsid w:val="008B6BFF"/>
    <w:rsid w:val="008B7267"/>
    <w:rsid w:val="008B77F9"/>
    <w:rsid w:val="008B7E6B"/>
    <w:rsid w:val="008C0184"/>
    <w:rsid w:val="008C10A9"/>
    <w:rsid w:val="008C35F5"/>
    <w:rsid w:val="008C40DD"/>
    <w:rsid w:val="008C5320"/>
    <w:rsid w:val="008C5715"/>
    <w:rsid w:val="008C5747"/>
    <w:rsid w:val="008C639B"/>
    <w:rsid w:val="008C6D25"/>
    <w:rsid w:val="008C7F15"/>
    <w:rsid w:val="008D001E"/>
    <w:rsid w:val="008D0337"/>
    <w:rsid w:val="008D0BA8"/>
    <w:rsid w:val="008D1856"/>
    <w:rsid w:val="008D277C"/>
    <w:rsid w:val="008D2B91"/>
    <w:rsid w:val="008D36FA"/>
    <w:rsid w:val="008D4549"/>
    <w:rsid w:val="008D45C6"/>
    <w:rsid w:val="008D4870"/>
    <w:rsid w:val="008D4E64"/>
    <w:rsid w:val="008D5C3F"/>
    <w:rsid w:val="008D667E"/>
    <w:rsid w:val="008D6821"/>
    <w:rsid w:val="008D6C84"/>
    <w:rsid w:val="008D76C0"/>
    <w:rsid w:val="008D7D37"/>
    <w:rsid w:val="008D7D6B"/>
    <w:rsid w:val="008D7FC7"/>
    <w:rsid w:val="008E04BD"/>
    <w:rsid w:val="008E09E7"/>
    <w:rsid w:val="008E0B9D"/>
    <w:rsid w:val="008E0CB3"/>
    <w:rsid w:val="008E1610"/>
    <w:rsid w:val="008E271A"/>
    <w:rsid w:val="008E28DD"/>
    <w:rsid w:val="008E32E0"/>
    <w:rsid w:val="008E3A6F"/>
    <w:rsid w:val="008E3AFB"/>
    <w:rsid w:val="008E3E38"/>
    <w:rsid w:val="008E3FDF"/>
    <w:rsid w:val="008E4839"/>
    <w:rsid w:val="008E490E"/>
    <w:rsid w:val="008E7B9F"/>
    <w:rsid w:val="008F0684"/>
    <w:rsid w:val="008F0BD1"/>
    <w:rsid w:val="008F0BD8"/>
    <w:rsid w:val="008F2568"/>
    <w:rsid w:val="008F3745"/>
    <w:rsid w:val="008F3D10"/>
    <w:rsid w:val="008F4913"/>
    <w:rsid w:val="008F4CA7"/>
    <w:rsid w:val="008F589F"/>
    <w:rsid w:val="008F5A62"/>
    <w:rsid w:val="008F601C"/>
    <w:rsid w:val="008F71B0"/>
    <w:rsid w:val="008F7C77"/>
    <w:rsid w:val="00900943"/>
    <w:rsid w:val="00900C82"/>
    <w:rsid w:val="00901E23"/>
    <w:rsid w:val="0090388F"/>
    <w:rsid w:val="00904BBE"/>
    <w:rsid w:val="00904DC5"/>
    <w:rsid w:val="009050AB"/>
    <w:rsid w:val="009066A7"/>
    <w:rsid w:val="00906D53"/>
    <w:rsid w:val="00910B9F"/>
    <w:rsid w:val="00910D53"/>
    <w:rsid w:val="00910E7B"/>
    <w:rsid w:val="00912051"/>
    <w:rsid w:val="00913832"/>
    <w:rsid w:val="00913B00"/>
    <w:rsid w:val="00913CDD"/>
    <w:rsid w:val="00914208"/>
    <w:rsid w:val="00914B8E"/>
    <w:rsid w:val="00914EFB"/>
    <w:rsid w:val="00916C78"/>
    <w:rsid w:val="00916D39"/>
    <w:rsid w:val="00917494"/>
    <w:rsid w:val="00920A48"/>
    <w:rsid w:val="00920C37"/>
    <w:rsid w:val="00921F68"/>
    <w:rsid w:val="00923766"/>
    <w:rsid w:val="009237D0"/>
    <w:rsid w:val="00923A3D"/>
    <w:rsid w:val="00924020"/>
    <w:rsid w:val="009246A9"/>
    <w:rsid w:val="00924DC1"/>
    <w:rsid w:val="00924E39"/>
    <w:rsid w:val="009254EB"/>
    <w:rsid w:val="00925A38"/>
    <w:rsid w:val="00925B08"/>
    <w:rsid w:val="00930410"/>
    <w:rsid w:val="00930E5C"/>
    <w:rsid w:val="009312DB"/>
    <w:rsid w:val="00931AFB"/>
    <w:rsid w:val="0093236D"/>
    <w:rsid w:val="00932D8E"/>
    <w:rsid w:val="00933B7C"/>
    <w:rsid w:val="0093415D"/>
    <w:rsid w:val="009341A1"/>
    <w:rsid w:val="0093430C"/>
    <w:rsid w:val="0093494E"/>
    <w:rsid w:val="00934DA3"/>
    <w:rsid w:val="00934E0E"/>
    <w:rsid w:val="00935C03"/>
    <w:rsid w:val="0093626C"/>
    <w:rsid w:val="009369B6"/>
    <w:rsid w:val="00936C4D"/>
    <w:rsid w:val="009370FD"/>
    <w:rsid w:val="00937720"/>
    <w:rsid w:val="0094039C"/>
    <w:rsid w:val="0094095B"/>
    <w:rsid w:val="0094128F"/>
    <w:rsid w:val="00941AC2"/>
    <w:rsid w:val="00941CDC"/>
    <w:rsid w:val="00941FF1"/>
    <w:rsid w:val="00942484"/>
    <w:rsid w:val="00943372"/>
    <w:rsid w:val="0094355C"/>
    <w:rsid w:val="0094424A"/>
    <w:rsid w:val="00944CC7"/>
    <w:rsid w:val="00946F98"/>
    <w:rsid w:val="0094771A"/>
    <w:rsid w:val="0095000B"/>
    <w:rsid w:val="009506F3"/>
    <w:rsid w:val="00950B08"/>
    <w:rsid w:val="009526DC"/>
    <w:rsid w:val="00953334"/>
    <w:rsid w:val="009545A8"/>
    <w:rsid w:val="00954AB8"/>
    <w:rsid w:val="00954B1E"/>
    <w:rsid w:val="00954EE9"/>
    <w:rsid w:val="009551F5"/>
    <w:rsid w:val="00955DE9"/>
    <w:rsid w:val="00956F4B"/>
    <w:rsid w:val="009572D5"/>
    <w:rsid w:val="00957BF2"/>
    <w:rsid w:val="00957C6E"/>
    <w:rsid w:val="00957D0C"/>
    <w:rsid w:val="0096038F"/>
    <w:rsid w:val="00960A7B"/>
    <w:rsid w:val="00960BD6"/>
    <w:rsid w:val="00961D6A"/>
    <w:rsid w:val="00961DDE"/>
    <w:rsid w:val="00962652"/>
    <w:rsid w:val="0096282A"/>
    <w:rsid w:val="009633D2"/>
    <w:rsid w:val="00963731"/>
    <w:rsid w:val="00964C9C"/>
    <w:rsid w:val="00965250"/>
    <w:rsid w:val="009653DD"/>
    <w:rsid w:val="00965792"/>
    <w:rsid w:val="0097098E"/>
    <w:rsid w:val="00970FEC"/>
    <w:rsid w:val="0097140A"/>
    <w:rsid w:val="00971BC1"/>
    <w:rsid w:val="00972617"/>
    <w:rsid w:val="0097318E"/>
    <w:rsid w:val="00973331"/>
    <w:rsid w:val="00973485"/>
    <w:rsid w:val="0097563E"/>
    <w:rsid w:val="00976078"/>
    <w:rsid w:val="00976125"/>
    <w:rsid w:val="009765A3"/>
    <w:rsid w:val="00977FAD"/>
    <w:rsid w:val="009805DB"/>
    <w:rsid w:val="00980AEC"/>
    <w:rsid w:val="009837D4"/>
    <w:rsid w:val="00984A7D"/>
    <w:rsid w:val="00984B9E"/>
    <w:rsid w:val="00985108"/>
    <w:rsid w:val="00986781"/>
    <w:rsid w:val="0098692D"/>
    <w:rsid w:val="0098708A"/>
    <w:rsid w:val="0098762D"/>
    <w:rsid w:val="00987C8D"/>
    <w:rsid w:val="009908F8"/>
    <w:rsid w:val="00990B62"/>
    <w:rsid w:val="00991056"/>
    <w:rsid w:val="00991477"/>
    <w:rsid w:val="009915C1"/>
    <w:rsid w:val="00991B10"/>
    <w:rsid w:val="0099211A"/>
    <w:rsid w:val="00992A60"/>
    <w:rsid w:val="00993001"/>
    <w:rsid w:val="00993A84"/>
    <w:rsid w:val="00993DC9"/>
    <w:rsid w:val="00994339"/>
    <w:rsid w:val="0099453A"/>
    <w:rsid w:val="00994F12"/>
    <w:rsid w:val="009950F1"/>
    <w:rsid w:val="00995887"/>
    <w:rsid w:val="0099636D"/>
    <w:rsid w:val="0099670B"/>
    <w:rsid w:val="00997610"/>
    <w:rsid w:val="009A029B"/>
    <w:rsid w:val="009A11C0"/>
    <w:rsid w:val="009A31B6"/>
    <w:rsid w:val="009A4A95"/>
    <w:rsid w:val="009A4DF0"/>
    <w:rsid w:val="009A5398"/>
    <w:rsid w:val="009B0CA1"/>
    <w:rsid w:val="009B2138"/>
    <w:rsid w:val="009B254B"/>
    <w:rsid w:val="009B29B7"/>
    <w:rsid w:val="009B29F9"/>
    <w:rsid w:val="009B2E92"/>
    <w:rsid w:val="009B35B4"/>
    <w:rsid w:val="009B367D"/>
    <w:rsid w:val="009B43C5"/>
    <w:rsid w:val="009B49DA"/>
    <w:rsid w:val="009B562F"/>
    <w:rsid w:val="009B56BA"/>
    <w:rsid w:val="009B6926"/>
    <w:rsid w:val="009B6E6B"/>
    <w:rsid w:val="009B73EA"/>
    <w:rsid w:val="009B7423"/>
    <w:rsid w:val="009B778D"/>
    <w:rsid w:val="009B7B42"/>
    <w:rsid w:val="009C1668"/>
    <w:rsid w:val="009C1A89"/>
    <w:rsid w:val="009C1B39"/>
    <w:rsid w:val="009C2FAB"/>
    <w:rsid w:val="009C3350"/>
    <w:rsid w:val="009C379F"/>
    <w:rsid w:val="009C570A"/>
    <w:rsid w:val="009C71E4"/>
    <w:rsid w:val="009C72E6"/>
    <w:rsid w:val="009D09F2"/>
    <w:rsid w:val="009D0DB0"/>
    <w:rsid w:val="009D185E"/>
    <w:rsid w:val="009D228D"/>
    <w:rsid w:val="009D2A95"/>
    <w:rsid w:val="009D4F7D"/>
    <w:rsid w:val="009D6653"/>
    <w:rsid w:val="009D7465"/>
    <w:rsid w:val="009D783C"/>
    <w:rsid w:val="009E1067"/>
    <w:rsid w:val="009E13B1"/>
    <w:rsid w:val="009E1AC3"/>
    <w:rsid w:val="009E263C"/>
    <w:rsid w:val="009E2842"/>
    <w:rsid w:val="009E28FF"/>
    <w:rsid w:val="009E2F43"/>
    <w:rsid w:val="009E2FDB"/>
    <w:rsid w:val="009E340B"/>
    <w:rsid w:val="009E3437"/>
    <w:rsid w:val="009E35A5"/>
    <w:rsid w:val="009E4EAE"/>
    <w:rsid w:val="009E6567"/>
    <w:rsid w:val="009E6865"/>
    <w:rsid w:val="009E6F8B"/>
    <w:rsid w:val="009F0847"/>
    <w:rsid w:val="009F09CB"/>
    <w:rsid w:val="009F0E15"/>
    <w:rsid w:val="009F2084"/>
    <w:rsid w:val="009F25B4"/>
    <w:rsid w:val="009F2FE9"/>
    <w:rsid w:val="009F36FA"/>
    <w:rsid w:val="009F4034"/>
    <w:rsid w:val="009F41E6"/>
    <w:rsid w:val="009F5980"/>
    <w:rsid w:val="009F5A22"/>
    <w:rsid w:val="009F6A28"/>
    <w:rsid w:val="009F72FF"/>
    <w:rsid w:val="009F731B"/>
    <w:rsid w:val="009F7566"/>
    <w:rsid w:val="009F7635"/>
    <w:rsid w:val="009F7713"/>
    <w:rsid w:val="009F77D9"/>
    <w:rsid w:val="00A0031F"/>
    <w:rsid w:val="00A0050C"/>
    <w:rsid w:val="00A00575"/>
    <w:rsid w:val="00A00F0F"/>
    <w:rsid w:val="00A021F4"/>
    <w:rsid w:val="00A0228D"/>
    <w:rsid w:val="00A02679"/>
    <w:rsid w:val="00A03234"/>
    <w:rsid w:val="00A037BC"/>
    <w:rsid w:val="00A0381F"/>
    <w:rsid w:val="00A03A32"/>
    <w:rsid w:val="00A042EA"/>
    <w:rsid w:val="00A056D2"/>
    <w:rsid w:val="00A060B8"/>
    <w:rsid w:val="00A06E63"/>
    <w:rsid w:val="00A103D2"/>
    <w:rsid w:val="00A10406"/>
    <w:rsid w:val="00A117D9"/>
    <w:rsid w:val="00A11942"/>
    <w:rsid w:val="00A11A2C"/>
    <w:rsid w:val="00A120D4"/>
    <w:rsid w:val="00A1339A"/>
    <w:rsid w:val="00A14DA0"/>
    <w:rsid w:val="00A15669"/>
    <w:rsid w:val="00A15917"/>
    <w:rsid w:val="00A16B92"/>
    <w:rsid w:val="00A16BFF"/>
    <w:rsid w:val="00A16D2A"/>
    <w:rsid w:val="00A17D91"/>
    <w:rsid w:val="00A17FBD"/>
    <w:rsid w:val="00A20586"/>
    <w:rsid w:val="00A20695"/>
    <w:rsid w:val="00A20DE3"/>
    <w:rsid w:val="00A21A57"/>
    <w:rsid w:val="00A22AF7"/>
    <w:rsid w:val="00A22D79"/>
    <w:rsid w:val="00A232FA"/>
    <w:rsid w:val="00A237CC"/>
    <w:rsid w:val="00A23D56"/>
    <w:rsid w:val="00A23ED3"/>
    <w:rsid w:val="00A24369"/>
    <w:rsid w:val="00A2480A"/>
    <w:rsid w:val="00A24A85"/>
    <w:rsid w:val="00A25659"/>
    <w:rsid w:val="00A26EE4"/>
    <w:rsid w:val="00A27740"/>
    <w:rsid w:val="00A279B7"/>
    <w:rsid w:val="00A31314"/>
    <w:rsid w:val="00A3191C"/>
    <w:rsid w:val="00A31948"/>
    <w:rsid w:val="00A325E6"/>
    <w:rsid w:val="00A346A6"/>
    <w:rsid w:val="00A34781"/>
    <w:rsid w:val="00A3479B"/>
    <w:rsid w:val="00A34E1A"/>
    <w:rsid w:val="00A35336"/>
    <w:rsid w:val="00A35568"/>
    <w:rsid w:val="00A35978"/>
    <w:rsid w:val="00A36E4F"/>
    <w:rsid w:val="00A37AF2"/>
    <w:rsid w:val="00A37BCD"/>
    <w:rsid w:val="00A40512"/>
    <w:rsid w:val="00A41DA1"/>
    <w:rsid w:val="00A41FA3"/>
    <w:rsid w:val="00A4220E"/>
    <w:rsid w:val="00A4241C"/>
    <w:rsid w:val="00A425B3"/>
    <w:rsid w:val="00A42998"/>
    <w:rsid w:val="00A436ED"/>
    <w:rsid w:val="00A43788"/>
    <w:rsid w:val="00A437F7"/>
    <w:rsid w:val="00A45ACB"/>
    <w:rsid w:val="00A45F55"/>
    <w:rsid w:val="00A4693F"/>
    <w:rsid w:val="00A470DF"/>
    <w:rsid w:val="00A47C42"/>
    <w:rsid w:val="00A50229"/>
    <w:rsid w:val="00A505CD"/>
    <w:rsid w:val="00A50908"/>
    <w:rsid w:val="00A51FEB"/>
    <w:rsid w:val="00A52319"/>
    <w:rsid w:val="00A52A50"/>
    <w:rsid w:val="00A530DE"/>
    <w:rsid w:val="00A5373E"/>
    <w:rsid w:val="00A55AB9"/>
    <w:rsid w:val="00A55CD0"/>
    <w:rsid w:val="00A55D75"/>
    <w:rsid w:val="00A56014"/>
    <w:rsid w:val="00A56A81"/>
    <w:rsid w:val="00A571B1"/>
    <w:rsid w:val="00A571DA"/>
    <w:rsid w:val="00A576BB"/>
    <w:rsid w:val="00A6033F"/>
    <w:rsid w:val="00A60B74"/>
    <w:rsid w:val="00A60FCE"/>
    <w:rsid w:val="00A615A1"/>
    <w:rsid w:val="00A617C1"/>
    <w:rsid w:val="00A61BE1"/>
    <w:rsid w:val="00A62309"/>
    <w:rsid w:val="00A6538B"/>
    <w:rsid w:val="00A65FBD"/>
    <w:rsid w:val="00A669EE"/>
    <w:rsid w:val="00A67071"/>
    <w:rsid w:val="00A67E94"/>
    <w:rsid w:val="00A70351"/>
    <w:rsid w:val="00A710AF"/>
    <w:rsid w:val="00A71628"/>
    <w:rsid w:val="00A71AB6"/>
    <w:rsid w:val="00A71E14"/>
    <w:rsid w:val="00A7264E"/>
    <w:rsid w:val="00A72971"/>
    <w:rsid w:val="00A7320B"/>
    <w:rsid w:val="00A73B8B"/>
    <w:rsid w:val="00A74562"/>
    <w:rsid w:val="00A74821"/>
    <w:rsid w:val="00A748B3"/>
    <w:rsid w:val="00A74A24"/>
    <w:rsid w:val="00A74A9A"/>
    <w:rsid w:val="00A759A8"/>
    <w:rsid w:val="00A75D97"/>
    <w:rsid w:val="00A76FB3"/>
    <w:rsid w:val="00A80D39"/>
    <w:rsid w:val="00A8229F"/>
    <w:rsid w:val="00A823DD"/>
    <w:rsid w:val="00A83F41"/>
    <w:rsid w:val="00A842C4"/>
    <w:rsid w:val="00A853EB"/>
    <w:rsid w:val="00A85FC3"/>
    <w:rsid w:val="00A91014"/>
    <w:rsid w:val="00A927BD"/>
    <w:rsid w:val="00A93466"/>
    <w:rsid w:val="00A93EA8"/>
    <w:rsid w:val="00A94373"/>
    <w:rsid w:val="00A9481E"/>
    <w:rsid w:val="00A94BD5"/>
    <w:rsid w:val="00A968B6"/>
    <w:rsid w:val="00A97D7D"/>
    <w:rsid w:val="00AA1A3D"/>
    <w:rsid w:val="00AA35A8"/>
    <w:rsid w:val="00AA36A7"/>
    <w:rsid w:val="00AA3E93"/>
    <w:rsid w:val="00AA504B"/>
    <w:rsid w:val="00AA5EF1"/>
    <w:rsid w:val="00AA7AB0"/>
    <w:rsid w:val="00AB09C5"/>
    <w:rsid w:val="00AB221E"/>
    <w:rsid w:val="00AB237A"/>
    <w:rsid w:val="00AB240E"/>
    <w:rsid w:val="00AB258C"/>
    <w:rsid w:val="00AB3540"/>
    <w:rsid w:val="00AB44C2"/>
    <w:rsid w:val="00AB57CC"/>
    <w:rsid w:val="00AB61C9"/>
    <w:rsid w:val="00AB6288"/>
    <w:rsid w:val="00AB64EF"/>
    <w:rsid w:val="00AB6E22"/>
    <w:rsid w:val="00AB7211"/>
    <w:rsid w:val="00AB7B0B"/>
    <w:rsid w:val="00AC0FDB"/>
    <w:rsid w:val="00AC1331"/>
    <w:rsid w:val="00AC29FD"/>
    <w:rsid w:val="00AC2F51"/>
    <w:rsid w:val="00AC3388"/>
    <w:rsid w:val="00AC37F2"/>
    <w:rsid w:val="00AC3F21"/>
    <w:rsid w:val="00AC4FA8"/>
    <w:rsid w:val="00AC5BFA"/>
    <w:rsid w:val="00AC654A"/>
    <w:rsid w:val="00AC6D2A"/>
    <w:rsid w:val="00AC7055"/>
    <w:rsid w:val="00AC7851"/>
    <w:rsid w:val="00AC7B4D"/>
    <w:rsid w:val="00AC7B7D"/>
    <w:rsid w:val="00AD0A32"/>
    <w:rsid w:val="00AD1D61"/>
    <w:rsid w:val="00AD27C3"/>
    <w:rsid w:val="00AD3735"/>
    <w:rsid w:val="00AD4212"/>
    <w:rsid w:val="00AE0EB1"/>
    <w:rsid w:val="00AE11EF"/>
    <w:rsid w:val="00AE16E7"/>
    <w:rsid w:val="00AE2D33"/>
    <w:rsid w:val="00AE2FFB"/>
    <w:rsid w:val="00AE34A3"/>
    <w:rsid w:val="00AE3D49"/>
    <w:rsid w:val="00AE5CF6"/>
    <w:rsid w:val="00AE683D"/>
    <w:rsid w:val="00AE7310"/>
    <w:rsid w:val="00AE73E3"/>
    <w:rsid w:val="00AE79CB"/>
    <w:rsid w:val="00AE7E4B"/>
    <w:rsid w:val="00AE7EE0"/>
    <w:rsid w:val="00AF00AB"/>
    <w:rsid w:val="00AF01A9"/>
    <w:rsid w:val="00AF0489"/>
    <w:rsid w:val="00AF0D76"/>
    <w:rsid w:val="00AF0F68"/>
    <w:rsid w:val="00AF13D5"/>
    <w:rsid w:val="00AF15C9"/>
    <w:rsid w:val="00AF485B"/>
    <w:rsid w:val="00AF4C11"/>
    <w:rsid w:val="00AF4C38"/>
    <w:rsid w:val="00AF5418"/>
    <w:rsid w:val="00AF573C"/>
    <w:rsid w:val="00AF6057"/>
    <w:rsid w:val="00AF63CD"/>
    <w:rsid w:val="00AF65EB"/>
    <w:rsid w:val="00AF6F18"/>
    <w:rsid w:val="00AF7E4D"/>
    <w:rsid w:val="00B000DB"/>
    <w:rsid w:val="00B000E1"/>
    <w:rsid w:val="00B009C7"/>
    <w:rsid w:val="00B0138C"/>
    <w:rsid w:val="00B01966"/>
    <w:rsid w:val="00B02217"/>
    <w:rsid w:val="00B02301"/>
    <w:rsid w:val="00B0261C"/>
    <w:rsid w:val="00B0564A"/>
    <w:rsid w:val="00B0593C"/>
    <w:rsid w:val="00B061EE"/>
    <w:rsid w:val="00B07A4D"/>
    <w:rsid w:val="00B07C22"/>
    <w:rsid w:val="00B10197"/>
    <w:rsid w:val="00B10C31"/>
    <w:rsid w:val="00B11720"/>
    <w:rsid w:val="00B11819"/>
    <w:rsid w:val="00B11FBD"/>
    <w:rsid w:val="00B12878"/>
    <w:rsid w:val="00B13884"/>
    <w:rsid w:val="00B14AAA"/>
    <w:rsid w:val="00B14B74"/>
    <w:rsid w:val="00B15B75"/>
    <w:rsid w:val="00B16689"/>
    <w:rsid w:val="00B1713A"/>
    <w:rsid w:val="00B171F3"/>
    <w:rsid w:val="00B17249"/>
    <w:rsid w:val="00B17538"/>
    <w:rsid w:val="00B203E4"/>
    <w:rsid w:val="00B203F5"/>
    <w:rsid w:val="00B222E7"/>
    <w:rsid w:val="00B22702"/>
    <w:rsid w:val="00B22BDB"/>
    <w:rsid w:val="00B23FCB"/>
    <w:rsid w:val="00B242A9"/>
    <w:rsid w:val="00B25777"/>
    <w:rsid w:val="00B25883"/>
    <w:rsid w:val="00B25F25"/>
    <w:rsid w:val="00B26002"/>
    <w:rsid w:val="00B263D3"/>
    <w:rsid w:val="00B26B32"/>
    <w:rsid w:val="00B271A7"/>
    <w:rsid w:val="00B27965"/>
    <w:rsid w:val="00B3048E"/>
    <w:rsid w:val="00B309D6"/>
    <w:rsid w:val="00B30BC8"/>
    <w:rsid w:val="00B30F71"/>
    <w:rsid w:val="00B31091"/>
    <w:rsid w:val="00B32086"/>
    <w:rsid w:val="00B32262"/>
    <w:rsid w:val="00B3361B"/>
    <w:rsid w:val="00B33D1A"/>
    <w:rsid w:val="00B34764"/>
    <w:rsid w:val="00B34D43"/>
    <w:rsid w:val="00B34DDD"/>
    <w:rsid w:val="00B351E2"/>
    <w:rsid w:val="00B35B9E"/>
    <w:rsid w:val="00B36087"/>
    <w:rsid w:val="00B361F0"/>
    <w:rsid w:val="00B365DF"/>
    <w:rsid w:val="00B36B09"/>
    <w:rsid w:val="00B36EBB"/>
    <w:rsid w:val="00B37290"/>
    <w:rsid w:val="00B37847"/>
    <w:rsid w:val="00B4056E"/>
    <w:rsid w:val="00B40AD8"/>
    <w:rsid w:val="00B41891"/>
    <w:rsid w:val="00B422BD"/>
    <w:rsid w:val="00B43A57"/>
    <w:rsid w:val="00B443CA"/>
    <w:rsid w:val="00B44D1D"/>
    <w:rsid w:val="00B456BC"/>
    <w:rsid w:val="00B46353"/>
    <w:rsid w:val="00B5076D"/>
    <w:rsid w:val="00B50BA8"/>
    <w:rsid w:val="00B50E23"/>
    <w:rsid w:val="00B5117D"/>
    <w:rsid w:val="00B51EA6"/>
    <w:rsid w:val="00B538D3"/>
    <w:rsid w:val="00B5530F"/>
    <w:rsid w:val="00B554DD"/>
    <w:rsid w:val="00B56214"/>
    <w:rsid w:val="00B56C8F"/>
    <w:rsid w:val="00B57484"/>
    <w:rsid w:val="00B60460"/>
    <w:rsid w:val="00B6108F"/>
    <w:rsid w:val="00B615BB"/>
    <w:rsid w:val="00B62336"/>
    <w:rsid w:val="00B628D5"/>
    <w:rsid w:val="00B62AF4"/>
    <w:rsid w:val="00B63B06"/>
    <w:rsid w:val="00B64077"/>
    <w:rsid w:val="00B6429A"/>
    <w:rsid w:val="00B6448C"/>
    <w:rsid w:val="00B6487F"/>
    <w:rsid w:val="00B64CB4"/>
    <w:rsid w:val="00B6519A"/>
    <w:rsid w:val="00B6620B"/>
    <w:rsid w:val="00B6651B"/>
    <w:rsid w:val="00B66B44"/>
    <w:rsid w:val="00B673A8"/>
    <w:rsid w:val="00B67504"/>
    <w:rsid w:val="00B71FF2"/>
    <w:rsid w:val="00B725A4"/>
    <w:rsid w:val="00B72E7C"/>
    <w:rsid w:val="00B72F32"/>
    <w:rsid w:val="00B72F78"/>
    <w:rsid w:val="00B731F2"/>
    <w:rsid w:val="00B732AE"/>
    <w:rsid w:val="00B737D1"/>
    <w:rsid w:val="00B7388D"/>
    <w:rsid w:val="00B73A6A"/>
    <w:rsid w:val="00B750B3"/>
    <w:rsid w:val="00B754A6"/>
    <w:rsid w:val="00B7676D"/>
    <w:rsid w:val="00B768AE"/>
    <w:rsid w:val="00B776C2"/>
    <w:rsid w:val="00B808C3"/>
    <w:rsid w:val="00B817E2"/>
    <w:rsid w:val="00B819DF"/>
    <w:rsid w:val="00B82242"/>
    <w:rsid w:val="00B82528"/>
    <w:rsid w:val="00B825B4"/>
    <w:rsid w:val="00B82778"/>
    <w:rsid w:val="00B82D99"/>
    <w:rsid w:val="00B82DE6"/>
    <w:rsid w:val="00B846E4"/>
    <w:rsid w:val="00B847D0"/>
    <w:rsid w:val="00B84948"/>
    <w:rsid w:val="00B8495C"/>
    <w:rsid w:val="00B8516E"/>
    <w:rsid w:val="00B85589"/>
    <w:rsid w:val="00B86612"/>
    <w:rsid w:val="00B86E61"/>
    <w:rsid w:val="00B86F68"/>
    <w:rsid w:val="00B87784"/>
    <w:rsid w:val="00B90362"/>
    <w:rsid w:val="00B91FB3"/>
    <w:rsid w:val="00B921C0"/>
    <w:rsid w:val="00B92250"/>
    <w:rsid w:val="00B933F6"/>
    <w:rsid w:val="00B938FD"/>
    <w:rsid w:val="00B940CE"/>
    <w:rsid w:val="00B9478C"/>
    <w:rsid w:val="00B9532A"/>
    <w:rsid w:val="00B95A8C"/>
    <w:rsid w:val="00B95ED3"/>
    <w:rsid w:val="00BA04A1"/>
    <w:rsid w:val="00BA0F95"/>
    <w:rsid w:val="00BA11EB"/>
    <w:rsid w:val="00BA1A6B"/>
    <w:rsid w:val="00BA1F9B"/>
    <w:rsid w:val="00BA2B06"/>
    <w:rsid w:val="00BA2B83"/>
    <w:rsid w:val="00BA393D"/>
    <w:rsid w:val="00BA39FD"/>
    <w:rsid w:val="00BA4377"/>
    <w:rsid w:val="00BA49D1"/>
    <w:rsid w:val="00BA5A7B"/>
    <w:rsid w:val="00BA5BBC"/>
    <w:rsid w:val="00BA62E3"/>
    <w:rsid w:val="00BA6D2B"/>
    <w:rsid w:val="00BA72AE"/>
    <w:rsid w:val="00BA76C3"/>
    <w:rsid w:val="00BA7E2B"/>
    <w:rsid w:val="00BB0061"/>
    <w:rsid w:val="00BB01CD"/>
    <w:rsid w:val="00BB024E"/>
    <w:rsid w:val="00BB1A30"/>
    <w:rsid w:val="00BB2444"/>
    <w:rsid w:val="00BB31A6"/>
    <w:rsid w:val="00BB333A"/>
    <w:rsid w:val="00BB3847"/>
    <w:rsid w:val="00BB3911"/>
    <w:rsid w:val="00BB3E28"/>
    <w:rsid w:val="00BB42E0"/>
    <w:rsid w:val="00BB447A"/>
    <w:rsid w:val="00BB4DD3"/>
    <w:rsid w:val="00BB51C9"/>
    <w:rsid w:val="00BB570C"/>
    <w:rsid w:val="00BB5947"/>
    <w:rsid w:val="00BB5B56"/>
    <w:rsid w:val="00BB6233"/>
    <w:rsid w:val="00BB66EE"/>
    <w:rsid w:val="00BB6A86"/>
    <w:rsid w:val="00BC1F6F"/>
    <w:rsid w:val="00BC2716"/>
    <w:rsid w:val="00BC2D43"/>
    <w:rsid w:val="00BC2D75"/>
    <w:rsid w:val="00BC2E03"/>
    <w:rsid w:val="00BC38E6"/>
    <w:rsid w:val="00BC3B3D"/>
    <w:rsid w:val="00BC497B"/>
    <w:rsid w:val="00BC50DC"/>
    <w:rsid w:val="00BC5594"/>
    <w:rsid w:val="00BC5B0E"/>
    <w:rsid w:val="00BC5B57"/>
    <w:rsid w:val="00BC5DCC"/>
    <w:rsid w:val="00BC6320"/>
    <w:rsid w:val="00BC66DA"/>
    <w:rsid w:val="00BC70D1"/>
    <w:rsid w:val="00BC71C9"/>
    <w:rsid w:val="00BC7319"/>
    <w:rsid w:val="00BD0255"/>
    <w:rsid w:val="00BD0296"/>
    <w:rsid w:val="00BD19B2"/>
    <w:rsid w:val="00BD3452"/>
    <w:rsid w:val="00BD3764"/>
    <w:rsid w:val="00BD421C"/>
    <w:rsid w:val="00BD5269"/>
    <w:rsid w:val="00BD64DF"/>
    <w:rsid w:val="00BD6570"/>
    <w:rsid w:val="00BD6B1E"/>
    <w:rsid w:val="00BD76F3"/>
    <w:rsid w:val="00BD7BCB"/>
    <w:rsid w:val="00BE046B"/>
    <w:rsid w:val="00BE08DE"/>
    <w:rsid w:val="00BE1167"/>
    <w:rsid w:val="00BE15F0"/>
    <w:rsid w:val="00BE1E7E"/>
    <w:rsid w:val="00BE3122"/>
    <w:rsid w:val="00BE37AD"/>
    <w:rsid w:val="00BE3B4A"/>
    <w:rsid w:val="00BE3FF8"/>
    <w:rsid w:val="00BE4511"/>
    <w:rsid w:val="00BE464F"/>
    <w:rsid w:val="00BE4FAB"/>
    <w:rsid w:val="00BE5283"/>
    <w:rsid w:val="00BE52A8"/>
    <w:rsid w:val="00BE5E8F"/>
    <w:rsid w:val="00BE5EF7"/>
    <w:rsid w:val="00BE5F01"/>
    <w:rsid w:val="00BE624B"/>
    <w:rsid w:val="00BE66C9"/>
    <w:rsid w:val="00BE6B81"/>
    <w:rsid w:val="00BF0C27"/>
    <w:rsid w:val="00BF215D"/>
    <w:rsid w:val="00BF233E"/>
    <w:rsid w:val="00BF2728"/>
    <w:rsid w:val="00BF28D4"/>
    <w:rsid w:val="00BF3274"/>
    <w:rsid w:val="00BF34E1"/>
    <w:rsid w:val="00BF3DE4"/>
    <w:rsid w:val="00BF41BD"/>
    <w:rsid w:val="00BF4C93"/>
    <w:rsid w:val="00BF4EE6"/>
    <w:rsid w:val="00BF4F71"/>
    <w:rsid w:val="00BF5123"/>
    <w:rsid w:val="00BF6DB1"/>
    <w:rsid w:val="00BF7C4E"/>
    <w:rsid w:val="00C01499"/>
    <w:rsid w:val="00C01990"/>
    <w:rsid w:val="00C034C1"/>
    <w:rsid w:val="00C03763"/>
    <w:rsid w:val="00C03F7F"/>
    <w:rsid w:val="00C04D6F"/>
    <w:rsid w:val="00C04FAD"/>
    <w:rsid w:val="00C05259"/>
    <w:rsid w:val="00C062D2"/>
    <w:rsid w:val="00C06567"/>
    <w:rsid w:val="00C06576"/>
    <w:rsid w:val="00C0667B"/>
    <w:rsid w:val="00C07A3B"/>
    <w:rsid w:val="00C1171D"/>
    <w:rsid w:val="00C11753"/>
    <w:rsid w:val="00C120E0"/>
    <w:rsid w:val="00C1294C"/>
    <w:rsid w:val="00C129DA"/>
    <w:rsid w:val="00C12C58"/>
    <w:rsid w:val="00C13335"/>
    <w:rsid w:val="00C13E20"/>
    <w:rsid w:val="00C1463E"/>
    <w:rsid w:val="00C172A8"/>
    <w:rsid w:val="00C1746F"/>
    <w:rsid w:val="00C17DA0"/>
    <w:rsid w:val="00C17DEB"/>
    <w:rsid w:val="00C17FFB"/>
    <w:rsid w:val="00C2108D"/>
    <w:rsid w:val="00C21EB8"/>
    <w:rsid w:val="00C21F7A"/>
    <w:rsid w:val="00C22543"/>
    <w:rsid w:val="00C2383C"/>
    <w:rsid w:val="00C23A62"/>
    <w:rsid w:val="00C23C69"/>
    <w:rsid w:val="00C23EB9"/>
    <w:rsid w:val="00C24C24"/>
    <w:rsid w:val="00C2594B"/>
    <w:rsid w:val="00C259EA"/>
    <w:rsid w:val="00C264B5"/>
    <w:rsid w:val="00C2781E"/>
    <w:rsid w:val="00C279BC"/>
    <w:rsid w:val="00C27B0B"/>
    <w:rsid w:val="00C3088F"/>
    <w:rsid w:val="00C3185C"/>
    <w:rsid w:val="00C318C7"/>
    <w:rsid w:val="00C31CE5"/>
    <w:rsid w:val="00C3301B"/>
    <w:rsid w:val="00C335C2"/>
    <w:rsid w:val="00C33C78"/>
    <w:rsid w:val="00C3400A"/>
    <w:rsid w:val="00C343D0"/>
    <w:rsid w:val="00C3699E"/>
    <w:rsid w:val="00C36FA9"/>
    <w:rsid w:val="00C40445"/>
    <w:rsid w:val="00C414BC"/>
    <w:rsid w:val="00C41976"/>
    <w:rsid w:val="00C419D2"/>
    <w:rsid w:val="00C42017"/>
    <w:rsid w:val="00C4274B"/>
    <w:rsid w:val="00C42766"/>
    <w:rsid w:val="00C43C1F"/>
    <w:rsid w:val="00C44156"/>
    <w:rsid w:val="00C44205"/>
    <w:rsid w:val="00C4435F"/>
    <w:rsid w:val="00C4551B"/>
    <w:rsid w:val="00C46C11"/>
    <w:rsid w:val="00C47009"/>
    <w:rsid w:val="00C47F24"/>
    <w:rsid w:val="00C50457"/>
    <w:rsid w:val="00C51545"/>
    <w:rsid w:val="00C516D5"/>
    <w:rsid w:val="00C5173C"/>
    <w:rsid w:val="00C537CB"/>
    <w:rsid w:val="00C54148"/>
    <w:rsid w:val="00C544DA"/>
    <w:rsid w:val="00C54947"/>
    <w:rsid w:val="00C553C9"/>
    <w:rsid w:val="00C55654"/>
    <w:rsid w:val="00C559FB"/>
    <w:rsid w:val="00C55E35"/>
    <w:rsid w:val="00C561BA"/>
    <w:rsid w:val="00C5690B"/>
    <w:rsid w:val="00C56D94"/>
    <w:rsid w:val="00C57273"/>
    <w:rsid w:val="00C578D8"/>
    <w:rsid w:val="00C61B7D"/>
    <w:rsid w:val="00C62150"/>
    <w:rsid w:val="00C628BB"/>
    <w:rsid w:val="00C62BAA"/>
    <w:rsid w:val="00C63199"/>
    <w:rsid w:val="00C63604"/>
    <w:rsid w:val="00C63AED"/>
    <w:rsid w:val="00C6475A"/>
    <w:rsid w:val="00C64A21"/>
    <w:rsid w:val="00C64FA5"/>
    <w:rsid w:val="00C65387"/>
    <w:rsid w:val="00C6540C"/>
    <w:rsid w:val="00C65548"/>
    <w:rsid w:val="00C65584"/>
    <w:rsid w:val="00C66C88"/>
    <w:rsid w:val="00C66D52"/>
    <w:rsid w:val="00C675C5"/>
    <w:rsid w:val="00C7012D"/>
    <w:rsid w:val="00C70151"/>
    <w:rsid w:val="00C70806"/>
    <w:rsid w:val="00C70A52"/>
    <w:rsid w:val="00C72EAD"/>
    <w:rsid w:val="00C73477"/>
    <w:rsid w:val="00C73AE2"/>
    <w:rsid w:val="00C73E25"/>
    <w:rsid w:val="00C73FD8"/>
    <w:rsid w:val="00C7485C"/>
    <w:rsid w:val="00C76299"/>
    <w:rsid w:val="00C765E8"/>
    <w:rsid w:val="00C76631"/>
    <w:rsid w:val="00C7696A"/>
    <w:rsid w:val="00C76AB6"/>
    <w:rsid w:val="00C77258"/>
    <w:rsid w:val="00C772CC"/>
    <w:rsid w:val="00C8045C"/>
    <w:rsid w:val="00C804DC"/>
    <w:rsid w:val="00C8132B"/>
    <w:rsid w:val="00C819CA"/>
    <w:rsid w:val="00C82435"/>
    <w:rsid w:val="00C82B78"/>
    <w:rsid w:val="00C82C27"/>
    <w:rsid w:val="00C82EAF"/>
    <w:rsid w:val="00C831D7"/>
    <w:rsid w:val="00C83DCB"/>
    <w:rsid w:val="00C84080"/>
    <w:rsid w:val="00C8452E"/>
    <w:rsid w:val="00C84D29"/>
    <w:rsid w:val="00C854AC"/>
    <w:rsid w:val="00C86C64"/>
    <w:rsid w:val="00C879F7"/>
    <w:rsid w:val="00C87EC8"/>
    <w:rsid w:val="00C90BB4"/>
    <w:rsid w:val="00C91164"/>
    <w:rsid w:val="00C914EF"/>
    <w:rsid w:val="00C9291E"/>
    <w:rsid w:val="00C9375E"/>
    <w:rsid w:val="00C93CCF"/>
    <w:rsid w:val="00C943DD"/>
    <w:rsid w:val="00C944C2"/>
    <w:rsid w:val="00C94F38"/>
    <w:rsid w:val="00C958B7"/>
    <w:rsid w:val="00C9595B"/>
    <w:rsid w:val="00C97C52"/>
    <w:rsid w:val="00C97D7B"/>
    <w:rsid w:val="00C97DF9"/>
    <w:rsid w:val="00C97E8C"/>
    <w:rsid w:val="00CA01E3"/>
    <w:rsid w:val="00CA02B0"/>
    <w:rsid w:val="00CA1145"/>
    <w:rsid w:val="00CA2DCF"/>
    <w:rsid w:val="00CA2DD6"/>
    <w:rsid w:val="00CA357E"/>
    <w:rsid w:val="00CA3840"/>
    <w:rsid w:val="00CA3C0E"/>
    <w:rsid w:val="00CA4235"/>
    <w:rsid w:val="00CA4544"/>
    <w:rsid w:val="00CA49F5"/>
    <w:rsid w:val="00CA51D5"/>
    <w:rsid w:val="00CA5FF2"/>
    <w:rsid w:val="00CA7468"/>
    <w:rsid w:val="00CA7B9F"/>
    <w:rsid w:val="00CA7E21"/>
    <w:rsid w:val="00CB0310"/>
    <w:rsid w:val="00CB0A82"/>
    <w:rsid w:val="00CB10A2"/>
    <w:rsid w:val="00CB130E"/>
    <w:rsid w:val="00CB137D"/>
    <w:rsid w:val="00CB1E55"/>
    <w:rsid w:val="00CB237E"/>
    <w:rsid w:val="00CB2E61"/>
    <w:rsid w:val="00CB4C4E"/>
    <w:rsid w:val="00CB4D1B"/>
    <w:rsid w:val="00CB4DFA"/>
    <w:rsid w:val="00CB6D9D"/>
    <w:rsid w:val="00CB7F4B"/>
    <w:rsid w:val="00CC017A"/>
    <w:rsid w:val="00CC03D8"/>
    <w:rsid w:val="00CC1B74"/>
    <w:rsid w:val="00CC2B87"/>
    <w:rsid w:val="00CC2E11"/>
    <w:rsid w:val="00CC489E"/>
    <w:rsid w:val="00CC505B"/>
    <w:rsid w:val="00CC549E"/>
    <w:rsid w:val="00CC5894"/>
    <w:rsid w:val="00CC7CBF"/>
    <w:rsid w:val="00CD0D67"/>
    <w:rsid w:val="00CD115A"/>
    <w:rsid w:val="00CD193E"/>
    <w:rsid w:val="00CD20B0"/>
    <w:rsid w:val="00CD2481"/>
    <w:rsid w:val="00CD28AE"/>
    <w:rsid w:val="00CD3104"/>
    <w:rsid w:val="00CD3509"/>
    <w:rsid w:val="00CD4255"/>
    <w:rsid w:val="00CD44EE"/>
    <w:rsid w:val="00CD5399"/>
    <w:rsid w:val="00CD54B3"/>
    <w:rsid w:val="00CD664D"/>
    <w:rsid w:val="00CD6843"/>
    <w:rsid w:val="00CD6DA4"/>
    <w:rsid w:val="00CD72FD"/>
    <w:rsid w:val="00CD750A"/>
    <w:rsid w:val="00CE0355"/>
    <w:rsid w:val="00CE14F2"/>
    <w:rsid w:val="00CE1897"/>
    <w:rsid w:val="00CE197C"/>
    <w:rsid w:val="00CE2660"/>
    <w:rsid w:val="00CE2CF6"/>
    <w:rsid w:val="00CE398C"/>
    <w:rsid w:val="00CE408F"/>
    <w:rsid w:val="00CE4251"/>
    <w:rsid w:val="00CE4395"/>
    <w:rsid w:val="00CE46F7"/>
    <w:rsid w:val="00CE4C27"/>
    <w:rsid w:val="00CE6B17"/>
    <w:rsid w:val="00CE7F5D"/>
    <w:rsid w:val="00CF02D4"/>
    <w:rsid w:val="00CF0BA9"/>
    <w:rsid w:val="00CF1278"/>
    <w:rsid w:val="00CF1D3D"/>
    <w:rsid w:val="00CF218B"/>
    <w:rsid w:val="00CF256A"/>
    <w:rsid w:val="00CF2681"/>
    <w:rsid w:val="00CF345B"/>
    <w:rsid w:val="00CF34E6"/>
    <w:rsid w:val="00CF35B1"/>
    <w:rsid w:val="00CF37E7"/>
    <w:rsid w:val="00CF4D5E"/>
    <w:rsid w:val="00CF508A"/>
    <w:rsid w:val="00CF531B"/>
    <w:rsid w:val="00CF5CD6"/>
    <w:rsid w:val="00CF5F6C"/>
    <w:rsid w:val="00CF6355"/>
    <w:rsid w:val="00CF6C82"/>
    <w:rsid w:val="00CF733D"/>
    <w:rsid w:val="00D002D6"/>
    <w:rsid w:val="00D005C7"/>
    <w:rsid w:val="00D011A8"/>
    <w:rsid w:val="00D0133B"/>
    <w:rsid w:val="00D017A6"/>
    <w:rsid w:val="00D01A79"/>
    <w:rsid w:val="00D01BE9"/>
    <w:rsid w:val="00D01E1C"/>
    <w:rsid w:val="00D01F53"/>
    <w:rsid w:val="00D02B80"/>
    <w:rsid w:val="00D037C4"/>
    <w:rsid w:val="00D039F7"/>
    <w:rsid w:val="00D0443D"/>
    <w:rsid w:val="00D045DB"/>
    <w:rsid w:val="00D05DA0"/>
    <w:rsid w:val="00D05EC7"/>
    <w:rsid w:val="00D06DCB"/>
    <w:rsid w:val="00D07C7B"/>
    <w:rsid w:val="00D107FD"/>
    <w:rsid w:val="00D11E92"/>
    <w:rsid w:val="00D125B6"/>
    <w:rsid w:val="00D13E39"/>
    <w:rsid w:val="00D144EF"/>
    <w:rsid w:val="00D1451E"/>
    <w:rsid w:val="00D145F5"/>
    <w:rsid w:val="00D154DC"/>
    <w:rsid w:val="00D1570E"/>
    <w:rsid w:val="00D157DF"/>
    <w:rsid w:val="00D16305"/>
    <w:rsid w:val="00D163AC"/>
    <w:rsid w:val="00D1728A"/>
    <w:rsid w:val="00D1739C"/>
    <w:rsid w:val="00D1785C"/>
    <w:rsid w:val="00D21BCE"/>
    <w:rsid w:val="00D220E4"/>
    <w:rsid w:val="00D2231A"/>
    <w:rsid w:val="00D226EB"/>
    <w:rsid w:val="00D23B07"/>
    <w:rsid w:val="00D252C3"/>
    <w:rsid w:val="00D2595E"/>
    <w:rsid w:val="00D260E4"/>
    <w:rsid w:val="00D26741"/>
    <w:rsid w:val="00D27094"/>
    <w:rsid w:val="00D2710E"/>
    <w:rsid w:val="00D274D2"/>
    <w:rsid w:val="00D27641"/>
    <w:rsid w:val="00D2784D"/>
    <w:rsid w:val="00D27AD7"/>
    <w:rsid w:val="00D3111D"/>
    <w:rsid w:val="00D316BB"/>
    <w:rsid w:val="00D32B1B"/>
    <w:rsid w:val="00D331DC"/>
    <w:rsid w:val="00D34048"/>
    <w:rsid w:val="00D340FA"/>
    <w:rsid w:val="00D34DF3"/>
    <w:rsid w:val="00D3609D"/>
    <w:rsid w:val="00D36F8D"/>
    <w:rsid w:val="00D377F8"/>
    <w:rsid w:val="00D37DC9"/>
    <w:rsid w:val="00D37E2C"/>
    <w:rsid w:val="00D40691"/>
    <w:rsid w:val="00D40F41"/>
    <w:rsid w:val="00D413EF"/>
    <w:rsid w:val="00D41A31"/>
    <w:rsid w:val="00D41D18"/>
    <w:rsid w:val="00D42813"/>
    <w:rsid w:val="00D42949"/>
    <w:rsid w:val="00D43488"/>
    <w:rsid w:val="00D43516"/>
    <w:rsid w:val="00D44329"/>
    <w:rsid w:val="00D448BD"/>
    <w:rsid w:val="00D44B78"/>
    <w:rsid w:val="00D452B9"/>
    <w:rsid w:val="00D46100"/>
    <w:rsid w:val="00D46178"/>
    <w:rsid w:val="00D50902"/>
    <w:rsid w:val="00D5132C"/>
    <w:rsid w:val="00D51AA5"/>
    <w:rsid w:val="00D52568"/>
    <w:rsid w:val="00D52987"/>
    <w:rsid w:val="00D52A0A"/>
    <w:rsid w:val="00D5586B"/>
    <w:rsid w:val="00D55F9B"/>
    <w:rsid w:val="00D56797"/>
    <w:rsid w:val="00D568F1"/>
    <w:rsid w:val="00D56D67"/>
    <w:rsid w:val="00D57A9C"/>
    <w:rsid w:val="00D57ACF"/>
    <w:rsid w:val="00D602FC"/>
    <w:rsid w:val="00D606B3"/>
    <w:rsid w:val="00D60CA1"/>
    <w:rsid w:val="00D620D2"/>
    <w:rsid w:val="00D64C89"/>
    <w:rsid w:val="00D6644F"/>
    <w:rsid w:val="00D664C2"/>
    <w:rsid w:val="00D667AC"/>
    <w:rsid w:val="00D70368"/>
    <w:rsid w:val="00D70732"/>
    <w:rsid w:val="00D707EC"/>
    <w:rsid w:val="00D71721"/>
    <w:rsid w:val="00D7244D"/>
    <w:rsid w:val="00D724C3"/>
    <w:rsid w:val="00D72636"/>
    <w:rsid w:val="00D72DD7"/>
    <w:rsid w:val="00D72EA2"/>
    <w:rsid w:val="00D72F2B"/>
    <w:rsid w:val="00D743BF"/>
    <w:rsid w:val="00D746B6"/>
    <w:rsid w:val="00D74BA9"/>
    <w:rsid w:val="00D75585"/>
    <w:rsid w:val="00D759F2"/>
    <w:rsid w:val="00D75A18"/>
    <w:rsid w:val="00D75E62"/>
    <w:rsid w:val="00D762F4"/>
    <w:rsid w:val="00D7636B"/>
    <w:rsid w:val="00D7695F"/>
    <w:rsid w:val="00D76A0A"/>
    <w:rsid w:val="00D76B4B"/>
    <w:rsid w:val="00D7732A"/>
    <w:rsid w:val="00D7768C"/>
    <w:rsid w:val="00D81419"/>
    <w:rsid w:val="00D8307C"/>
    <w:rsid w:val="00D83CD6"/>
    <w:rsid w:val="00D84BD4"/>
    <w:rsid w:val="00D850A5"/>
    <w:rsid w:val="00D85355"/>
    <w:rsid w:val="00D86209"/>
    <w:rsid w:val="00D866B8"/>
    <w:rsid w:val="00D86B70"/>
    <w:rsid w:val="00D86C28"/>
    <w:rsid w:val="00D86FE4"/>
    <w:rsid w:val="00D87800"/>
    <w:rsid w:val="00D908BD"/>
    <w:rsid w:val="00D9097F"/>
    <w:rsid w:val="00D91CF8"/>
    <w:rsid w:val="00D91F3D"/>
    <w:rsid w:val="00D92052"/>
    <w:rsid w:val="00D92932"/>
    <w:rsid w:val="00D929C9"/>
    <w:rsid w:val="00D94F75"/>
    <w:rsid w:val="00D95A18"/>
    <w:rsid w:val="00D961D1"/>
    <w:rsid w:val="00D96965"/>
    <w:rsid w:val="00D96B2F"/>
    <w:rsid w:val="00D97E89"/>
    <w:rsid w:val="00DA060C"/>
    <w:rsid w:val="00DA0CC5"/>
    <w:rsid w:val="00DA1160"/>
    <w:rsid w:val="00DA119B"/>
    <w:rsid w:val="00DA12CE"/>
    <w:rsid w:val="00DA1DA7"/>
    <w:rsid w:val="00DA1E65"/>
    <w:rsid w:val="00DA1F04"/>
    <w:rsid w:val="00DA2374"/>
    <w:rsid w:val="00DA2771"/>
    <w:rsid w:val="00DA4F47"/>
    <w:rsid w:val="00DA68B9"/>
    <w:rsid w:val="00DA6EFD"/>
    <w:rsid w:val="00DA7589"/>
    <w:rsid w:val="00DB092E"/>
    <w:rsid w:val="00DB0B3F"/>
    <w:rsid w:val="00DB1901"/>
    <w:rsid w:val="00DB1B61"/>
    <w:rsid w:val="00DB2951"/>
    <w:rsid w:val="00DB4336"/>
    <w:rsid w:val="00DB489B"/>
    <w:rsid w:val="00DB4918"/>
    <w:rsid w:val="00DB565C"/>
    <w:rsid w:val="00DB5FAB"/>
    <w:rsid w:val="00DB64A6"/>
    <w:rsid w:val="00DB66FB"/>
    <w:rsid w:val="00DB78B0"/>
    <w:rsid w:val="00DC0701"/>
    <w:rsid w:val="00DC09F2"/>
    <w:rsid w:val="00DC14D4"/>
    <w:rsid w:val="00DC2837"/>
    <w:rsid w:val="00DC46F4"/>
    <w:rsid w:val="00DC5717"/>
    <w:rsid w:val="00DC61C5"/>
    <w:rsid w:val="00DC658C"/>
    <w:rsid w:val="00DC7A96"/>
    <w:rsid w:val="00DD0063"/>
    <w:rsid w:val="00DD047C"/>
    <w:rsid w:val="00DD1145"/>
    <w:rsid w:val="00DD23C3"/>
    <w:rsid w:val="00DD33A6"/>
    <w:rsid w:val="00DD3691"/>
    <w:rsid w:val="00DD3ADD"/>
    <w:rsid w:val="00DD3B4F"/>
    <w:rsid w:val="00DD3F68"/>
    <w:rsid w:val="00DD4492"/>
    <w:rsid w:val="00DD45BF"/>
    <w:rsid w:val="00DD4657"/>
    <w:rsid w:val="00DD54AB"/>
    <w:rsid w:val="00DD570C"/>
    <w:rsid w:val="00DD58E9"/>
    <w:rsid w:val="00DD63FF"/>
    <w:rsid w:val="00DD6F85"/>
    <w:rsid w:val="00DD7248"/>
    <w:rsid w:val="00DD7558"/>
    <w:rsid w:val="00DD7BFF"/>
    <w:rsid w:val="00DD7EAE"/>
    <w:rsid w:val="00DE006A"/>
    <w:rsid w:val="00DE0455"/>
    <w:rsid w:val="00DE15EC"/>
    <w:rsid w:val="00DE26AC"/>
    <w:rsid w:val="00DE2FBE"/>
    <w:rsid w:val="00DE313E"/>
    <w:rsid w:val="00DE3B6B"/>
    <w:rsid w:val="00DE4833"/>
    <w:rsid w:val="00DE4EB9"/>
    <w:rsid w:val="00DE5664"/>
    <w:rsid w:val="00DE57D7"/>
    <w:rsid w:val="00DE5899"/>
    <w:rsid w:val="00DE7A8B"/>
    <w:rsid w:val="00DF0961"/>
    <w:rsid w:val="00DF0D8A"/>
    <w:rsid w:val="00DF0EB3"/>
    <w:rsid w:val="00DF1349"/>
    <w:rsid w:val="00DF14A6"/>
    <w:rsid w:val="00DF23CC"/>
    <w:rsid w:val="00DF2F9E"/>
    <w:rsid w:val="00DF327A"/>
    <w:rsid w:val="00DF58EF"/>
    <w:rsid w:val="00DF6302"/>
    <w:rsid w:val="00DF6B9A"/>
    <w:rsid w:val="00DF6CC7"/>
    <w:rsid w:val="00DF6D63"/>
    <w:rsid w:val="00DF70B2"/>
    <w:rsid w:val="00E001F7"/>
    <w:rsid w:val="00E01EB5"/>
    <w:rsid w:val="00E02406"/>
    <w:rsid w:val="00E029F3"/>
    <w:rsid w:val="00E02A54"/>
    <w:rsid w:val="00E032F4"/>
    <w:rsid w:val="00E03E1B"/>
    <w:rsid w:val="00E045B8"/>
    <w:rsid w:val="00E04B10"/>
    <w:rsid w:val="00E04E8A"/>
    <w:rsid w:val="00E05BF4"/>
    <w:rsid w:val="00E05ED4"/>
    <w:rsid w:val="00E060AB"/>
    <w:rsid w:val="00E062C7"/>
    <w:rsid w:val="00E06DAF"/>
    <w:rsid w:val="00E072E2"/>
    <w:rsid w:val="00E1026E"/>
    <w:rsid w:val="00E11791"/>
    <w:rsid w:val="00E1267D"/>
    <w:rsid w:val="00E128A1"/>
    <w:rsid w:val="00E1336F"/>
    <w:rsid w:val="00E144F6"/>
    <w:rsid w:val="00E148C0"/>
    <w:rsid w:val="00E1494D"/>
    <w:rsid w:val="00E14FEC"/>
    <w:rsid w:val="00E15F03"/>
    <w:rsid w:val="00E16AA1"/>
    <w:rsid w:val="00E16E25"/>
    <w:rsid w:val="00E1724D"/>
    <w:rsid w:val="00E17478"/>
    <w:rsid w:val="00E17B67"/>
    <w:rsid w:val="00E2004E"/>
    <w:rsid w:val="00E20790"/>
    <w:rsid w:val="00E219F6"/>
    <w:rsid w:val="00E21C7B"/>
    <w:rsid w:val="00E235A9"/>
    <w:rsid w:val="00E23B8E"/>
    <w:rsid w:val="00E23EE1"/>
    <w:rsid w:val="00E2477D"/>
    <w:rsid w:val="00E25F47"/>
    <w:rsid w:val="00E2609A"/>
    <w:rsid w:val="00E26247"/>
    <w:rsid w:val="00E26A55"/>
    <w:rsid w:val="00E276E1"/>
    <w:rsid w:val="00E305A8"/>
    <w:rsid w:val="00E31987"/>
    <w:rsid w:val="00E31CC7"/>
    <w:rsid w:val="00E31D45"/>
    <w:rsid w:val="00E32C01"/>
    <w:rsid w:val="00E342C7"/>
    <w:rsid w:val="00E34733"/>
    <w:rsid w:val="00E35064"/>
    <w:rsid w:val="00E35AD5"/>
    <w:rsid w:val="00E360DE"/>
    <w:rsid w:val="00E37299"/>
    <w:rsid w:val="00E41095"/>
    <w:rsid w:val="00E41101"/>
    <w:rsid w:val="00E41235"/>
    <w:rsid w:val="00E41C55"/>
    <w:rsid w:val="00E42C6E"/>
    <w:rsid w:val="00E42CA1"/>
    <w:rsid w:val="00E433D2"/>
    <w:rsid w:val="00E44151"/>
    <w:rsid w:val="00E449AA"/>
    <w:rsid w:val="00E44BD6"/>
    <w:rsid w:val="00E44FBF"/>
    <w:rsid w:val="00E45CAE"/>
    <w:rsid w:val="00E4777E"/>
    <w:rsid w:val="00E47922"/>
    <w:rsid w:val="00E47AB1"/>
    <w:rsid w:val="00E47F7C"/>
    <w:rsid w:val="00E50C5B"/>
    <w:rsid w:val="00E50FF2"/>
    <w:rsid w:val="00E51627"/>
    <w:rsid w:val="00E51726"/>
    <w:rsid w:val="00E51E8B"/>
    <w:rsid w:val="00E52FDE"/>
    <w:rsid w:val="00E53004"/>
    <w:rsid w:val="00E53D25"/>
    <w:rsid w:val="00E5514B"/>
    <w:rsid w:val="00E553C1"/>
    <w:rsid w:val="00E55A0F"/>
    <w:rsid w:val="00E562CD"/>
    <w:rsid w:val="00E56CDD"/>
    <w:rsid w:val="00E56FDC"/>
    <w:rsid w:val="00E605C0"/>
    <w:rsid w:val="00E61836"/>
    <w:rsid w:val="00E63863"/>
    <w:rsid w:val="00E647C1"/>
    <w:rsid w:val="00E66CCF"/>
    <w:rsid w:val="00E67C68"/>
    <w:rsid w:val="00E7004F"/>
    <w:rsid w:val="00E71E09"/>
    <w:rsid w:val="00E72243"/>
    <w:rsid w:val="00E7325C"/>
    <w:rsid w:val="00E732DD"/>
    <w:rsid w:val="00E73999"/>
    <w:rsid w:val="00E7400C"/>
    <w:rsid w:val="00E74506"/>
    <w:rsid w:val="00E749F5"/>
    <w:rsid w:val="00E751D1"/>
    <w:rsid w:val="00E75F6E"/>
    <w:rsid w:val="00E774FE"/>
    <w:rsid w:val="00E77760"/>
    <w:rsid w:val="00E77884"/>
    <w:rsid w:val="00E77B47"/>
    <w:rsid w:val="00E8003A"/>
    <w:rsid w:val="00E800F3"/>
    <w:rsid w:val="00E80C9D"/>
    <w:rsid w:val="00E82AF9"/>
    <w:rsid w:val="00E83915"/>
    <w:rsid w:val="00E83A68"/>
    <w:rsid w:val="00E84265"/>
    <w:rsid w:val="00E842FA"/>
    <w:rsid w:val="00E847F5"/>
    <w:rsid w:val="00E85A05"/>
    <w:rsid w:val="00E86120"/>
    <w:rsid w:val="00E862C8"/>
    <w:rsid w:val="00E87CA5"/>
    <w:rsid w:val="00E87F78"/>
    <w:rsid w:val="00E90EBC"/>
    <w:rsid w:val="00E91BA9"/>
    <w:rsid w:val="00E91C49"/>
    <w:rsid w:val="00E91C74"/>
    <w:rsid w:val="00E92233"/>
    <w:rsid w:val="00E9225B"/>
    <w:rsid w:val="00E93BFE"/>
    <w:rsid w:val="00E93DC5"/>
    <w:rsid w:val="00E950D1"/>
    <w:rsid w:val="00E954A2"/>
    <w:rsid w:val="00E9587D"/>
    <w:rsid w:val="00E959EF"/>
    <w:rsid w:val="00E962E7"/>
    <w:rsid w:val="00E96ED9"/>
    <w:rsid w:val="00E97092"/>
    <w:rsid w:val="00E979DD"/>
    <w:rsid w:val="00E97E9C"/>
    <w:rsid w:val="00E97EF9"/>
    <w:rsid w:val="00EA05E8"/>
    <w:rsid w:val="00EA10BF"/>
    <w:rsid w:val="00EA3D64"/>
    <w:rsid w:val="00EA49C2"/>
    <w:rsid w:val="00EA508B"/>
    <w:rsid w:val="00EA58BE"/>
    <w:rsid w:val="00EA6657"/>
    <w:rsid w:val="00EA72C0"/>
    <w:rsid w:val="00EA7458"/>
    <w:rsid w:val="00EA7765"/>
    <w:rsid w:val="00EB013D"/>
    <w:rsid w:val="00EB04B3"/>
    <w:rsid w:val="00EB0F75"/>
    <w:rsid w:val="00EB165A"/>
    <w:rsid w:val="00EB1AD6"/>
    <w:rsid w:val="00EB2992"/>
    <w:rsid w:val="00EB322B"/>
    <w:rsid w:val="00EB4491"/>
    <w:rsid w:val="00EB49D3"/>
    <w:rsid w:val="00EB4BB1"/>
    <w:rsid w:val="00EB5A9B"/>
    <w:rsid w:val="00EB5AB9"/>
    <w:rsid w:val="00EB5ABB"/>
    <w:rsid w:val="00EB5ED6"/>
    <w:rsid w:val="00EB6182"/>
    <w:rsid w:val="00EB7867"/>
    <w:rsid w:val="00EC0B31"/>
    <w:rsid w:val="00EC0C0A"/>
    <w:rsid w:val="00EC1BAC"/>
    <w:rsid w:val="00EC230A"/>
    <w:rsid w:val="00EC27E9"/>
    <w:rsid w:val="00EC2A3B"/>
    <w:rsid w:val="00EC3C47"/>
    <w:rsid w:val="00EC4FB8"/>
    <w:rsid w:val="00EC5633"/>
    <w:rsid w:val="00EC5C26"/>
    <w:rsid w:val="00EC60FB"/>
    <w:rsid w:val="00EC6130"/>
    <w:rsid w:val="00EC62AF"/>
    <w:rsid w:val="00EC6346"/>
    <w:rsid w:val="00EC732C"/>
    <w:rsid w:val="00EC7E26"/>
    <w:rsid w:val="00ED03F2"/>
    <w:rsid w:val="00ED0948"/>
    <w:rsid w:val="00ED2992"/>
    <w:rsid w:val="00ED3AAB"/>
    <w:rsid w:val="00ED40E5"/>
    <w:rsid w:val="00ED479D"/>
    <w:rsid w:val="00ED6513"/>
    <w:rsid w:val="00ED6F26"/>
    <w:rsid w:val="00ED73F5"/>
    <w:rsid w:val="00ED759F"/>
    <w:rsid w:val="00ED78D7"/>
    <w:rsid w:val="00ED7CF4"/>
    <w:rsid w:val="00EE054F"/>
    <w:rsid w:val="00EE175C"/>
    <w:rsid w:val="00EE19DB"/>
    <w:rsid w:val="00EE1A5F"/>
    <w:rsid w:val="00EE2218"/>
    <w:rsid w:val="00EE2495"/>
    <w:rsid w:val="00EE257D"/>
    <w:rsid w:val="00EE2DD2"/>
    <w:rsid w:val="00EE35B8"/>
    <w:rsid w:val="00EE40E7"/>
    <w:rsid w:val="00EE445F"/>
    <w:rsid w:val="00EE4977"/>
    <w:rsid w:val="00EE49AB"/>
    <w:rsid w:val="00EE4FCE"/>
    <w:rsid w:val="00EE5DB9"/>
    <w:rsid w:val="00EE65D3"/>
    <w:rsid w:val="00EE68A8"/>
    <w:rsid w:val="00EE6EFD"/>
    <w:rsid w:val="00EE72BF"/>
    <w:rsid w:val="00EE79A3"/>
    <w:rsid w:val="00EE7A87"/>
    <w:rsid w:val="00EE7E83"/>
    <w:rsid w:val="00EF07A5"/>
    <w:rsid w:val="00EF15EA"/>
    <w:rsid w:val="00EF2BCF"/>
    <w:rsid w:val="00EF325D"/>
    <w:rsid w:val="00EF32C8"/>
    <w:rsid w:val="00EF334F"/>
    <w:rsid w:val="00EF36A3"/>
    <w:rsid w:val="00EF3813"/>
    <w:rsid w:val="00EF3A05"/>
    <w:rsid w:val="00EF3CBB"/>
    <w:rsid w:val="00EF43C4"/>
    <w:rsid w:val="00EF45A9"/>
    <w:rsid w:val="00EF4D72"/>
    <w:rsid w:val="00EF50D2"/>
    <w:rsid w:val="00EF54DB"/>
    <w:rsid w:val="00EF5FD4"/>
    <w:rsid w:val="00EF6D5A"/>
    <w:rsid w:val="00EF705A"/>
    <w:rsid w:val="00EF7154"/>
    <w:rsid w:val="00EF77C5"/>
    <w:rsid w:val="00F01AD2"/>
    <w:rsid w:val="00F0275C"/>
    <w:rsid w:val="00F02A87"/>
    <w:rsid w:val="00F0362D"/>
    <w:rsid w:val="00F050E7"/>
    <w:rsid w:val="00F051FB"/>
    <w:rsid w:val="00F0623E"/>
    <w:rsid w:val="00F06E9B"/>
    <w:rsid w:val="00F070DB"/>
    <w:rsid w:val="00F07128"/>
    <w:rsid w:val="00F077B2"/>
    <w:rsid w:val="00F07B15"/>
    <w:rsid w:val="00F100B2"/>
    <w:rsid w:val="00F101C5"/>
    <w:rsid w:val="00F11CC4"/>
    <w:rsid w:val="00F1256D"/>
    <w:rsid w:val="00F126DB"/>
    <w:rsid w:val="00F12D11"/>
    <w:rsid w:val="00F138A7"/>
    <w:rsid w:val="00F14E62"/>
    <w:rsid w:val="00F15902"/>
    <w:rsid w:val="00F15D9E"/>
    <w:rsid w:val="00F1707E"/>
    <w:rsid w:val="00F17366"/>
    <w:rsid w:val="00F17DEC"/>
    <w:rsid w:val="00F203CE"/>
    <w:rsid w:val="00F206E4"/>
    <w:rsid w:val="00F20F8C"/>
    <w:rsid w:val="00F21162"/>
    <w:rsid w:val="00F227DD"/>
    <w:rsid w:val="00F22E7F"/>
    <w:rsid w:val="00F23605"/>
    <w:rsid w:val="00F24A2F"/>
    <w:rsid w:val="00F24AE1"/>
    <w:rsid w:val="00F25C15"/>
    <w:rsid w:val="00F26304"/>
    <w:rsid w:val="00F273D6"/>
    <w:rsid w:val="00F276FF"/>
    <w:rsid w:val="00F30183"/>
    <w:rsid w:val="00F30476"/>
    <w:rsid w:val="00F308BF"/>
    <w:rsid w:val="00F311DB"/>
    <w:rsid w:val="00F313FC"/>
    <w:rsid w:val="00F31648"/>
    <w:rsid w:val="00F3229F"/>
    <w:rsid w:val="00F32558"/>
    <w:rsid w:val="00F33472"/>
    <w:rsid w:val="00F339AD"/>
    <w:rsid w:val="00F33C8E"/>
    <w:rsid w:val="00F34287"/>
    <w:rsid w:val="00F34C2F"/>
    <w:rsid w:val="00F34E55"/>
    <w:rsid w:val="00F34F46"/>
    <w:rsid w:val="00F359B5"/>
    <w:rsid w:val="00F35A33"/>
    <w:rsid w:val="00F364F2"/>
    <w:rsid w:val="00F36EC0"/>
    <w:rsid w:val="00F36FC9"/>
    <w:rsid w:val="00F370B0"/>
    <w:rsid w:val="00F37562"/>
    <w:rsid w:val="00F37935"/>
    <w:rsid w:val="00F40036"/>
    <w:rsid w:val="00F401A8"/>
    <w:rsid w:val="00F403FE"/>
    <w:rsid w:val="00F40505"/>
    <w:rsid w:val="00F431C0"/>
    <w:rsid w:val="00F4320E"/>
    <w:rsid w:val="00F436D3"/>
    <w:rsid w:val="00F4397B"/>
    <w:rsid w:val="00F43C48"/>
    <w:rsid w:val="00F43E84"/>
    <w:rsid w:val="00F444B5"/>
    <w:rsid w:val="00F444E6"/>
    <w:rsid w:val="00F4456D"/>
    <w:rsid w:val="00F44954"/>
    <w:rsid w:val="00F44B1B"/>
    <w:rsid w:val="00F46491"/>
    <w:rsid w:val="00F466B6"/>
    <w:rsid w:val="00F46B8B"/>
    <w:rsid w:val="00F507FA"/>
    <w:rsid w:val="00F51130"/>
    <w:rsid w:val="00F51886"/>
    <w:rsid w:val="00F51C71"/>
    <w:rsid w:val="00F52081"/>
    <w:rsid w:val="00F52218"/>
    <w:rsid w:val="00F5252B"/>
    <w:rsid w:val="00F52F6E"/>
    <w:rsid w:val="00F53213"/>
    <w:rsid w:val="00F5356A"/>
    <w:rsid w:val="00F5359E"/>
    <w:rsid w:val="00F565BD"/>
    <w:rsid w:val="00F56ECA"/>
    <w:rsid w:val="00F56F51"/>
    <w:rsid w:val="00F56F8C"/>
    <w:rsid w:val="00F5745A"/>
    <w:rsid w:val="00F578F9"/>
    <w:rsid w:val="00F57E8C"/>
    <w:rsid w:val="00F60845"/>
    <w:rsid w:val="00F612E3"/>
    <w:rsid w:val="00F61517"/>
    <w:rsid w:val="00F617A9"/>
    <w:rsid w:val="00F62BAE"/>
    <w:rsid w:val="00F64240"/>
    <w:rsid w:val="00F642AB"/>
    <w:rsid w:val="00F649E1"/>
    <w:rsid w:val="00F64E77"/>
    <w:rsid w:val="00F652F2"/>
    <w:rsid w:val="00F70A88"/>
    <w:rsid w:val="00F71906"/>
    <w:rsid w:val="00F73041"/>
    <w:rsid w:val="00F736DC"/>
    <w:rsid w:val="00F737D4"/>
    <w:rsid w:val="00F74ED9"/>
    <w:rsid w:val="00F74FD2"/>
    <w:rsid w:val="00F756D0"/>
    <w:rsid w:val="00F76313"/>
    <w:rsid w:val="00F763CE"/>
    <w:rsid w:val="00F80CE2"/>
    <w:rsid w:val="00F811E2"/>
    <w:rsid w:val="00F81C99"/>
    <w:rsid w:val="00F821C7"/>
    <w:rsid w:val="00F82EEE"/>
    <w:rsid w:val="00F8325F"/>
    <w:rsid w:val="00F83495"/>
    <w:rsid w:val="00F84143"/>
    <w:rsid w:val="00F84A2E"/>
    <w:rsid w:val="00F86127"/>
    <w:rsid w:val="00F86F80"/>
    <w:rsid w:val="00F87063"/>
    <w:rsid w:val="00F87FCC"/>
    <w:rsid w:val="00F900BF"/>
    <w:rsid w:val="00F9098D"/>
    <w:rsid w:val="00F90A03"/>
    <w:rsid w:val="00F90D66"/>
    <w:rsid w:val="00F918E1"/>
    <w:rsid w:val="00F927DB"/>
    <w:rsid w:val="00F93C85"/>
    <w:rsid w:val="00F93D44"/>
    <w:rsid w:val="00F94AF1"/>
    <w:rsid w:val="00F95289"/>
    <w:rsid w:val="00F968CA"/>
    <w:rsid w:val="00F96AF0"/>
    <w:rsid w:val="00F970E1"/>
    <w:rsid w:val="00FA068B"/>
    <w:rsid w:val="00FA0E64"/>
    <w:rsid w:val="00FA16BA"/>
    <w:rsid w:val="00FA201C"/>
    <w:rsid w:val="00FA4B3F"/>
    <w:rsid w:val="00FA55EF"/>
    <w:rsid w:val="00FA572E"/>
    <w:rsid w:val="00FA5C60"/>
    <w:rsid w:val="00FA5DD4"/>
    <w:rsid w:val="00FA5E72"/>
    <w:rsid w:val="00FA6988"/>
    <w:rsid w:val="00FA6F25"/>
    <w:rsid w:val="00FA74DF"/>
    <w:rsid w:val="00FB1178"/>
    <w:rsid w:val="00FB166C"/>
    <w:rsid w:val="00FB169D"/>
    <w:rsid w:val="00FB20E3"/>
    <w:rsid w:val="00FB330C"/>
    <w:rsid w:val="00FB3839"/>
    <w:rsid w:val="00FB38C8"/>
    <w:rsid w:val="00FB3B05"/>
    <w:rsid w:val="00FB4620"/>
    <w:rsid w:val="00FB4866"/>
    <w:rsid w:val="00FB4F43"/>
    <w:rsid w:val="00FB50B2"/>
    <w:rsid w:val="00FB5829"/>
    <w:rsid w:val="00FB689C"/>
    <w:rsid w:val="00FB6FA7"/>
    <w:rsid w:val="00FB702F"/>
    <w:rsid w:val="00FB7DAA"/>
    <w:rsid w:val="00FC004B"/>
    <w:rsid w:val="00FC0D0E"/>
    <w:rsid w:val="00FC0D49"/>
    <w:rsid w:val="00FC0EB7"/>
    <w:rsid w:val="00FC1B80"/>
    <w:rsid w:val="00FC1FCB"/>
    <w:rsid w:val="00FC27DD"/>
    <w:rsid w:val="00FC2ABF"/>
    <w:rsid w:val="00FC2BA4"/>
    <w:rsid w:val="00FC326F"/>
    <w:rsid w:val="00FC33A6"/>
    <w:rsid w:val="00FC33CE"/>
    <w:rsid w:val="00FC39E2"/>
    <w:rsid w:val="00FC3D71"/>
    <w:rsid w:val="00FC53DC"/>
    <w:rsid w:val="00FC5FD6"/>
    <w:rsid w:val="00FC6F85"/>
    <w:rsid w:val="00FC6FA4"/>
    <w:rsid w:val="00FC75D6"/>
    <w:rsid w:val="00FC7A1D"/>
    <w:rsid w:val="00FC7D91"/>
    <w:rsid w:val="00FD14EB"/>
    <w:rsid w:val="00FD178B"/>
    <w:rsid w:val="00FD2CE2"/>
    <w:rsid w:val="00FD55D9"/>
    <w:rsid w:val="00FD5D0C"/>
    <w:rsid w:val="00FD72D8"/>
    <w:rsid w:val="00FD73AE"/>
    <w:rsid w:val="00FD7B1A"/>
    <w:rsid w:val="00FD7D7D"/>
    <w:rsid w:val="00FE144E"/>
    <w:rsid w:val="00FE1ED4"/>
    <w:rsid w:val="00FE333E"/>
    <w:rsid w:val="00FE37EE"/>
    <w:rsid w:val="00FE3D83"/>
    <w:rsid w:val="00FE4624"/>
    <w:rsid w:val="00FE5E91"/>
    <w:rsid w:val="00FE6A96"/>
    <w:rsid w:val="00FE7B37"/>
    <w:rsid w:val="00FF0426"/>
    <w:rsid w:val="00FF0DEB"/>
    <w:rsid w:val="00FF11BE"/>
    <w:rsid w:val="00FF171D"/>
    <w:rsid w:val="00FF1C1D"/>
    <w:rsid w:val="00FF20BB"/>
    <w:rsid w:val="00FF29C7"/>
    <w:rsid w:val="00FF5999"/>
    <w:rsid w:val="00FF5B28"/>
    <w:rsid w:val="00FF64DB"/>
    <w:rsid w:val="00FF69FA"/>
    <w:rsid w:val="00FF6EFD"/>
    <w:rsid w:val="00FF7D8A"/>
    <w:rsid w:val="02CC3DCA"/>
    <w:rsid w:val="02FE76EF"/>
    <w:rsid w:val="03F033B0"/>
    <w:rsid w:val="057C1D39"/>
    <w:rsid w:val="05891259"/>
    <w:rsid w:val="08633479"/>
    <w:rsid w:val="0C0E2F4B"/>
    <w:rsid w:val="0CB51572"/>
    <w:rsid w:val="0E3D4337"/>
    <w:rsid w:val="0E4D31E3"/>
    <w:rsid w:val="10DC2AA3"/>
    <w:rsid w:val="10FA7C8C"/>
    <w:rsid w:val="130B198F"/>
    <w:rsid w:val="16A918E4"/>
    <w:rsid w:val="17D966D6"/>
    <w:rsid w:val="1BC71D3B"/>
    <w:rsid w:val="1C59115B"/>
    <w:rsid w:val="1FB23E60"/>
    <w:rsid w:val="22C5630B"/>
    <w:rsid w:val="23EC0BA6"/>
    <w:rsid w:val="24701A48"/>
    <w:rsid w:val="268B0052"/>
    <w:rsid w:val="27743C90"/>
    <w:rsid w:val="29CA2459"/>
    <w:rsid w:val="2A4125A1"/>
    <w:rsid w:val="2B271A58"/>
    <w:rsid w:val="2B6304A7"/>
    <w:rsid w:val="2BD4504B"/>
    <w:rsid w:val="2CBF4552"/>
    <w:rsid w:val="2CF6734C"/>
    <w:rsid w:val="2D663463"/>
    <w:rsid w:val="2EF96EE4"/>
    <w:rsid w:val="33817008"/>
    <w:rsid w:val="36254FE4"/>
    <w:rsid w:val="372F61E0"/>
    <w:rsid w:val="38942371"/>
    <w:rsid w:val="39322FCA"/>
    <w:rsid w:val="3AB90991"/>
    <w:rsid w:val="3B706131"/>
    <w:rsid w:val="3E6F041E"/>
    <w:rsid w:val="4275481E"/>
    <w:rsid w:val="428B617A"/>
    <w:rsid w:val="433D7BDC"/>
    <w:rsid w:val="437E1813"/>
    <w:rsid w:val="45BD47FC"/>
    <w:rsid w:val="45CC5FB2"/>
    <w:rsid w:val="46B75BA8"/>
    <w:rsid w:val="48C97955"/>
    <w:rsid w:val="49880C8F"/>
    <w:rsid w:val="49FA5194"/>
    <w:rsid w:val="4A8835F7"/>
    <w:rsid w:val="4B592E71"/>
    <w:rsid w:val="51181DC1"/>
    <w:rsid w:val="51D50FD0"/>
    <w:rsid w:val="52274B10"/>
    <w:rsid w:val="52B9239A"/>
    <w:rsid w:val="54BD78FD"/>
    <w:rsid w:val="58A86DDE"/>
    <w:rsid w:val="59154AD7"/>
    <w:rsid w:val="594372E0"/>
    <w:rsid w:val="5ADF548D"/>
    <w:rsid w:val="5D5C60B4"/>
    <w:rsid w:val="63F04A69"/>
    <w:rsid w:val="64654A97"/>
    <w:rsid w:val="66A50B1E"/>
    <w:rsid w:val="67B2063C"/>
    <w:rsid w:val="67C97AC3"/>
    <w:rsid w:val="67E30EC1"/>
    <w:rsid w:val="6A4E3B2B"/>
    <w:rsid w:val="6B481C3B"/>
    <w:rsid w:val="6C1331A3"/>
    <w:rsid w:val="6CA84BC1"/>
    <w:rsid w:val="6D3E4756"/>
    <w:rsid w:val="6FC523EB"/>
    <w:rsid w:val="72895F2E"/>
    <w:rsid w:val="72C02EBE"/>
    <w:rsid w:val="72C507AD"/>
    <w:rsid w:val="72D028D8"/>
    <w:rsid w:val="745D47C3"/>
    <w:rsid w:val="76AC3757"/>
    <w:rsid w:val="7CB93F8E"/>
    <w:rsid w:val="7CF66B46"/>
    <w:rsid w:val="7DBD28B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98" w:name="Normal"/>
    <w:lsdException w:qFormat="1" w:unhideWhenUsed="0" w:uiPriority="0" w:name="heading 1"/>
    <w:lsdException w:qFormat="1" w:unhideWhenUsed="0" w:uiPriority="0" w:name="heading 2"/>
    <w:lsdException w:qFormat="1" w:unhideWhenUsed="0" w:uiPriority="0" w:name="heading 3"/>
    <w:lsdException w:qFormat="1" w:unhideWhenUsed="0" w:uiPriority="0" w:name="heading 4"/>
    <w:lsdException w:qFormat="1" w:unhideWhenUsed="0" w:uiPriority="0" w:name="heading 5"/>
    <w:lsdException w:qFormat="1" w:uiPriority="0" w:name="heading 6"/>
    <w:lsdException w:qFormat="1" w:uiPriority="0" w:name="heading 7"/>
    <w:lsdException w:qFormat="1" w:uiPriority="0" w:name="heading 8"/>
    <w:lsdException w:qFormat="1" w:uiPriority="0" w:name="heading 9"/>
    <w:lsdException w:unhideWhenUsed="0" w:uiPriority="98" w:name="index 1"/>
    <w:lsdException w:unhideWhenUsed="0" w:uiPriority="98" w:name="index 2"/>
    <w:lsdException w:unhideWhenUsed="0" w:uiPriority="98" w:name="index 3"/>
    <w:lsdException w:unhideWhenUsed="0" w:uiPriority="98" w:name="index 4"/>
    <w:lsdException w:unhideWhenUsed="0" w:uiPriority="98" w:name="index 5"/>
    <w:lsdException w:unhideWhenUsed="0" w:uiPriority="98" w:name="index 6"/>
    <w:lsdException w:unhideWhenUsed="0" w:uiPriority="98" w:name="index 7"/>
    <w:lsdException w:unhideWhenUsed="0" w:uiPriority="98" w:name="index 8"/>
    <w:lsdException w:qFormat="1" w:unhideWhenUsed="0" w:uiPriority="98" w:name="index 9"/>
    <w:lsdException w:qFormat="1" w:unhideWhenUsed="0" w:uiPriority="39" w:semiHidden="0" w:name="toc 1"/>
    <w:lsdException w:qFormat="1" w:unhideWhenUsed="0" w:uiPriority="39" w:semiHidden="0" w:name="toc 2"/>
    <w:lsdException w:qFormat="1" w:unhideWhenUsed="0" w:uiPriority="39" w:name="toc 3"/>
    <w:lsdException w:unhideWhenUsed="0" w:uiPriority="98" w:name="toc 4"/>
    <w:lsdException w:unhideWhenUsed="0" w:uiPriority="98" w:name="toc 5"/>
    <w:lsdException w:unhideWhenUsed="0" w:uiPriority="98" w:name="toc 6"/>
    <w:lsdException w:unhideWhenUsed="0" w:uiPriority="98" w:name="toc 7"/>
    <w:lsdException w:unhideWhenUsed="0" w:uiPriority="98" w:name="toc 8"/>
    <w:lsdException w:unhideWhenUsed="0" w:uiPriority="98" w:name="toc 9"/>
    <w:lsdException w:unhideWhenUsed="0" w:uiPriority="98" w:name="Normal Indent"/>
    <w:lsdException w:unhideWhenUsed="0" w:uiPriority="98" w:name="footnote text"/>
    <w:lsdException w:qFormat="1" w:unhideWhenUsed="0" w:uiPriority="99" w:semiHidden="0" w:name="annotation text"/>
    <w:lsdException w:qFormat="1" w:unhideWhenUsed="0" w:uiPriority="0" w:name="header"/>
    <w:lsdException w:qFormat="1" w:unhideWhenUsed="0" w:uiPriority="0" w:name="footer"/>
    <w:lsdException w:unhideWhenUsed="0" w:uiPriority="98" w:name="index heading"/>
    <w:lsdException w:qFormat="1" w:unhideWhenUsed="0" w:uiPriority="98" w:name="caption"/>
    <w:lsdException w:unhideWhenUsed="0" w:uiPriority="98" w:name="table of figures"/>
    <w:lsdException w:unhideWhenUsed="0" w:uiPriority="98" w:name="envelope address"/>
    <w:lsdException w:unhideWhenUsed="0" w:uiPriority="98" w:name="envelope return"/>
    <w:lsdException w:unhideWhenUsed="0" w:uiPriority="98" w:name="footnote reference"/>
    <w:lsdException w:qFormat="1" w:unhideWhenUsed="0" w:uiPriority="98" w:name="annotation reference"/>
    <w:lsdException w:unhideWhenUsed="0" w:uiPriority="98" w:name="line number"/>
    <w:lsdException w:qFormat="1" w:unhideWhenUsed="0" w:uiPriority="0" w:name="page number"/>
    <w:lsdException w:unhideWhenUsed="0" w:uiPriority="98" w:name="endnote reference"/>
    <w:lsdException w:unhideWhenUsed="0" w:uiPriority="98" w:name="endnote text"/>
    <w:lsdException w:unhideWhenUsed="0" w:uiPriority="98" w:name="table of authorities"/>
    <w:lsdException w:unhideWhenUsed="0" w:uiPriority="98" w:name="macro"/>
    <w:lsdException w:unhideWhenUsed="0" w:uiPriority="98" w:name="toa heading"/>
    <w:lsdException w:qFormat="1" w:unhideWhenUsed="0" w:uiPriority="0" w:semiHidden="0" w:name="List"/>
    <w:lsdException w:unhideWhenUsed="0" w:uiPriority="98" w:name="List Bullet"/>
    <w:lsdException w:unhideWhenUsed="0" w:uiPriority="98" w:name="List Number"/>
    <w:lsdException w:unhideWhenUsed="0" w:uiPriority="98" w:name="List 2"/>
    <w:lsdException w:unhideWhenUsed="0" w:uiPriority="98" w:name="List 3"/>
    <w:lsdException w:unhideWhenUsed="0" w:uiPriority="98" w:name="List 4"/>
    <w:lsdException w:unhideWhenUsed="0" w:uiPriority="98" w:name="List 5"/>
    <w:lsdException w:unhideWhenUsed="0" w:uiPriority="98" w:name="List Bullet 2"/>
    <w:lsdException w:unhideWhenUsed="0" w:uiPriority="98" w:name="List Bullet 3"/>
    <w:lsdException w:unhideWhenUsed="0" w:uiPriority="98" w:name="List Bullet 4"/>
    <w:lsdException w:unhideWhenUsed="0" w:uiPriority="98" w:name="List Bullet 5"/>
    <w:lsdException w:unhideWhenUsed="0" w:uiPriority="98" w:name="List Number 2"/>
    <w:lsdException w:unhideWhenUsed="0" w:uiPriority="98" w:name="List Number 3"/>
    <w:lsdException w:unhideWhenUsed="0" w:uiPriority="98" w:name="List Number 4"/>
    <w:lsdException w:unhideWhenUsed="0" w:uiPriority="98" w:name="List Number 5"/>
    <w:lsdException w:qFormat="1" w:unhideWhenUsed="0" w:uiPriority="0" w:name="Title"/>
    <w:lsdException w:unhideWhenUsed="0" w:uiPriority="98" w:name="Closing"/>
    <w:lsdException w:unhideWhenUsed="0" w:uiPriority="98" w:name="Signature"/>
    <w:lsdException w:qFormat="1" w:uiPriority="1" w:name="Default Paragraph Font"/>
    <w:lsdException w:qFormat="1" w:unhideWhenUsed="0" w:uiPriority="98" w:name="Body Text"/>
    <w:lsdException w:qFormat="1" w:unhideWhenUsed="0" w:uiPriority="0" w:name="Body Text Indent"/>
    <w:lsdException w:unhideWhenUsed="0" w:uiPriority="98" w:name="List Continue"/>
    <w:lsdException w:unhideWhenUsed="0" w:uiPriority="98" w:name="List Continue 2"/>
    <w:lsdException w:unhideWhenUsed="0" w:uiPriority="98" w:name="List Continue 3"/>
    <w:lsdException w:unhideWhenUsed="0" w:uiPriority="98" w:name="List Continue 4"/>
    <w:lsdException w:unhideWhenUsed="0" w:uiPriority="98" w:name="List Continue 5"/>
    <w:lsdException w:qFormat="1" w:unhideWhenUsed="0" w:uiPriority="99" w:name="Message Header"/>
    <w:lsdException w:qFormat="1" w:unhideWhenUsed="0" w:uiPriority="98" w:semiHidden="0" w:name="Subtitle"/>
    <w:lsdException w:unhideWhenUsed="0" w:uiPriority="98" w:name="Salutation"/>
    <w:lsdException w:qFormat="1" w:unhideWhenUsed="0" w:uiPriority="0" w:name="Date"/>
    <w:lsdException w:unhideWhenUsed="0" w:uiPriority="98" w:name="Body Text First Indent"/>
    <w:lsdException w:qFormat="1" w:unhideWhenUsed="0" w:uiPriority="0" w:semiHidden="0" w:name="Body Text First Indent 2"/>
    <w:lsdException w:unhideWhenUsed="0" w:uiPriority="98" w:name="Note Heading"/>
    <w:lsdException w:unhideWhenUsed="0" w:uiPriority="98" w:name="Body Text 2"/>
    <w:lsdException w:unhideWhenUsed="0" w:uiPriority="98" w:name="Body Text 3"/>
    <w:lsdException w:qFormat="1" w:unhideWhenUsed="0" w:uiPriority="0" w:name="Body Text Indent 2"/>
    <w:lsdException w:qFormat="1" w:unhideWhenUsed="0" w:uiPriority="0" w:name="Body Text Indent 3"/>
    <w:lsdException w:unhideWhenUsed="0" w:uiPriority="98" w:name="Block Text"/>
    <w:lsdException w:qFormat="1" w:unhideWhenUsed="0" w:uiPriority="99" w:semiHidden="0" w:name="Hyperlink"/>
    <w:lsdException w:qFormat="1" w:unhideWhenUsed="0" w:uiPriority="98" w:name="FollowedHyperlink"/>
    <w:lsdException w:qFormat="1" w:unhideWhenUsed="0" w:uiPriority="98" w:name="Strong"/>
    <w:lsdException w:qFormat="1" w:unhideWhenUsed="0" w:uiPriority="98" w:name="Emphasis"/>
    <w:lsdException w:qFormat="1" w:unhideWhenUsed="0" w:uiPriority="0" w:name="Document Map"/>
    <w:lsdException w:qFormat="1" w:unhideWhenUsed="0" w:uiPriority="0" w:semiHidden="0" w:name="Plain Text"/>
    <w:lsdException w:qFormat="1" w:unhideWhenUsed="0" w:uiPriority="99" w:name="E-mail Signature"/>
    <w:lsdException w:qFormat="1" w:unhideWhenUsed="0" w:uiPriority="0" w:name="Normal (Web)"/>
    <w:lsdException w:unhideWhenUsed="0" w:uiPriority="98" w:name="HTML Acronym"/>
    <w:lsdException w:unhideWhenUsed="0" w:uiPriority="98" w:name="HTML Address"/>
    <w:lsdException w:unhideWhenUsed="0" w:uiPriority="98" w:name="HTML Cite"/>
    <w:lsdException w:unhideWhenUsed="0" w:uiPriority="98" w:name="HTML Code"/>
    <w:lsdException w:unhideWhenUsed="0" w:uiPriority="98" w:name="HTML Definition"/>
    <w:lsdException w:uiPriority="0" w:name="HTML Keyboard"/>
    <w:lsdException w:unhideWhenUsed="0" w:uiPriority="98" w:name="HTML Preformatted"/>
    <w:lsdException w:unhideWhenUsed="0" w:uiPriority="98" w:name="HTML Sample"/>
    <w:lsdException w:unhideWhenUsed="0" w:uiPriority="98" w:name="HTML Typewriter"/>
    <w:lsdException w:unhideWhenUsed="0" w:uiPriority="98" w:name="HTML Variable"/>
    <w:lsdException w:qFormat="1" w:uiPriority="99" w:name="Normal Table"/>
    <w:lsdException w:qFormat="1" w:unhideWhenUsed="0" w:uiPriority="98"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8"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semiHidden/>
    <w:qFormat/>
    <w:uiPriority w:val="98"/>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67"/>
    <w:semiHidden/>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69"/>
    <w:semiHidden/>
    <w:qFormat/>
    <w:uiPriority w:val="0"/>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4">
    <w:name w:val="heading 3"/>
    <w:basedOn w:val="1"/>
    <w:next w:val="1"/>
    <w:link w:val="43"/>
    <w:semiHidden/>
    <w:qFormat/>
    <w:uiPriority w:val="0"/>
    <w:pPr>
      <w:keepNext/>
      <w:keepLines/>
      <w:spacing w:line="416" w:lineRule="auto"/>
      <w:outlineLvl w:val="2"/>
    </w:pPr>
    <w:rPr>
      <w:b/>
      <w:bCs/>
      <w:sz w:val="32"/>
      <w:szCs w:val="32"/>
    </w:rPr>
  </w:style>
  <w:style w:type="paragraph" w:styleId="5">
    <w:name w:val="heading 4"/>
    <w:basedOn w:val="1"/>
    <w:next w:val="1"/>
    <w:link w:val="77"/>
    <w:semiHidden/>
    <w:qFormat/>
    <w:uiPriority w:val="0"/>
    <w:pPr>
      <w:keepNext/>
      <w:keepLines/>
      <w:spacing w:line="360" w:lineRule="auto"/>
      <w:outlineLvl w:val="3"/>
    </w:pPr>
    <w:rPr>
      <w:rFonts w:ascii="Arial" w:hAnsi="Arial"/>
      <w:b/>
      <w:bCs/>
      <w:szCs w:val="28"/>
    </w:rPr>
  </w:style>
  <w:style w:type="paragraph" w:styleId="6">
    <w:name w:val="heading 5"/>
    <w:basedOn w:val="1"/>
    <w:next w:val="1"/>
    <w:link w:val="78"/>
    <w:semiHidden/>
    <w:qFormat/>
    <w:uiPriority w:val="0"/>
    <w:pPr>
      <w:keepNext/>
      <w:numPr>
        <w:ilvl w:val="0"/>
        <w:numId w:val="1"/>
      </w:numPr>
      <w:autoSpaceDE w:val="0"/>
      <w:autoSpaceDN w:val="0"/>
      <w:adjustRightInd w:val="0"/>
      <w:spacing w:line="465" w:lineRule="exact"/>
      <w:jc w:val="left"/>
      <w:outlineLvl w:val="4"/>
    </w:pPr>
    <w:rPr>
      <w:rFonts w:ascii="宋体" w:hAnsi="宋体"/>
      <w:bCs/>
      <w:iCs/>
      <w:color w:val="000000"/>
      <w:kern w:val="0"/>
      <w:sz w:val="28"/>
      <w:szCs w:val="28"/>
    </w:rPr>
  </w:style>
  <w:style w:type="character" w:default="1" w:styleId="32">
    <w:name w:val="Default Paragraph Font"/>
    <w:semiHidden/>
    <w:unhideWhenUsed/>
    <w:qFormat/>
    <w:uiPriority w:val="1"/>
  </w:style>
  <w:style w:type="table" w:default="1" w:styleId="30">
    <w:name w:val="Normal Table"/>
    <w:semiHidden/>
    <w:unhideWhenUsed/>
    <w:qFormat/>
    <w:uiPriority w:val="99"/>
    <w:tblPr>
      <w:tblCellMar>
        <w:top w:w="0" w:type="dxa"/>
        <w:left w:w="108" w:type="dxa"/>
        <w:bottom w:w="0" w:type="dxa"/>
        <w:right w:w="108" w:type="dxa"/>
      </w:tblCellMar>
    </w:tblPr>
  </w:style>
  <w:style w:type="paragraph" w:styleId="7">
    <w:name w:val="E-mail Signature"/>
    <w:basedOn w:val="1"/>
    <w:link w:val="104"/>
    <w:semiHidden/>
    <w:qFormat/>
    <w:uiPriority w:val="99"/>
    <w:pPr>
      <w:spacing w:after="200" w:line="276" w:lineRule="auto"/>
      <w:jc w:val="left"/>
    </w:pPr>
    <w:rPr>
      <w:rFonts w:ascii="Calibri" w:hAnsi="Calibri"/>
      <w:kern w:val="0"/>
      <w:szCs w:val="21"/>
    </w:rPr>
  </w:style>
  <w:style w:type="paragraph" w:styleId="8">
    <w:name w:val="caption"/>
    <w:basedOn w:val="1"/>
    <w:next w:val="1"/>
    <w:semiHidden/>
    <w:qFormat/>
    <w:uiPriority w:val="98"/>
    <w:pPr>
      <w:spacing w:before="152" w:after="160"/>
    </w:pPr>
    <w:rPr>
      <w:rFonts w:ascii="Arial" w:hAnsi="Arial" w:eastAsia="黑体" w:cs="Arial"/>
      <w:sz w:val="20"/>
    </w:rPr>
  </w:style>
  <w:style w:type="paragraph" w:styleId="9">
    <w:name w:val="Document Map"/>
    <w:basedOn w:val="1"/>
    <w:link w:val="93"/>
    <w:semiHidden/>
    <w:qFormat/>
    <w:uiPriority w:val="0"/>
    <w:pPr>
      <w:adjustRightInd w:val="0"/>
      <w:spacing w:line="312" w:lineRule="atLeast"/>
      <w:textAlignment w:val="baseline"/>
    </w:pPr>
    <w:rPr>
      <w:rFonts w:ascii="宋体"/>
      <w:kern w:val="0"/>
      <w:sz w:val="18"/>
      <w:szCs w:val="18"/>
    </w:rPr>
  </w:style>
  <w:style w:type="paragraph" w:styleId="10">
    <w:name w:val="annotation text"/>
    <w:basedOn w:val="1"/>
    <w:link w:val="45"/>
    <w:qFormat/>
    <w:uiPriority w:val="99"/>
    <w:pPr>
      <w:jc w:val="left"/>
    </w:pPr>
  </w:style>
  <w:style w:type="paragraph" w:styleId="11">
    <w:name w:val="Body Text"/>
    <w:basedOn w:val="1"/>
    <w:link w:val="41"/>
    <w:semiHidden/>
    <w:qFormat/>
    <w:uiPriority w:val="98"/>
    <w:rPr>
      <w:rFonts w:ascii="仿宋_GB2312" w:eastAsia="仿宋_GB2312"/>
      <w:sz w:val="32"/>
    </w:rPr>
  </w:style>
  <w:style w:type="paragraph" w:styleId="12">
    <w:name w:val="Body Text Indent"/>
    <w:basedOn w:val="1"/>
    <w:link w:val="48"/>
    <w:semiHidden/>
    <w:qFormat/>
    <w:uiPriority w:val="0"/>
    <w:pPr>
      <w:spacing w:after="120"/>
      <w:ind w:left="420" w:leftChars="200"/>
    </w:pPr>
    <w:rPr>
      <w:rFonts w:ascii="Calibri" w:hAnsi="Calibri"/>
      <w:szCs w:val="22"/>
    </w:rPr>
  </w:style>
  <w:style w:type="paragraph" w:styleId="13">
    <w:name w:val="toc 3"/>
    <w:basedOn w:val="1"/>
    <w:next w:val="1"/>
    <w:semiHidden/>
    <w:qFormat/>
    <w:uiPriority w:val="39"/>
    <w:pPr>
      <w:adjustRightInd w:val="0"/>
      <w:spacing w:line="312" w:lineRule="atLeast"/>
      <w:ind w:left="840" w:leftChars="400"/>
      <w:textAlignment w:val="baseline"/>
    </w:pPr>
    <w:rPr>
      <w:kern w:val="0"/>
      <w:sz w:val="24"/>
    </w:rPr>
  </w:style>
  <w:style w:type="paragraph" w:styleId="14">
    <w:name w:val="Plain Text"/>
    <w:basedOn w:val="1"/>
    <w:link w:val="50"/>
    <w:qFormat/>
    <w:uiPriority w:val="0"/>
    <w:rPr>
      <w:rFonts w:ascii="宋体" w:hAnsi="Courier New"/>
    </w:rPr>
  </w:style>
  <w:style w:type="paragraph" w:styleId="15">
    <w:name w:val="Date"/>
    <w:basedOn w:val="1"/>
    <w:next w:val="1"/>
    <w:link w:val="87"/>
    <w:semiHidden/>
    <w:qFormat/>
    <w:uiPriority w:val="0"/>
    <w:pPr>
      <w:adjustRightInd w:val="0"/>
      <w:spacing w:line="312" w:lineRule="atLeast"/>
      <w:ind w:left="100" w:leftChars="2500"/>
      <w:textAlignment w:val="baseline"/>
    </w:pPr>
    <w:rPr>
      <w:kern w:val="0"/>
      <w:sz w:val="24"/>
    </w:rPr>
  </w:style>
  <w:style w:type="paragraph" w:styleId="16">
    <w:name w:val="Body Text Indent 2"/>
    <w:basedOn w:val="1"/>
    <w:link w:val="86"/>
    <w:semiHidden/>
    <w:qFormat/>
    <w:uiPriority w:val="0"/>
    <w:pPr>
      <w:adjustRightInd w:val="0"/>
      <w:spacing w:after="120" w:line="480" w:lineRule="auto"/>
      <w:ind w:left="420" w:leftChars="200"/>
      <w:textAlignment w:val="baseline"/>
    </w:pPr>
    <w:rPr>
      <w:kern w:val="0"/>
      <w:sz w:val="24"/>
    </w:rPr>
  </w:style>
  <w:style w:type="paragraph" w:styleId="17">
    <w:name w:val="Balloon Text"/>
    <w:basedOn w:val="1"/>
    <w:link w:val="47"/>
    <w:semiHidden/>
    <w:qFormat/>
    <w:uiPriority w:val="0"/>
    <w:rPr>
      <w:sz w:val="18"/>
      <w:szCs w:val="18"/>
    </w:rPr>
  </w:style>
  <w:style w:type="paragraph" w:styleId="18">
    <w:name w:val="footer"/>
    <w:basedOn w:val="1"/>
    <w:link w:val="42"/>
    <w:semiHidden/>
    <w:qFormat/>
    <w:uiPriority w:val="0"/>
    <w:pPr>
      <w:tabs>
        <w:tab w:val="center" w:pos="4153"/>
        <w:tab w:val="right" w:pos="8306"/>
      </w:tabs>
      <w:snapToGrid w:val="0"/>
      <w:jc w:val="left"/>
    </w:pPr>
    <w:rPr>
      <w:sz w:val="18"/>
      <w:szCs w:val="18"/>
    </w:rPr>
  </w:style>
  <w:style w:type="paragraph" w:styleId="19">
    <w:name w:val="header"/>
    <w:basedOn w:val="1"/>
    <w:link w:val="52"/>
    <w:semiHidden/>
    <w:qFormat/>
    <w:uiPriority w:val="0"/>
    <w:pPr>
      <w:pBdr>
        <w:bottom w:val="single" w:color="auto" w:sz="6" w:space="1"/>
      </w:pBdr>
      <w:tabs>
        <w:tab w:val="center" w:pos="4153"/>
        <w:tab w:val="right" w:pos="8306"/>
      </w:tabs>
      <w:snapToGrid w:val="0"/>
      <w:jc w:val="center"/>
    </w:pPr>
    <w:rPr>
      <w:sz w:val="18"/>
      <w:szCs w:val="18"/>
    </w:rPr>
  </w:style>
  <w:style w:type="paragraph" w:styleId="20">
    <w:name w:val="toc 1"/>
    <w:basedOn w:val="1"/>
    <w:next w:val="1"/>
    <w:qFormat/>
    <w:uiPriority w:val="39"/>
    <w:pPr>
      <w:tabs>
        <w:tab w:val="right" w:leader="dot" w:pos="8729"/>
      </w:tabs>
      <w:spacing w:line="480" w:lineRule="auto"/>
      <w:jc w:val="left"/>
    </w:pPr>
    <w:rPr>
      <w:rFonts w:ascii="宋体" w:hAnsi="宋体"/>
      <w:b/>
      <w:caps/>
      <w:sz w:val="28"/>
      <w:szCs w:val="28"/>
    </w:rPr>
  </w:style>
  <w:style w:type="paragraph" w:styleId="21">
    <w:name w:val="List"/>
    <w:basedOn w:val="1"/>
    <w:qFormat/>
    <w:uiPriority w:val="0"/>
    <w:pPr>
      <w:ind w:left="200" w:hanging="200" w:hangingChars="200"/>
    </w:pPr>
    <w:rPr>
      <w:szCs w:val="21"/>
    </w:rPr>
  </w:style>
  <w:style w:type="paragraph" w:styleId="22">
    <w:name w:val="Body Text Indent 3"/>
    <w:basedOn w:val="1"/>
    <w:link w:val="83"/>
    <w:semiHidden/>
    <w:qFormat/>
    <w:uiPriority w:val="0"/>
    <w:pPr>
      <w:spacing w:line="360" w:lineRule="auto"/>
      <w:ind w:left="1347" w:leftChars="413" w:hanging="480" w:hangingChars="200"/>
    </w:pPr>
    <w:rPr>
      <w:rFonts w:ascii="宋体" w:hAnsi="宋体"/>
      <w:color w:val="FF0000"/>
      <w:sz w:val="24"/>
      <w:szCs w:val="24"/>
    </w:rPr>
  </w:style>
  <w:style w:type="paragraph" w:styleId="23">
    <w:name w:val="index 9"/>
    <w:basedOn w:val="1"/>
    <w:next w:val="1"/>
    <w:autoRedefine/>
    <w:semiHidden/>
    <w:qFormat/>
    <w:uiPriority w:val="98"/>
    <w:pPr>
      <w:ind w:left="1600" w:leftChars="1600"/>
    </w:pPr>
  </w:style>
  <w:style w:type="paragraph" w:styleId="24">
    <w:name w:val="toc 2"/>
    <w:basedOn w:val="1"/>
    <w:next w:val="1"/>
    <w:qFormat/>
    <w:uiPriority w:val="39"/>
    <w:pPr>
      <w:ind w:left="420" w:leftChars="200"/>
    </w:pPr>
  </w:style>
  <w:style w:type="paragraph" w:styleId="25">
    <w:name w:val="Message Header"/>
    <w:basedOn w:val="1"/>
    <w:link w:val="108"/>
    <w:semiHidden/>
    <w:qFormat/>
    <w:uiPriority w:val="99"/>
    <w:pPr>
      <w:pBdr>
        <w:top w:val="single" w:color="auto" w:sz="6" w:space="1"/>
        <w:left w:val="single" w:color="auto" w:sz="6" w:space="1"/>
        <w:bottom w:val="single" w:color="auto" w:sz="6" w:space="1"/>
        <w:right w:val="single" w:color="auto" w:sz="6" w:space="1"/>
      </w:pBdr>
      <w:shd w:val="pct20" w:color="auto" w:fill="auto"/>
      <w:spacing w:after="200" w:line="276" w:lineRule="auto"/>
      <w:ind w:left="1080" w:leftChars="500" w:hanging="1080" w:hangingChars="500"/>
      <w:jc w:val="left"/>
    </w:pPr>
    <w:rPr>
      <w:rFonts w:ascii="Cambria" w:hAnsi="Cambria" w:cs="Cambria"/>
      <w:kern w:val="0"/>
      <w:sz w:val="24"/>
      <w:szCs w:val="24"/>
    </w:rPr>
  </w:style>
  <w:style w:type="paragraph" w:styleId="26">
    <w:name w:val="Normal (Web)"/>
    <w:basedOn w:val="1"/>
    <w:semiHidden/>
    <w:qFormat/>
    <w:uiPriority w:val="0"/>
    <w:pPr>
      <w:widowControl/>
      <w:adjustRightInd w:val="0"/>
      <w:spacing w:before="100" w:beforeAutospacing="1" w:after="100" w:afterAutospacing="1" w:line="312" w:lineRule="atLeast"/>
      <w:jc w:val="left"/>
      <w:textAlignment w:val="baseline"/>
    </w:pPr>
    <w:rPr>
      <w:rFonts w:ascii="宋体" w:hAnsi="宋体" w:cs="宋体"/>
      <w:kern w:val="0"/>
      <w:sz w:val="24"/>
      <w:szCs w:val="24"/>
    </w:rPr>
  </w:style>
  <w:style w:type="paragraph" w:styleId="27">
    <w:name w:val="Title"/>
    <w:basedOn w:val="1"/>
    <w:next w:val="1"/>
    <w:link w:val="70"/>
    <w:semiHidden/>
    <w:qFormat/>
    <w:uiPriority w:val="0"/>
    <w:pPr>
      <w:spacing w:before="240" w:after="60"/>
      <w:jc w:val="center"/>
      <w:outlineLvl w:val="0"/>
    </w:pPr>
    <w:rPr>
      <w:rFonts w:eastAsia="黑体" w:asciiTheme="majorHAnsi" w:hAnsiTheme="majorHAnsi" w:cstheme="majorBidi"/>
      <w:b/>
      <w:bCs/>
      <w:sz w:val="36"/>
      <w:szCs w:val="32"/>
    </w:rPr>
  </w:style>
  <w:style w:type="paragraph" w:styleId="28">
    <w:name w:val="annotation subject"/>
    <w:basedOn w:val="10"/>
    <w:next w:val="10"/>
    <w:link w:val="53"/>
    <w:semiHidden/>
    <w:qFormat/>
    <w:uiPriority w:val="98"/>
    <w:rPr>
      <w:b/>
      <w:bCs/>
    </w:rPr>
  </w:style>
  <w:style w:type="paragraph" w:styleId="29">
    <w:name w:val="Body Text First Indent 2"/>
    <w:basedOn w:val="12"/>
    <w:next w:val="24"/>
    <w:qFormat/>
    <w:uiPriority w:val="0"/>
    <w:pPr>
      <w:spacing w:line="276" w:lineRule="auto"/>
      <w:ind w:left="200" w:firstLine="200" w:firstLineChars="200"/>
      <w:jc w:val="left"/>
    </w:pPr>
  </w:style>
  <w:style w:type="table" w:styleId="31">
    <w:name w:val="Table Grid"/>
    <w:basedOn w:val="30"/>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3">
    <w:name w:val="Strong"/>
    <w:semiHidden/>
    <w:qFormat/>
    <w:uiPriority w:val="98"/>
    <w:rPr>
      <w:b/>
    </w:rPr>
  </w:style>
  <w:style w:type="character" w:styleId="34">
    <w:name w:val="page number"/>
    <w:basedOn w:val="32"/>
    <w:semiHidden/>
    <w:qFormat/>
    <w:uiPriority w:val="0"/>
  </w:style>
  <w:style w:type="character" w:styleId="35">
    <w:name w:val="FollowedHyperlink"/>
    <w:semiHidden/>
    <w:qFormat/>
    <w:uiPriority w:val="98"/>
    <w:rPr>
      <w:color w:val="800080"/>
      <w:u w:val="single"/>
    </w:rPr>
  </w:style>
  <w:style w:type="character" w:styleId="36">
    <w:name w:val="Emphasis"/>
    <w:semiHidden/>
    <w:qFormat/>
    <w:uiPriority w:val="98"/>
    <w:rPr>
      <w:i/>
      <w:iCs/>
    </w:rPr>
  </w:style>
  <w:style w:type="character" w:styleId="37">
    <w:name w:val="Hyperlink"/>
    <w:qFormat/>
    <w:uiPriority w:val="99"/>
    <w:rPr>
      <w:rFonts w:cs="Times New Roman"/>
      <w:color w:val="1F4F88"/>
      <w:u w:val="none"/>
    </w:rPr>
  </w:style>
  <w:style w:type="character" w:styleId="38">
    <w:name w:val="annotation reference"/>
    <w:semiHidden/>
    <w:qFormat/>
    <w:uiPriority w:val="98"/>
    <w:rPr>
      <w:sz w:val="21"/>
      <w:szCs w:val="21"/>
    </w:rPr>
  </w:style>
  <w:style w:type="character" w:customStyle="1" w:styleId="39">
    <w:name w:val="Char Char3"/>
    <w:semiHidden/>
    <w:qFormat/>
    <w:uiPriority w:val="98"/>
    <w:rPr>
      <w:rFonts w:ascii="宋体" w:hAnsi="Courier New" w:eastAsia="宋体"/>
      <w:kern w:val="2"/>
      <w:sz w:val="21"/>
      <w:lang w:val="en-US" w:eastAsia="zh-CN" w:bidi="ar-SA"/>
    </w:rPr>
  </w:style>
  <w:style w:type="character" w:customStyle="1" w:styleId="40">
    <w:name w:val="纯文本 Char"/>
    <w:semiHidden/>
    <w:qFormat/>
    <w:uiPriority w:val="98"/>
    <w:rPr>
      <w:rFonts w:ascii="宋体" w:hAnsi="Courier New" w:eastAsia="宋体"/>
      <w:kern w:val="2"/>
      <w:sz w:val="21"/>
      <w:lang w:val="en-US" w:eastAsia="zh-CN" w:bidi="ar-SA"/>
    </w:rPr>
  </w:style>
  <w:style w:type="character" w:customStyle="1" w:styleId="41">
    <w:name w:val="正文文本 字符"/>
    <w:link w:val="11"/>
    <w:semiHidden/>
    <w:qFormat/>
    <w:uiPriority w:val="98"/>
    <w:rPr>
      <w:rFonts w:ascii="仿宋_GB2312" w:eastAsia="仿宋_GB2312"/>
      <w:kern w:val="2"/>
      <w:sz w:val="32"/>
    </w:rPr>
  </w:style>
  <w:style w:type="character" w:customStyle="1" w:styleId="42">
    <w:name w:val="页脚 字符"/>
    <w:link w:val="18"/>
    <w:semiHidden/>
    <w:qFormat/>
    <w:uiPriority w:val="0"/>
    <w:rPr>
      <w:kern w:val="2"/>
      <w:sz w:val="18"/>
      <w:szCs w:val="18"/>
    </w:rPr>
  </w:style>
  <w:style w:type="character" w:customStyle="1" w:styleId="43">
    <w:name w:val="标题 3 字符"/>
    <w:link w:val="4"/>
    <w:semiHidden/>
    <w:qFormat/>
    <w:uiPriority w:val="0"/>
    <w:rPr>
      <w:b/>
      <w:bCs/>
      <w:kern w:val="2"/>
      <w:sz w:val="32"/>
      <w:szCs w:val="32"/>
    </w:rPr>
  </w:style>
  <w:style w:type="character" w:customStyle="1" w:styleId="44">
    <w:name w:val="正文文本 Char"/>
    <w:semiHidden/>
    <w:qFormat/>
    <w:uiPriority w:val="98"/>
    <w:rPr>
      <w:rFonts w:ascii="仿宋_GB2312" w:eastAsia="仿宋_GB2312"/>
      <w:kern w:val="2"/>
      <w:sz w:val="32"/>
    </w:rPr>
  </w:style>
  <w:style w:type="character" w:customStyle="1" w:styleId="45">
    <w:name w:val="批注文字 字符"/>
    <w:link w:val="10"/>
    <w:qFormat/>
    <w:uiPriority w:val="99"/>
    <w:rPr>
      <w:kern w:val="2"/>
      <w:sz w:val="21"/>
    </w:rPr>
  </w:style>
  <w:style w:type="character" w:customStyle="1" w:styleId="46">
    <w:name w:val="apple-converted-space"/>
    <w:basedOn w:val="32"/>
    <w:semiHidden/>
    <w:qFormat/>
    <w:uiPriority w:val="98"/>
  </w:style>
  <w:style w:type="character" w:customStyle="1" w:styleId="47">
    <w:name w:val="批注框文本 字符"/>
    <w:link w:val="17"/>
    <w:semiHidden/>
    <w:qFormat/>
    <w:uiPriority w:val="98"/>
    <w:rPr>
      <w:kern w:val="2"/>
      <w:sz w:val="18"/>
      <w:szCs w:val="18"/>
    </w:rPr>
  </w:style>
  <w:style w:type="character" w:customStyle="1" w:styleId="48">
    <w:name w:val="正文文本缩进 字符"/>
    <w:link w:val="12"/>
    <w:semiHidden/>
    <w:qFormat/>
    <w:uiPriority w:val="0"/>
    <w:rPr>
      <w:rFonts w:ascii="Calibri" w:hAnsi="Calibri"/>
      <w:kern w:val="2"/>
      <w:sz w:val="21"/>
      <w:szCs w:val="22"/>
    </w:rPr>
  </w:style>
  <w:style w:type="character" w:customStyle="1" w:styleId="49">
    <w:name w:val="Char Char5"/>
    <w:semiHidden/>
    <w:qFormat/>
    <w:uiPriority w:val="98"/>
    <w:rPr>
      <w:rFonts w:ascii="宋体" w:hAnsi="Courier New" w:eastAsia="宋体"/>
      <w:kern w:val="2"/>
      <w:sz w:val="21"/>
      <w:lang w:val="en-US" w:eastAsia="zh-CN" w:bidi="ar-SA"/>
    </w:rPr>
  </w:style>
  <w:style w:type="character" w:customStyle="1" w:styleId="50">
    <w:name w:val="纯文本 字符1"/>
    <w:link w:val="14"/>
    <w:semiHidden/>
    <w:qFormat/>
    <w:uiPriority w:val="0"/>
    <w:rPr>
      <w:rFonts w:ascii="宋体" w:hAnsi="Courier New"/>
      <w:kern w:val="2"/>
      <w:sz w:val="21"/>
    </w:rPr>
  </w:style>
  <w:style w:type="character" w:customStyle="1" w:styleId="51">
    <w:name w:val="纯文本 字符"/>
    <w:semiHidden/>
    <w:qFormat/>
    <w:uiPriority w:val="98"/>
    <w:rPr>
      <w:rFonts w:ascii="宋体" w:hAnsi="Courier New" w:eastAsia="宋体"/>
    </w:rPr>
  </w:style>
  <w:style w:type="character" w:customStyle="1" w:styleId="52">
    <w:name w:val="页眉 字符"/>
    <w:link w:val="19"/>
    <w:semiHidden/>
    <w:qFormat/>
    <w:uiPriority w:val="0"/>
    <w:rPr>
      <w:kern w:val="2"/>
      <w:sz w:val="18"/>
      <w:szCs w:val="18"/>
    </w:rPr>
  </w:style>
  <w:style w:type="character" w:customStyle="1" w:styleId="53">
    <w:name w:val="批注主题 字符"/>
    <w:link w:val="28"/>
    <w:semiHidden/>
    <w:qFormat/>
    <w:uiPriority w:val="98"/>
    <w:rPr>
      <w:b/>
      <w:bCs/>
      <w:kern w:val="2"/>
      <w:sz w:val="21"/>
    </w:rPr>
  </w:style>
  <w:style w:type="character" w:customStyle="1" w:styleId="54">
    <w:name w:val="Char Char2"/>
    <w:semiHidden/>
    <w:qFormat/>
    <w:uiPriority w:val="98"/>
    <w:rPr>
      <w:rFonts w:ascii="宋体" w:hAnsi="Courier New" w:cs="宋体"/>
      <w:kern w:val="2"/>
      <w:sz w:val="21"/>
      <w:szCs w:val="21"/>
    </w:rPr>
  </w:style>
  <w:style w:type="character" w:customStyle="1" w:styleId="55">
    <w:name w:val="HTML Markup"/>
    <w:semiHidden/>
    <w:qFormat/>
    <w:uiPriority w:val="98"/>
    <w:rPr>
      <w:vanish/>
      <w:color w:val="FF0000"/>
    </w:rPr>
  </w:style>
  <w:style w:type="character" w:customStyle="1" w:styleId="56">
    <w:name w:val="纯文本 Char3"/>
    <w:semiHidden/>
    <w:qFormat/>
    <w:uiPriority w:val="98"/>
    <w:rPr>
      <w:rFonts w:ascii="宋体" w:hAnsi="Courier New" w:eastAsia="宋体"/>
      <w:kern w:val="2"/>
      <w:sz w:val="21"/>
      <w:lang w:val="en-US" w:eastAsia="zh-CN" w:bidi="ar-SA"/>
    </w:rPr>
  </w:style>
  <w:style w:type="character" w:customStyle="1" w:styleId="57">
    <w:name w:val="正文文本缩进 Char"/>
    <w:link w:val="58"/>
    <w:semiHidden/>
    <w:qFormat/>
    <w:uiPriority w:val="98"/>
    <w:rPr>
      <w:kern w:val="2"/>
      <w:sz w:val="21"/>
    </w:rPr>
  </w:style>
  <w:style w:type="paragraph" w:customStyle="1" w:styleId="58">
    <w:name w:val="正文文本缩进1"/>
    <w:basedOn w:val="1"/>
    <w:link w:val="57"/>
    <w:semiHidden/>
    <w:qFormat/>
    <w:uiPriority w:val="98"/>
    <w:pPr>
      <w:spacing w:after="120"/>
      <w:ind w:left="420" w:leftChars="200"/>
    </w:pPr>
  </w:style>
  <w:style w:type="paragraph" w:customStyle="1" w:styleId="59">
    <w:name w:val="1"/>
    <w:basedOn w:val="1"/>
    <w:semiHidden/>
    <w:qFormat/>
    <w:uiPriority w:val="98"/>
    <w:pPr>
      <w:widowControl/>
      <w:spacing w:before="100" w:beforeAutospacing="1" w:after="100" w:afterAutospacing="1"/>
      <w:jc w:val="left"/>
    </w:pPr>
    <w:rPr>
      <w:rFonts w:hint="eastAsia" w:ascii="宋体" w:hAnsi="宋体"/>
      <w:kern w:val="0"/>
      <w:sz w:val="24"/>
      <w:szCs w:val="24"/>
    </w:rPr>
  </w:style>
  <w:style w:type="paragraph" w:customStyle="1" w:styleId="60">
    <w:name w:val="2"/>
    <w:basedOn w:val="1"/>
    <w:semiHidden/>
    <w:qFormat/>
    <w:uiPriority w:val="98"/>
    <w:pPr>
      <w:widowControl/>
      <w:spacing w:after="160" w:line="240" w:lineRule="exact"/>
      <w:jc w:val="left"/>
    </w:pPr>
    <w:rPr>
      <w:rFonts w:ascii="Arial" w:hAnsi="Arial" w:eastAsia="Times New Roman" w:cs="Verdana"/>
      <w:b/>
      <w:kern w:val="0"/>
      <w:sz w:val="24"/>
      <w:szCs w:val="24"/>
      <w:lang w:eastAsia="en-US" w:bidi="th-TH"/>
    </w:rPr>
  </w:style>
  <w:style w:type="paragraph" w:customStyle="1" w:styleId="61">
    <w:name w:val="Char Char Char Char Char Char1 Char"/>
    <w:basedOn w:val="1"/>
    <w:semiHidden/>
    <w:qFormat/>
    <w:uiPriority w:val="98"/>
    <w:pPr>
      <w:widowControl/>
      <w:spacing w:after="160" w:line="240" w:lineRule="exact"/>
      <w:jc w:val="left"/>
    </w:pPr>
    <w:rPr>
      <w:rFonts w:ascii="Arial" w:hAnsi="Arial" w:eastAsia="Times New Roman" w:cs="Verdana"/>
      <w:b/>
      <w:kern w:val="0"/>
      <w:sz w:val="24"/>
      <w:szCs w:val="24"/>
      <w:lang w:eastAsia="en-US" w:bidi="th-TH"/>
    </w:rPr>
  </w:style>
  <w:style w:type="paragraph" w:styleId="62">
    <w:name w:val="List Paragraph"/>
    <w:basedOn w:val="1"/>
    <w:semiHidden/>
    <w:qFormat/>
    <w:uiPriority w:val="98"/>
    <w:pPr>
      <w:ind w:firstLine="420" w:firstLineChars="200"/>
    </w:pPr>
    <w:rPr>
      <w:rFonts w:ascii="Calibri" w:hAnsi="Calibri"/>
      <w:szCs w:val="22"/>
    </w:rPr>
  </w:style>
  <w:style w:type="paragraph" w:customStyle="1" w:styleId="63">
    <w:name w:val="列出段落1"/>
    <w:basedOn w:val="1"/>
    <w:semiHidden/>
    <w:qFormat/>
    <w:uiPriority w:val="98"/>
    <w:pPr>
      <w:ind w:firstLine="420" w:firstLineChars="200"/>
    </w:pPr>
    <w:rPr>
      <w:rFonts w:ascii="Calibri" w:hAnsi="Calibri"/>
      <w:szCs w:val="22"/>
    </w:rPr>
  </w:style>
  <w:style w:type="paragraph" w:customStyle="1" w:styleId="64">
    <w:name w:val="二级列表 Char"/>
    <w:basedOn w:val="1"/>
    <w:semiHidden/>
    <w:qFormat/>
    <w:uiPriority w:val="98"/>
    <w:rPr>
      <w:rFonts w:ascii="Calibri" w:hAnsi="Calibri"/>
    </w:rPr>
  </w:style>
  <w:style w:type="paragraph" w:customStyle="1" w:styleId="65">
    <w:name w:val="Default"/>
    <w:qFormat/>
    <w:uiPriority w:val="0"/>
    <w:pPr>
      <w:widowControl w:val="0"/>
      <w:autoSpaceDE w:val="0"/>
      <w:autoSpaceDN w:val="0"/>
      <w:adjustRightInd w:val="0"/>
    </w:pPr>
    <w:rPr>
      <w:rFonts w:ascii="仿宋_GB2312" w:hAnsi="Calibri" w:eastAsia="仿宋_GB2312" w:cs="仿宋_GB2312"/>
      <w:color w:val="000000"/>
      <w:sz w:val="24"/>
      <w:szCs w:val="24"/>
      <w:lang w:val="en-US" w:eastAsia="zh-CN" w:bidi="ar-SA"/>
    </w:rPr>
  </w:style>
  <w:style w:type="character" w:customStyle="1" w:styleId="66">
    <w:name w:val="style61"/>
    <w:semiHidden/>
    <w:qFormat/>
    <w:uiPriority w:val="98"/>
  </w:style>
  <w:style w:type="character" w:customStyle="1" w:styleId="67">
    <w:name w:val="标题 1 字符"/>
    <w:basedOn w:val="32"/>
    <w:link w:val="2"/>
    <w:semiHidden/>
    <w:qFormat/>
    <w:uiPriority w:val="0"/>
    <w:rPr>
      <w:b/>
      <w:bCs/>
      <w:kern w:val="44"/>
      <w:sz w:val="44"/>
      <w:szCs w:val="44"/>
    </w:rPr>
  </w:style>
  <w:style w:type="paragraph" w:customStyle="1" w:styleId="68">
    <w:name w:val="TOC 标题1"/>
    <w:basedOn w:val="2"/>
    <w:next w:val="1"/>
    <w:semiHidden/>
    <w:qFormat/>
    <w:uiPriority w:val="39"/>
    <w:pPr>
      <w:widowControl/>
      <w:spacing w:before="240" w:after="0" w:line="259" w:lineRule="auto"/>
      <w:jc w:val="left"/>
      <w:outlineLvl w:val="9"/>
    </w:pPr>
    <w:rPr>
      <w:rFonts w:asciiTheme="majorHAnsi" w:hAnsiTheme="majorHAnsi" w:eastAsiaTheme="majorEastAsia" w:cstheme="majorBidi"/>
      <w:b w:val="0"/>
      <w:bCs w:val="0"/>
      <w:color w:val="2E75B6" w:themeColor="accent1" w:themeShade="BF"/>
      <w:kern w:val="0"/>
      <w:sz w:val="32"/>
      <w:szCs w:val="32"/>
    </w:rPr>
  </w:style>
  <w:style w:type="character" w:customStyle="1" w:styleId="69">
    <w:name w:val="标题 2 字符"/>
    <w:basedOn w:val="32"/>
    <w:link w:val="3"/>
    <w:semiHidden/>
    <w:qFormat/>
    <w:uiPriority w:val="0"/>
    <w:rPr>
      <w:rFonts w:asciiTheme="majorHAnsi" w:hAnsiTheme="majorHAnsi" w:eastAsiaTheme="majorEastAsia" w:cstheme="majorBidi"/>
      <w:b/>
      <w:bCs/>
      <w:kern w:val="2"/>
      <w:sz w:val="32"/>
      <w:szCs w:val="32"/>
    </w:rPr>
  </w:style>
  <w:style w:type="character" w:customStyle="1" w:styleId="70">
    <w:name w:val="标题 字符"/>
    <w:basedOn w:val="32"/>
    <w:link w:val="27"/>
    <w:semiHidden/>
    <w:qFormat/>
    <w:uiPriority w:val="0"/>
    <w:rPr>
      <w:rFonts w:eastAsia="黑体" w:asciiTheme="majorHAnsi" w:hAnsiTheme="majorHAnsi" w:cstheme="majorBidi"/>
      <w:b/>
      <w:bCs/>
      <w:kern w:val="2"/>
      <w:sz w:val="36"/>
      <w:szCs w:val="32"/>
    </w:rPr>
  </w:style>
  <w:style w:type="paragraph" w:customStyle="1" w:styleId="71">
    <w:name w:val="章节"/>
    <w:basedOn w:val="14"/>
    <w:qFormat/>
    <w:uiPriority w:val="0"/>
    <w:pPr>
      <w:spacing w:line="360" w:lineRule="auto"/>
      <w:jc w:val="center"/>
      <w:outlineLvl w:val="0"/>
    </w:pPr>
    <w:rPr>
      <w:rFonts w:ascii="黑体" w:eastAsia="黑体"/>
      <w:b/>
      <w:bCs/>
      <w:sz w:val="36"/>
      <w:szCs w:val="36"/>
    </w:rPr>
  </w:style>
  <w:style w:type="paragraph" w:customStyle="1" w:styleId="72">
    <w:name w:val="一级标题"/>
    <w:basedOn w:val="14"/>
    <w:qFormat/>
    <w:uiPriority w:val="1"/>
    <w:pPr>
      <w:numPr>
        <w:ilvl w:val="0"/>
        <w:numId w:val="2"/>
      </w:numPr>
      <w:spacing w:line="360" w:lineRule="auto"/>
      <w:ind w:left="420"/>
      <w:outlineLvl w:val="1"/>
    </w:pPr>
    <w:rPr>
      <w:rFonts w:ascii="黑体" w:eastAsia="黑体"/>
      <w:b/>
      <w:bCs/>
      <w:sz w:val="28"/>
    </w:rPr>
  </w:style>
  <w:style w:type="paragraph" w:customStyle="1" w:styleId="73">
    <w:name w:val="（二）级标题"/>
    <w:basedOn w:val="14"/>
    <w:qFormat/>
    <w:uiPriority w:val="2"/>
    <w:pPr>
      <w:numPr>
        <w:ilvl w:val="0"/>
        <w:numId w:val="3"/>
      </w:numPr>
      <w:spacing w:line="360" w:lineRule="auto"/>
      <w:outlineLvl w:val="2"/>
    </w:pPr>
    <w:rPr>
      <w:b/>
    </w:rPr>
  </w:style>
  <w:style w:type="paragraph" w:customStyle="1" w:styleId="74">
    <w:name w:val="3级标题"/>
    <w:basedOn w:val="14"/>
    <w:link w:val="102"/>
    <w:qFormat/>
    <w:uiPriority w:val="3"/>
    <w:pPr>
      <w:numPr>
        <w:ilvl w:val="0"/>
        <w:numId w:val="4"/>
      </w:numPr>
      <w:spacing w:line="360" w:lineRule="auto"/>
      <w:outlineLvl w:val="3"/>
    </w:pPr>
    <w:rPr>
      <w:b/>
    </w:rPr>
  </w:style>
  <w:style w:type="paragraph" w:customStyle="1" w:styleId="75">
    <w:name w:val="（4）级标题"/>
    <w:basedOn w:val="14"/>
    <w:qFormat/>
    <w:uiPriority w:val="8"/>
    <w:pPr>
      <w:numPr>
        <w:ilvl w:val="0"/>
        <w:numId w:val="5"/>
      </w:numPr>
      <w:spacing w:line="360" w:lineRule="auto"/>
      <w:outlineLvl w:val="4"/>
    </w:pPr>
  </w:style>
  <w:style w:type="paragraph" w:customStyle="1" w:styleId="76">
    <w:name w:val="标书正文"/>
    <w:basedOn w:val="14"/>
    <w:link w:val="97"/>
    <w:qFormat/>
    <w:uiPriority w:val="9"/>
    <w:pPr>
      <w:spacing w:line="360" w:lineRule="auto"/>
      <w:jc w:val="left"/>
    </w:pPr>
  </w:style>
  <w:style w:type="character" w:customStyle="1" w:styleId="77">
    <w:name w:val="标题 4 字符"/>
    <w:basedOn w:val="32"/>
    <w:link w:val="5"/>
    <w:semiHidden/>
    <w:qFormat/>
    <w:uiPriority w:val="0"/>
    <w:rPr>
      <w:rFonts w:ascii="Arial" w:hAnsi="Arial"/>
      <w:b/>
      <w:bCs/>
      <w:kern w:val="2"/>
      <w:sz w:val="21"/>
      <w:szCs w:val="28"/>
    </w:rPr>
  </w:style>
  <w:style w:type="character" w:customStyle="1" w:styleId="78">
    <w:name w:val="标题 5 字符"/>
    <w:basedOn w:val="32"/>
    <w:link w:val="6"/>
    <w:semiHidden/>
    <w:qFormat/>
    <w:uiPriority w:val="0"/>
    <w:rPr>
      <w:rFonts w:ascii="宋体" w:hAnsi="宋体"/>
      <w:bCs/>
      <w:iCs/>
      <w:color w:val="000000"/>
      <w:sz w:val="28"/>
      <w:szCs w:val="28"/>
    </w:rPr>
  </w:style>
  <w:style w:type="paragraph" w:customStyle="1" w:styleId="79">
    <w:name w:val="3"/>
    <w:qFormat/>
    <w:uiPriority w:val="0"/>
    <w:pPr>
      <w:widowControl w:val="0"/>
      <w:jc w:val="both"/>
    </w:pPr>
    <w:rPr>
      <w:rFonts w:ascii="Times New Roman" w:hAnsi="Times New Roman" w:eastAsia="宋体" w:cs="Times New Roman"/>
      <w:kern w:val="2"/>
      <w:sz w:val="21"/>
      <w:lang w:val="en-US" w:eastAsia="zh-CN" w:bidi="ar-SA"/>
    </w:rPr>
  </w:style>
  <w:style w:type="character" w:customStyle="1" w:styleId="80">
    <w:name w:val="case31"/>
    <w:qFormat/>
    <w:uiPriority w:val="0"/>
    <w:rPr>
      <w:rFonts w:hint="default" w:ascii="ˎ̥" w:hAnsi="ˎ̥"/>
      <w:sz w:val="21"/>
      <w:szCs w:val="21"/>
    </w:rPr>
  </w:style>
  <w:style w:type="character" w:customStyle="1" w:styleId="81">
    <w:name w:val="标题 2 Char"/>
    <w:qFormat/>
    <w:uiPriority w:val="0"/>
    <w:rPr>
      <w:rFonts w:ascii="宋体" w:hAnsi="宋体"/>
      <w:bCs/>
      <w:sz w:val="24"/>
      <w:szCs w:val="32"/>
    </w:rPr>
  </w:style>
  <w:style w:type="character" w:customStyle="1" w:styleId="82">
    <w:name w:val="标题 Char"/>
    <w:qFormat/>
    <w:uiPriority w:val="0"/>
    <w:rPr>
      <w:rFonts w:ascii="宋体" w:hAnsi="宋体" w:cs="Times New Roman"/>
      <w:b/>
      <w:bCs/>
      <w:sz w:val="24"/>
      <w:szCs w:val="32"/>
    </w:rPr>
  </w:style>
  <w:style w:type="character" w:customStyle="1" w:styleId="83">
    <w:name w:val="正文文本缩进 3 字符"/>
    <w:basedOn w:val="32"/>
    <w:link w:val="22"/>
    <w:semiHidden/>
    <w:qFormat/>
    <w:uiPriority w:val="0"/>
    <w:rPr>
      <w:rFonts w:ascii="宋体" w:hAnsi="宋体"/>
      <w:color w:val="FF0000"/>
      <w:kern w:val="2"/>
      <w:sz w:val="24"/>
      <w:szCs w:val="24"/>
    </w:rPr>
  </w:style>
  <w:style w:type="paragraph" w:customStyle="1" w:styleId="84">
    <w:name w:val="_Style 4"/>
    <w:basedOn w:val="2"/>
    <w:next w:val="1"/>
    <w:semiHidden/>
    <w:qFormat/>
    <w:uiPriority w:val="39"/>
    <w:pPr>
      <w:keepLines w:val="0"/>
      <w:widowControl/>
      <w:tabs>
        <w:tab w:val="left" w:pos="2400"/>
      </w:tabs>
      <w:spacing w:before="480" w:after="0" w:line="276" w:lineRule="auto"/>
      <w:ind w:left="2400" w:right="206" w:rightChars="98" w:hanging="720"/>
      <w:jc w:val="left"/>
      <w:outlineLvl w:val="9"/>
    </w:pPr>
    <w:rPr>
      <w:rFonts w:ascii="Cambria" w:hAnsi="Cambria"/>
      <w:color w:val="365F91"/>
      <w:kern w:val="0"/>
      <w:sz w:val="28"/>
      <w:szCs w:val="28"/>
    </w:rPr>
  </w:style>
  <w:style w:type="paragraph" w:customStyle="1" w:styleId="85">
    <w:name w:val="Char Char Char Char Char Char Char"/>
    <w:basedOn w:val="1"/>
    <w:qFormat/>
    <w:uiPriority w:val="0"/>
    <w:pPr>
      <w:widowControl/>
      <w:snapToGrid w:val="0"/>
      <w:spacing w:after="160" w:line="360" w:lineRule="auto"/>
      <w:jc w:val="left"/>
    </w:pPr>
    <w:rPr>
      <w:kern w:val="0"/>
      <w:sz w:val="24"/>
      <w:szCs w:val="24"/>
      <w:lang w:eastAsia="en-US"/>
    </w:rPr>
  </w:style>
  <w:style w:type="character" w:customStyle="1" w:styleId="86">
    <w:name w:val="正文文本缩进 2 字符"/>
    <w:basedOn w:val="32"/>
    <w:link w:val="16"/>
    <w:semiHidden/>
    <w:qFormat/>
    <w:uiPriority w:val="0"/>
    <w:rPr>
      <w:sz w:val="24"/>
    </w:rPr>
  </w:style>
  <w:style w:type="character" w:customStyle="1" w:styleId="87">
    <w:name w:val="日期 字符"/>
    <w:basedOn w:val="32"/>
    <w:link w:val="15"/>
    <w:semiHidden/>
    <w:qFormat/>
    <w:uiPriority w:val="0"/>
    <w:rPr>
      <w:sz w:val="24"/>
    </w:rPr>
  </w:style>
  <w:style w:type="paragraph" w:customStyle="1" w:styleId="88">
    <w:name w:val="Char1 Char Char Char Char Char Char"/>
    <w:basedOn w:val="1"/>
    <w:qFormat/>
    <w:uiPriority w:val="0"/>
    <w:rPr>
      <w:rFonts w:ascii="Tahoma" w:hAnsi="Tahoma"/>
      <w:sz w:val="24"/>
    </w:rPr>
  </w:style>
  <w:style w:type="paragraph" w:customStyle="1" w:styleId="89">
    <w:name w:val="样式1"/>
    <w:basedOn w:val="1"/>
    <w:qFormat/>
    <w:uiPriority w:val="0"/>
    <w:pPr>
      <w:adjustRightInd w:val="0"/>
      <w:spacing w:line="420" w:lineRule="auto"/>
      <w:jc w:val="center"/>
      <w:textAlignment w:val="baseline"/>
    </w:pPr>
    <w:rPr>
      <w:rFonts w:ascii="宋体"/>
      <w:kern w:val="0"/>
      <w:sz w:val="24"/>
    </w:rPr>
  </w:style>
  <w:style w:type="paragraph" w:customStyle="1" w:styleId="90">
    <w:name w:val="case3"/>
    <w:basedOn w:val="1"/>
    <w:qFormat/>
    <w:uiPriority w:val="0"/>
    <w:pPr>
      <w:widowControl/>
      <w:spacing w:before="100" w:beforeAutospacing="1" w:after="100" w:afterAutospacing="1" w:line="390" w:lineRule="atLeast"/>
      <w:jc w:val="left"/>
    </w:pPr>
    <w:rPr>
      <w:rFonts w:ascii="ˎ̥" w:hAnsi="ˎ̥" w:cs="宋体"/>
      <w:color w:val="000000"/>
      <w:kern w:val="0"/>
      <w:szCs w:val="21"/>
    </w:rPr>
  </w:style>
  <w:style w:type="paragraph" w:customStyle="1" w:styleId="91">
    <w:name w:val="general normal"/>
    <w:basedOn w:val="1"/>
    <w:qFormat/>
    <w:uiPriority w:val="0"/>
    <w:pPr>
      <w:widowControl/>
      <w:numPr>
        <w:ilvl w:val="0"/>
        <w:numId w:val="6"/>
      </w:numPr>
      <w:spacing w:before="120" w:after="120" w:line="360" w:lineRule="auto"/>
    </w:pPr>
    <w:rPr>
      <w:rFonts w:ascii="Arial" w:hAnsi="Arial"/>
      <w:kern w:val="0"/>
      <w:sz w:val="24"/>
      <w:szCs w:val="24"/>
    </w:rPr>
  </w:style>
  <w:style w:type="character" w:customStyle="1" w:styleId="92">
    <w:name w:val="文档结构图 字符"/>
    <w:basedOn w:val="32"/>
    <w:semiHidden/>
    <w:qFormat/>
    <w:uiPriority w:val="98"/>
    <w:rPr>
      <w:rFonts w:ascii="Microsoft YaHei UI" w:eastAsia="Microsoft YaHei UI"/>
      <w:kern w:val="2"/>
      <w:sz w:val="18"/>
      <w:szCs w:val="18"/>
    </w:rPr>
  </w:style>
  <w:style w:type="character" w:customStyle="1" w:styleId="93">
    <w:name w:val="文档结构图 字符1"/>
    <w:basedOn w:val="32"/>
    <w:link w:val="9"/>
    <w:semiHidden/>
    <w:qFormat/>
    <w:uiPriority w:val="0"/>
    <w:rPr>
      <w:rFonts w:ascii="宋体"/>
      <w:sz w:val="18"/>
      <w:szCs w:val="18"/>
    </w:rPr>
  </w:style>
  <w:style w:type="paragraph" w:customStyle="1" w:styleId="94">
    <w:name w:val="表格"/>
    <w:basedOn w:val="1"/>
    <w:link w:val="95"/>
    <w:qFormat/>
    <w:uiPriority w:val="10"/>
    <w:rPr>
      <w:rFonts w:ascii="宋体" w:hAnsi="宋体"/>
      <w:szCs w:val="30"/>
    </w:rPr>
  </w:style>
  <w:style w:type="character" w:customStyle="1" w:styleId="95">
    <w:name w:val="表格 字符"/>
    <w:basedOn w:val="32"/>
    <w:link w:val="94"/>
    <w:qFormat/>
    <w:uiPriority w:val="10"/>
    <w:rPr>
      <w:rFonts w:ascii="宋体" w:hAnsi="宋体"/>
      <w:kern w:val="2"/>
      <w:sz w:val="21"/>
      <w:szCs w:val="30"/>
    </w:rPr>
  </w:style>
  <w:style w:type="paragraph" w:customStyle="1" w:styleId="96">
    <w:name w:val="5）级标题"/>
    <w:basedOn w:val="76"/>
    <w:link w:val="98"/>
    <w:qFormat/>
    <w:uiPriority w:val="11"/>
    <w:pPr>
      <w:numPr>
        <w:ilvl w:val="0"/>
        <w:numId w:val="7"/>
      </w:numPr>
      <w:ind w:firstLine="0"/>
    </w:pPr>
  </w:style>
  <w:style w:type="character" w:customStyle="1" w:styleId="97">
    <w:name w:val="标书正文 字符"/>
    <w:basedOn w:val="50"/>
    <w:link w:val="76"/>
    <w:qFormat/>
    <w:uiPriority w:val="9"/>
    <w:rPr>
      <w:rFonts w:ascii="宋体" w:hAnsi="Courier New"/>
      <w:kern w:val="2"/>
      <w:sz w:val="21"/>
    </w:rPr>
  </w:style>
  <w:style w:type="character" w:customStyle="1" w:styleId="98">
    <w:name w:val="5）级标题 字符"/>
    <w:basedOn w:val="97"/>
    <w:link w:val="96"/>
    <w:qFormat/>
    <w:uiPriority w:val="11"/>
    <w:rPr>
      <w:rFonts w:ascii="宋体" w:hAnsi="Courier New"/>
      <w:kern w:val="2"/>
      <w:sz w:val="21"/>
    </w:rPr>
  </w:style>
  <w:style w:type="paragraph" w:customStyle="1" w:styleId="99">
    <w:name w:val="样式 标题 4 + 段前: 5 磅 段后: 5 磅 行距: 单倍行距"/>
    <w:next w:val="23"/>
    <w:qFormat/>
    <w:uiPriority w:val="0"/>
    <w:pPr>
      <w:keepNext/>
      <w:keepLines/>
      <w:widowControl w:val="0"/>
      <w:tabs>
        <w:tab w:val="left" w:pos="780"/>
        <w:tab w:val="left" w:pos="1680"/>
      </w:tabs>
      <w:adjustRightInd w:val="0"/>
      <w:spacing w:before="100" w:after="100" w:line="372" w:lineRule="auto"/>
      <w:ind w:left="400" w:leftChars="200" w:hanging="200" w:hangingChars="200"/>
      <w:outlineLvl w:val="3"/>
    </w:pPr>
    <w:rPr>
      <w:rFonts w:ascii="Arial" w:hAnsi="Arial" w:eastAsia="黑体" w:cs="Times New Roman"/>
      <w:b/>
      <w:sz w:val="28"/>
      <w:lang w:val="en-US" w:eastAsia="zh-CN" w:bidi="ar-SA"/>
    </w:rPr>
  </w:style>
  <w:style w:type="character" w:customStyle="1" w:styleId="100">
    <w:name w:val="Subtle Emphasis"/>
    <w:basedOn w:val="32"/>
    <w:qFormat/>
    <w:uiPriority w:val="19"/>
    <w:rPr>
      <w:rFonts w:eastAsia="宋体"/>
      <w:i/>
      <w:iCs/>
      <w:color w:val="auto"/>
      <w:sz w:val="21"/>
    </w:rPr>
  </w:style>
  <w:style w:type="paragraph" w:customStyle="1" w:styleId="101">
    <w:name w:val="⑥级标题"/>
    <w:basedOn w:val="74"/>
    <w:link w:val="103"/>
    <w:qFormat/>
    <w:uiPriority w:val="12"/>
    <w:pPr>
      <w:numPr>
        <w:numId w:val="8"/>
      </w:numPr>
    </w:pPr>
  </w:style>
  <w:style w:type="character" w:customStyle="1" w:styleId="102">
    <w:name w:val="3级标题 字符"/>
    <w:basedOn w:val="50"/>
    <w:link w:val="74"/>
    <w:qFormat/>
    <w:uiPriority w:val="3"/>
    <w:rPr>
      <w:rFonts w:ascii="宋体" w:hAnsi="Courier New"/>
      <w:b/>
      <w:kern w:val="2"/>
      <w:sz w:val="21"/>
    </w:rPr>
  </w:style>
  <w:style w:type="character" w:customStyle="1" w:styleId="103">
    <w:name w:val="⑥级标题 字符"/>
    <w:basedOn w:val="102"/>
    <w:link w:val="101"/>
    <w:qFormat/>
    <w:uiPriority w:val="12"/>
    <w:rPr>
      <w:rFonts w:ascii="宋体" w:hAnsi="Courier New"/>
      <w:kern w:val="2"/>
      <w:sz w:val="21"/>
    </w:rPr>
  </w:style>
  <w:style w:type="character" w:customStyle="1" w:styleId="104">
    <w:name w:val="电子邮件签名 字符"/>
    <w:link w:val="7"/>
    <w:semiHidden/>
    <w:qFormat/>
    <w:locked/>
    <w:uiPriority w:val="99"/>
    <w:rPr>
      <w:sz w:val="21"/>
      <w:szCs w:val="21"/>
    </w:rPr>
  </w:style>
  <w:style w:type="character" w:customStyle="1" w:styleId="105">
    <w:name w:val="电子邮件签名 字符1"/>
    <w:basedOn w:val="32"/>
    <w:semiHidden/>
    <w:qFormat/>
    <w:uiPriority w:val="98"/>
    <w:rPr>
      <w:rFonts w:ascii="Times New Roman" w:hAnsi="Times New Roman"/>
      <w:kern w:val="2"/>
      <w:sz w:val="21"/>
    </w:rPr>
  </w:style>
  <w:style w:type="character" w:customStyle="1" w:styleId="106">
    <w:name w:val="HR正文 Char"/>
    <w:link w:val="107"/>
    <w:qFormat/>
    <w:uiPriority w:val="0"/>
    <w:rPr>
      <w:kern w:val="2"/>
      <w:sz w:val="24"/>
      <w:szCs w:val="24"/>
    </w:rPr>
  </w:style>
  <w:style w:type="paragraph" w:customStyle="1" w:styleId="107">
    <w:name w:val="HR正文"/>
    <w:basedOn w:val="1"/>
    <w:link w:val="106"/>
    <w:qFormat/>
    <w:uiPriority w:val="0"/>
    <w:pPr>
      <w:spacing w:line="300" w:lineRule="auto"/>
      <w:ind w:firstLine="200" w:firstLineChars="200"/>
    </w:pPr>
    <w:rPr>
      <w:rFonts w:ascii="Calibri" w:hAnsi="Calibri"/>
      <w:sz w:val="24"/>
      <w:szCs w:val="24"/>
    </w:rPr>
  </w:style>
  <w:style w:type="character" w:customStyle="1" w:styleId="108">
    <w:name w:val="信息标题 字符"/>
    <w:link w:val="25"/>
    <w:semiHidden/>
    <w:qFormat/>
    <w:locked/>
    <w:uiPriority w:val="99"/>
    <w:rPr>
      <w:rFonts w:ascii="Cambria" w:hAnsi="Cambria" w:cs="Cambria"/>
      <w:sz w:val="24"/>
      <w:szCs w:val="24"/>
      <w:shd w:val="pct20" w:color="auto" w:fill="auto"/>
    </w:rPr>
  </w:style>
  <w:style w:type="character" w:customStyle="1" w:styleId="109">
    <w:name w:val="信息标题 字符1"/>
    <w:basedOn w:val="32"/>
    <w:semiHidden/>
    <w:qFormat/>
    <w:uiPriority w:val="98"/>
    <w:rPr>
      <w:rFonts w:asciiTheme="majorHAnsi" w:hAnsiTheme="majorHAnsi" w:eastAsiaTheme="majorEastAsia" w:cstheme="majorBidi"/>
      <w:kern w:val="2"/>
      <w:sz w:val="24"/>
      <w:szCs w:val="24"/>
      <w:shd w:val="pct20" w:color="auto" w:fill="auto"/>
    </w:rPr>
  </w:style>
  <w:style w:type="character" w:customStyle="1" w:styleId="110">
    <w:name w:val="页眉 Char1"/>
    <w:semiHidden/>
    <w:qFormat/>
    <w:locked/>
    <w:uiPriority w:val="0"/>
    <w:rPr>
      <w:rFonts w:ascii="Calibri" w:hAnsi="Calibri"/>
      <w:sz w:val="18"/>
      <w:szCs w:val="18"/>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4.xml"/><Relationship Id="rId7" Type="http://schemas.openxmlformats.org/officeDocument/2006/relationships/header" Target="header2.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5" Type="http://schemas.openxmlformats.org/officeDocument/2006/relationships/fontTable" Target="fontTable.xml"/><Relationship Id="rId24" Type="http://schemas.openxmlformats.org/officeDocument/2006/relationships/customXml" Target="../customXml/item1.xml"/><Relationship Id="rId23" Type="http://schemas.openxmlformats.org/officeDocument/2006/relationships/numbering" Target="numbering.xml"/><Relationship Id="rId22" Type="http://schemas.openxmlformats.org/officeDocument/2006/relationships/image" Target="media/image13.png"/><Relationship Id="rId21" Type="http://schemas.openxmlformats.org/officeDocument/2006/relationships/image" Target="media/image12.png"/><Relationship Id="rId20" Type="http://schemas.openxmlformats.org/officeDocument/2006/relationships/image" Target="media/image11.png"/><Relationship Id="rId2" Type="http://schemas.openxmlformats.org/officeDocument/2006/relationships/settings" Target="settings.xml"/><Relationship Id="rId19" Type="http://schemas.openxmlformats.org/officeDocument/2006/relationships/image" Target="media/image10.png"/><Relationship Id="rId18" Type="http://schemas.openxmlformats.org/officeDocument/2006/relationships/image" Target="media/image9.png"/><Relationship Id="rId17" Type="http://schemas.openxmlformats.org/officeDocument/2006/relationships/image" Target="media/image8.png"/><Relationship Id="rId16" Type="http://schemas.openxmlformats.org/officeDocument/2006/relationships/image" Target="media/image7.png"/><Relationship Id="rId15" Type="http://schemas.openxmlformats.org/officeDocument/2006/relationships/image" Target="media/image6.png"/><Relationship Id="rId14" Type="http://schemas.openxmlformats.org/officeDocument/2006/relationships/image" Target="media/image5.png"/><Relationship Id="rId13" Type="http://schemas.openxmlformats.org/officeDocument/2006/relationships/image" Target="media/image4.png"/><Relationship Id="rId12" Type="http://schemas.openxmlformats.org/officeDocument/2006/relationships/image" Target="media/image3.png"/><Relationship Id="rId11" Type="http://schemas.openxmlformats.org/officeDocument/2006/relationships/image" Target="media/image2.png"/><Relationship Id="rId10" Type="http://schemas.openxmlformats.org/officeDocument/2006/relationships/image" Target="media/image1.jpeg"/><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7DF9C98-D277-4712-ADC3-6032391F0299}">
  <ds:schemaRefs/>
</ds:datastoreItem>
</file>

<file path=docProps/app.xml><?xml version="1.0" encoding="utf-8"?>
<Properties xmlns="http://schemas.openxmlformats.org/officeDocument/2006/extended-properties" xmlns:vt="http://schemas.openxmlformats.org/officeDocument/2006/docPropsVTypes">
  <Template>Normal.dotm</Template>
  <Company>Hewlett-Packard Company</Company>
  <Pages>28</Pages>
  <Words>7961</Words>
  <Characters>8388</Characters>
  <Lines>127</Lines>
  <Paragraphs>35</Paragraphs>
  <TotalTime>0</TotalTime>
  <ScaleCrop>false</ScaleCrop>
  <LinksUpToDate>false</LinksUpToDate>
  <CharactersWithSpaces>8442</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2020-06-30T00:26:00Z</dcterms:created>
  <dc:creator>微软用户</dc:creator>
  <cp:lastModifiedBy>晓寒轻</cp:lastModifiedBy>
  <cp:lastPrinted>2020-06-28T02:28:00Z</cp:lastPrinted>
  <dcterms:modified xsi:type="dcterms:W3CDTF">2025-12-05T08:55:56Z</dcterms:modified>
  <cp:revision>171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C4E667CF26604F52AD561790FE42A8A8_13</vt:lpwstr>
  </property>
  <property fmtid="{D5CDD505-2E9C-101B-9397-08002B2CF9AE}" pid="4" name="KSOTemplateDocerSaveRecord">
    <vt:lpwstr>eyJoZGlkIjoiNGVmYjYwMTVkYTcwNzlmYzkyYzZmMzIwZTI3ZGZlNjgiLCJ1c2VySWQiOiIxMDYzNzE1ODkzIn0=</vt:lpwstr>
  </property>
</Properties>
</file>